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As filed with the Securities and Exchange Commission on July 21, 2015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UNDER THE SECURITIES ACT OF 1933</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VistaGen Therapeutics,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600" w:type="dxa"/>
        <w:tblCellMar>
          <w:top w:w="0" w:type="dxa"/>
          <w:left w:w="0" w:type="dxa"/>
          <w:bottom w:w="0" w:type="dxa"/>
          <w:right w:w="0" w:type="dxa"/>
        </w:tblCellMar>
      </w:tblPr>
      <w:tr>
        <w:trPr>
          <w:trHeight w:val="220"/>
        </w:trPr>
        <w:tc>
          <w:tcPr>
            <w:tcW w:w="3120" w:type="dxa"/>
            <w:vAlign w:val="bottom"/>
          </w:tcPr>
          <w:p>
            <w:pPr>
              <w:jc w:val="center"/>
              <w:ind w:right="810"/>
              <w:spacing w:after="0"/>
              <w:rPr>
                <w:sz w:val="20"/>
                <w:szCs w:val="20"/>
                <w:color w:val="auto"/>
              </w:rPr>
            </w:pPr>
            <w:r>
              <w:rPr>
                <w:rFonts w:ascii="Arial" w:cs="Arial" w:eastAsia="Arial" w:hAnsi="Arial"/>
                <w:sz w:val="18"/>
                <w:szCs w:val="18"/>
                <w:b w:val="1"/>
                <w:bCs w:val="1"/>
                <w:color w:val="auto"/>
                <w:w w:val="90"/>
              </w:rPr>
              <w:t>Nevada</w:t>
            </w:r>
          </w:p>
        </w:tc>
        <w:tc>
          <w:tcPr>
            <w:tcW w:w="41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2086</w:t>
            </w:r>
          </w:p>
        </w:tc>
        <w:tc>
          <w:tcPr>
            <w:tcW w:w="2720" w:type="dxa"/>
            <w:vAlign w:val="bottom"/>
          </w:tcPr>
          <w:p>
            <w:pPr>
              <w:jc w:val="center"/>
              <w:ind w:left="970"/>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3120" w:type="dxa"/>
            <w:vAlign w:val="bottom"/>
          </w:tcPr>
          <w:p>
            <w:pPr>
              <w:jc w:val="center"/>
              <w:ind w:right="830"/>
              <w:spacing w:after="0"/>
              <w:rPr>
                <w:sz w:val="20"/>
                <w:szCs w:val="20"/>
                <w:color w:val="auto"/>
              </w:rPr>
            </w:pPr>
            <w:r>
              <w:rPr>
                <w:rFonts w:ascii="Arial" w:cs="Arial" w:eastAsia="Arial" w:hAnsi="Arial"/>
                <w:sz w:val="18"/>
                <w:szCs w:val="18"/>
                <w:color w:val="auto"/>
                <w:w w:val="92"/>
              </w:rPr>
              <w:t>(State or Other Jurisdiction of</w:t>
            </w:r>
          </w:p>
        </w:tc>
        <w:tc>
          <w:tcPr>
            <w:tcW w:w="4100" w:type="dxa"/>
            <w:vAlign w:val="bottom"/>
          </w:tcPr>
          <w:p>
            <w:pPr>
              <w:jc w:val="center"/>
              <w:ind w:right="30"/>
              <w:spacing w:after="0"/>
              <w:rPr>
                <w:sz w:val="20"/>
                <w:szCs w:val="20"/>
                <w:color w:val="auto"/>
              </w:rPr>
            </w:pPr>
            <w:r>
              <w:rPr>
                <w:rFonts w:ascii="Arial" w:cs="Arial" w:eastAsia="Arial" w:hAnsi="Arial"/>
                <w:sz w:val="18"/>
                <w:szCs w:val="18"/>
                <w:color w:val="auto"/>
                <w:w w:val="91"/>
              </w:rPr>
              <w:t>(Primary Standard Industrial</w:t>
            </w:r>
          </w:p>
        </w:tc>
        <w:tc>
          <w:tcPr>
            <w:tcW w:w="2720" w:type="dxa"/>
            <w:vAlign w:val="bottom"/>
          </w:tcPr>
          <w:p>
            <w:pPr>
              <w:jc w:val="center"/>
              <w:ind w:left="970"/>
              <w:spacing w:after="0"/>
              <w:rPr>
                <w:sz w:val="20"/>
                <w:szCs w:val="20"/>
                <w:color w:val="auto"/>
              </w:rPr>
            </w:pPr>
            <w:r>
              <w:rPr>
                <w:rFonts w:ascii="Arial" w:cs="Arial" w:eastAsia="Arial" w:hAnsi="Arial"/>
                <w:sz w:val="18"/>
                <w:szCs w:val="18"/>
                <w:color w:val="auto"/>
                <w:w w:val="92"/>
              </w:rPr>
              <w:t>(I.R.S. Employer</w:t>
            </w:r>
          </w:p>
        </w:tc>
      </w:tr>
      <w:tr>
        <w:trPr>
          <w:trHeight w:val="230"/>
        </w:trPr>
        <w:tc>
          <w:tcPr>
            <w:tcW w:w="3120" w:type="dxa"/>
            <w:vAlign w:val="bottom"/>
          </w:tcPr>
          <w:p>
            <w:pPr>
              <w:jc w:val="center"/>
              <w:ind w:right="810"/>
              <w:spacing w:after="0"/>
              <w:rPr>
                <w:sz w:val="20"/>
                <w:szCs w:val="20"/>
                <w:color w:val="auto"/>
              </w:rPr>
            </w:pPr>
            <w:r>
              <w:rPr>
                <w:rFonts w:ascii="Arial" w:cs="Arial" w:eastAsia="Arial" w:hAnsi="Arial"/>
                <w:sz w:val="18"/>
                <w:szCs w:val="18"/>
                <w:color w:val="auto"/>
                <w:w w:val="92"/>
              </w:rPr>
              <w:t>Incorporation or Organization)</w:t>
            </w:r>
          </w:p>
        </w:tc>
        <w:tc>
          <w:tcPr>
            <w:tcW w:w="4100" w:type="dxa"/>
            <w:vAlign w:val="bottom"/>
          </w:tcPr>
          <w:p>
            <w:pPr>
              <w:jc w:val="center"/>
              <w:ind w:right="50"/>
              <w:spacing w:after="0"/>
              <w:rPr>
                <w:sz w:val="20"/>
                <w:szCs w:val="20"/>
                <w:color w:val="auto"/>
              </w:rPr>
            </w:pPr>
            <w:r>
              <w:rPr>
                <w:rFonts w:ascii="Arial" w:cs="Arial" w:eastAsia="Arial" w:hAnsi="Arial"/>
                <w:sz w:val="18"/>
                <w:szCs w:val="18"/>
                <w:color w:val="auto"/>
                <w:w w:val="92"/>
              </w:rPr>
              <w:t>Classification Code Number)</w:t>
            </w:r>
          </w:p>
        </w:tc>
        <w:tc>
          <w:tcPr>
            <w:tcW w:w="2720" w:type="dxa"/>
            <w:vAlign w:val="bottom"/>
          </w:tcPr>
          <w:p>
            <w:pPr>
              <w:jc w:val="center"/>
              <w:ind w:left="970"/>
              <w:spacing w:after="0"/>
              <w:rPr>
                <w:sz w:val="20"/>
                <w:szCs w:val="20"/>
                <w:color w:val="auto"/>
              </w:rPr>
            </w:pPr>
            <w:r>
              <w:rPr>
                <w:rFonts w:ascii="Arial" w:cs="Arial" w:eastAsia="Arial" w:hAnsi="Arial"/>
                <w:sz w:val="18"/>
                <w:szCs w:val="18"/>
                <w:color w:val="auto"/>
                <w:w w:val="94"/>
              </w:rPr>
              <w:t>Identification Number)</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Copy of correspondence to:</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Daniel W. Rumsey,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Disclosure Law Group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American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600 West Broadway, Suite 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(619) 795-1134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From time to time after the effective date of this 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(Approximate date of commencement of proposed sale to the public)</w:t>
      </w:r>
    </w:p>
    <w:p>
      <w:pPr>
        <w:spacing w:after="0" w:line="23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1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9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ind w:left="700"/>
              <w:spacing w:after="0"/>
              <w:rPr>
                <w:sz w:val="20"/>
                <w:szCs w:val="20"/>
                <w:color w:val="auto"/>
              </w:rPr>
            </w:pPr>
            <w:r>
              <w:rPr>
                <w:rFonts w:ascii="Arial" w:cs="Arial" w:eastAsia="Arial" w:hAnsi="Arial"/>
                <w:sz w:val="18"/>
                <w:szCs w:val="18"/>
                <w:color w:val="auto"/>
              </w:rPr>
              <w:t>Large accelerated filer</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720" w:type="dxa"/>
            <w:vAlign w:val="bottom"/>
          </w:tcPr>
          <w:p>
            <w:pPr>
              <w:ind w:left="320"/>
              <w:spacing w:after="0"/>
              <w:rPr>
                <w:sz w:val="20"/>
                <w:szCs w:val="20"/>
                <w:color w:val="auto"/>
              </w:rPr>
            </w:pPr>
            <w:r>
              <w:rPr>
                <w:rFonts w:ascii="Arial" w:cs="Arial" w:eastAsia="Arial" w:hAnsi="Arial"/>
                <w:sz w:val="18"/>
                <w:szCs w:val="18"/>
                <w:color w:val="auto"/>
              </w:rPr>
              <w:t>Accelerated filer</w:t>
            </w:r>
          </w:p>
        </w:tc>
        <w:tc>
          <w:tcPr>
            <w:tcW w:w="1680" w:type="dxa"/>
            <w:vAlign w:val="bottom"/>
          </w:tcPr>
          <w:p>
            <w:pPr>
              <w:ind w:left="1420"/>
              <w:spacing w:after="0"/>
              <w:rPr>
                <w:sz w:val="20"/>
                <w:szCs w:val="20"/>
                <w:color w:val="auto"/>
              </w:rPr>
            </w:pPr>
            <w:r>
              <w:rPr>
                <w:rFonts w:ascii="Arial" w:cs="Arial" w:eastAsia="Arial" w:hAnsi="Arial"/>
                <w:sz w:val="18"/>
                <w:szCs w:val="18"/>
                <w:color w:val="auto"/>
              </w:rPr>
              <w:t>[  ]</w:t>
            </w:r>
          </w:p>
        </w:tc>
      </w:tr>
      <w:tr>
        <w:trPr>
          <w:trHeight w:val="216"/>
        </w:trPr>
        <w:tc>
          <w:tcPr>
            <w:tcW w:w="4720" w:type="dxa"/>
            <w:vAlign w:val="bottom"/>
          </w:tcPr>
          <w:p>
            <w:pPr>
              <w:ind w:left="700"/>
              <w:spacing w:after="0"/>
              <w:rPr>
                <w:sz w:val="20"/>
                <w:szCs w:val="20"/>
                <w:color w:val="auto"/>
              </w:rPr>
            </w:pPr>
            <w:r>
              <w:rPr>
                <w:rFonts w:ascii="Arial" w:cs="Arial" w:eastAsia="Arial" w:hAnsi="Arial"/>
                <w:sz w:val="18"/>
                <w:szCs w:val="18"/>
                <w:color w:val="auto"/>
              </w:rPr>
              <w:t>Non-accelerated filer</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3720" w:type="dxa"/>
            <w:vAlign w:val="bottom"/>
          </w:tcPr>
          <w:p>
            <w:pPr>
              <w:ind w:left="320"/>
              <w:spacing w:after="0"/>
              <w:rPr>
                <w:sz w:val="20"/>
                <w:szCs w:val="20"/>
                <w:color w:val="auto"/>
              </w:rPr>
            </w:pPr>
            <w:r>
              <w:rPr>
                <w:rFonts w:ascii="Arial" w:cs="Arial" w:eastAsia="Arial" w:hAnsi="Arial"/>
                <w:sz w:val="18"/>
                <w:szCs w:val="18"/>
                <w:color w:val="auto"/>
              </w:rPr>
              <w:t>Smaller reporting company</w:t>
            </w:r>
          </w:p>
        </w:tc>
        <w:tc>
          <w:tcPr>
            <w:tcW w:w="1680" w:type="dxa"/>
            <w:vAlign w:val="bottom"/>
          </w:tcPr>
          <w:p>
            <w:pPr>
              <w:ind w:left="1440"/>
              <w:spacing w:after="0"/>
              <w:rPr>
                <w:sz w:val="20"/>
                <w:szCs w:val="20"/>
                <w:color w:val="auto"/>
              </w:rPr>
            </w:pPr>
            <w:r>
              <w:rPr>
                <w:rFonts w:ascii="Arial" w:cs="Arial" w:eastAsia="Arial" w:hAnsi="Arial"/>
                <w:sz w:val="18"/>
                <w:szCs w:val="18"/>
                <w:color w:val="auto"/>
                <w:w w:val="99"/>
              </w:rPr>
              <w:t>[X]</w:t>
            </w:r>
          </w:p>
        </w:tc>
      </w:tr>
      <w:tr>
        <w:trPr>
          <w:trHeight w:val="230"/>
        </w:trPr>
        <w:tc>
          <w:tcPr>
            <w:tcW w:w="4720" w:type="dxa"/>
            <w:vAlign w:val="bottom"/>
          </w:tcPr>
          <w:p>
            <w:pPr>
              <w:ind w:left="660"/>
              <w:spacing w:after="0"/>
              <w:rPr>
                <w:sz w:val="20"/>
                <w:szCs w:val="20"/>
                <w:color w:val="auto"/>
              </w:rPr>
            </w:pPr>
            <w:r>
              <w:rPr>
                <w:rFonts w:ascii="Arial" w:cs="Arial" w:eastAsia="Arial" w:hAnsi="Arial"/>
                <w:sz w:val="18"/>
                <w:szCs w:val="18"/>
                <w:color w:val="auto"/>
              </w:rPr>
              <w:t>(do not check if a smaller reporting company )</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59"/>
        </w:trPr>
        <w:tc>
          <w:tcPr>
            <w:tcW w:w="47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4960" w:type="dxa"/>
            <w:vAlign w:val="bottom"/>
            <w:gridSpan w:val="4"/>
          </w:tcPr>
          <w:p>
            <w:pPr>
              <w:jc w:val="right"/>
              <w:ind w:right="1380"/>
              <w:spacing w:after="0"/>
              <w:rPr>
                <w:sz w:val="20"/>
                <w:szCs w:val="20"/>
                <w:color w:val="auto"/>
              </w:rPr>
            </w:pPr>
            <w:r>
              <w:rPr>
                <w:rFonts w:ascii="Arial" w:cs="Arial" w:eastAsia="Arial" w:hAnsi="Arial"/>
                <w:sz w:val="18"/>
                <w:szCs w:val="18"/>
                <w:b w:val="1"/>
                <w:bCs w:val="1"/>
                <w:color w:val="auto"/>
              </w:rPr>
              <w:t>CALCULATION OF REGISTRATION FEE</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w w:val="87"/>
              </w:rPr>
              <w:t>Aggregate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Title of Each Class of Securities to be Registered</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Amount to be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Offering Price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Registration</w:t>
            </w:r>
          </w:p>
        </w:tc>
        <w:tc>
          <w:tcPr>
            <w:tcW w:w="0" w:type="dxa"/>
            <w:vAlign w:val="bottom"/>
          </w:tcPr>
          <w:p>
            <w:pPr>
              <w:spacing w:after="0"/>
              <w:rPr>
                <w:sz w:val="1"/>
                <w:szCs w:val="1"/>
                <w:color w:val="auto"/>
              </w:rPr>
            </w:pPr>
          </w:p>
        </w:tc>
      </w:tr>
      <w:tr>
        <w:trPr>
          <w:trHeight w:val="216"/>
        </w:trPr>
        <w:tc>
          <w:tcPr>
            <w:tcW w:w="3860" w:type="dxa"/>
            <w:vAlign w:val="bottom"/>
            <w:gridSpan w:val="2"/>
            <w:vMerge w:val="continue"/>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line="216" w:lineRule="exact"/>
              <w:rPr>
                <w:sz w:val="20"/>
                <w:szCs w:val="20"/>
                <w:color w:val="auto"/>
              </w:rPr>
            </w:pPr>
            <w:r>
              <w:rPr>
                <w:rFonts w:ascii="Arial" w:cs="Arial" w:eastAsia="Arial" w:hAnsi="Arial"/>
                <w:sz w:val="18"/>
                <w:szCs w:val="18"/>
                <w:b w:val="1"/>
                <w:bCs w:val="1"/>
                <w:color w:val="auto"/>
                <w:w w:val="84"/>
              </w:rPr>
              <w:t>Registered</w:t>
            </w:r>
            <w:r>
              <w:rPr>
                <w:rFonts w:ascii="Arial" w:cs="Arial" w:eastAsia="Arial" w:hAnsi="Arial"/>
                <w:sz w:val="25"/>
                <w:szCs w:val="25"/>
                <w:b w:val="1"/>
                <w:bCs w:val="1"/>
                <w:color w:val="auto"/>
                <w:w w:val="84"/>
                <w:vertAlign w:val="superscript"/>
              </w:rPr>
              <w:t>(2)</w:t>
            </w:r>
          </w:p>
        </w:tc>
        <w:tc>
          <w:tcPr>
            <w:tcW w:w="1140" w:type="dxa"/>
            <w:vAlign w:val="bottom"/>
          </w:tcPr>
          <w:p>
            <w:pPr>
              <w:jc w:val="right"/>
              <w:ind w:right="414"/>
              <w:spacing w:after="0"/>
              <w:rPr>
                <w:sz w:val="20"/>
                <w:szCs w:val="20"/>
                <w:color w:val="auto"/>
              </w:rPr>
            </w:pPr>
            <w:r>
              <w:rPr>
                <w:rFonts w:ascii="Arial" w:cs="Arial" w:eastAsia="Arial" w:hAnsi="Arial"/>
                <w:sz w:val="13"/>
                <w:szCs w:val="13"/>
                <w:b w:val="1"/>
                <w:bCs w:val="1"/>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line="216" w:lineRule="exact"/>
              <w:rPr>
                <w:sz w:val="20"/>
                <w:szCs w:val="20"/>
                <w:color w:val="auto"/>
              </w:rPr>
            </w:pPr>
            <w:r>
              <w:rPr>
                <w:rFonts w:ascii="Arial" w:cs="Arial" w:eastAsia="Arial" w:hAnsi="Arial"/>
                <w:sz w:val="25"/>
                <w:szCs w:val="25"/>
                <w:b w:val="1"/>
                <w:bCs w:val="1"/>
                <w:color w:val="auto"/>
                <w:vertAlign w:val="subscript"/>
              </w:rPr>
              <w:t>Fee</w:t>
            </w:r>
            <w:r>
              <w:rPr>
                <w:rFonts w:ascii="Arial" w:cs="Arial" w:eastAsia="Arial" w:hAnsi="Arial"/>
                <w:sz w:val="11"/>
                <w:szCs w:val="11"/>
                <w:b w:val="1"/>
                <w:bCs w:val="1"/>
                <w:color w:val="auto"/>
              </w:rPr>
              <w:t xml:space="preserve"> (3) (4)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shd w:val="clear" w:color="auto" w:fill="000000"/>
          </w:tcPr>
          <w:p>
            <w:pPr>
              <w:spacing w:after="0"/>
              <w:rPr>
                <w:sz w:val="2"/>
                <w:szCs w:val="2"/>
                <w:color w:val="auto"/>
              </w:rPr>
            </w:pPr>
          </w:p>
        </w:tc>
        <w:tc>
          <w:tcPr>
            <w:tcW w:w="3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$0.001 par value per share</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3,623,341</w:t>
            </w:r>
            <w:r>
              <w:rPr>
                <w:rFonts w:ascii="Arial" w:cs="Arial" w:eastAsia="Arial" w:hAnsi="Arial"/>
                <w:sz w:val="12"/>
                <w:szCs w:val="12"/>
                <w:color w:val="auto"/>
              </w:rPr>
              <w:t>(1)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   36,233,410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4,210.32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right="460" w:hanging="277"/>
        <w:spacing w:after="0" w:line="312" w:lineRule="auto"/>
        <w:tabs>
          <w:tab w:leader="none" w:pos="420" w:val="left"/>
        </w:tabs>
        <w:numPr>
          <w:ilvl w:val="0"/>
          <w:numId w:val="1"/>
        </w:numPr>
        <w:rPr>
          <w:rFonts w:ascii="Arial" w:cs="Arial" w:eastAsia="Arial" w:hAnsi="Arial"/>
          <w:sz w:val="16"/>
          <w:szCs w:val="16"/>
          <w:color w:val="auto"/>
        </w:rPr>
      </w:pPr>
      <w:r>
        <w:rPr>
          <w:rFonts w:ascii="Arial" w:cs="Arial" w:eastAsia="Arial" w:hAnsi="Arial"/>
          <w:sz w:val="16"/>
          <w:szCs w:val="16"/>
          <w:color w:val="auto"/>
        </w:rPr>
        <w:t>Consists of up to 2,668,305 shares of common stock issuable upon conversion of shares of Series B 10% Convertible Preferred Stock (“</w:t>
      </w:r>
      <w:r>
        <w:rPr>
          <w:rFonts w:ascii="Arial" w:cs="Arial" w:eastAsia="Arial" w:hAnsi="Arial"/>
          <w:sz w:val="16"/>
          <w:szCs w:val="16"/>
          <w:i w:val="1"/>
          <w:iCs w:val="1"/>
          <w:color w:val="auto"/>
        </w:rPr>
        <w:t>Series B</w:t>
      </w:r>
      <w:r>
        <w:rPr>
          <w:rFonts w:ascii="Arial" w:cs="Arial" w:eastAsia="Arial" w:hAnsi="Arial"/>
          <w:sz w:val="16"/>
          <w:szCs w:val="16"/>
          <w:color w:val="auto"/>
        </w:rPr>
        <w:t xml:space="preserve"> </w:t>
      </w:r>
      <w:r>
        <w:rPr>
          <w:rFonts w:ascii="Arial" w:cs="Arial" w:eastAsia="Arial" w:hAnsi="Arial"/>
          <w:sz w:val="16"/>
          <w:szCs w:val="16"/>
          <w:i w:val="1"/>
          <w:iCs w:val="1"/>
          <w:color w:val="auto"/>
        </w:rPr>
        <w:t>Preferred</w:t>
      </w:r>
      <w:r>
        <w:rPr>
          <w:rFonts w:ascii="Arial" w:cs="Arial" w:eastAsia="Arial" w:hAnsi="Arial"/>
          <w:sz w:val="16"/>
          <w:szCs w:val="16"/>
          <w:color w:val="auto"/>
        </w:rPr>
        <w:t>”), and up to 955,036 shares of common stock, $0.001 par value per share, issuable upon exercise of warrants to purchase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Warrants</w:t>
      </w:r>
      <w:r>
        <w:rPr>
          <w:rFonts w:ascii="Arial" w:cs="Arial" w:eastAsia="Arial" w:hAnsi="Arial"/>
          <w:sz w:val="16"/>
          <w:szCs w:val="16"/>
          <w:color w:val="auto"/>
        </w:rPr>
        <w:t>”), issued in private placement transactions, first consummated on May 12, 2015 (the “</w:t>
      </w:r>
      <w:r>
        <w:rPr>
          <w:rFonts w:ascii="Arial" w:cs="Arial" w:eastAsia="Arial" w:hAnsi="Arial"/>
          <w:sz w:val="16"/>
          <w:szCs w:val="16"/>
          <w:i w:val="1"/>
          <w:iCs w:val="1"/>
          <w:color w:val="auto"/>
        </w:rPr>
        <w:t>Private Placements</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jc w:val="both"/>
        <w:ind w:left="420" w:hanging="277"/>
        <w:spacing w:after="0" w:line="264"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the event of a stock split, stock dividend or similar transaction involving the common stock of the Registrant, in order to prevent dilution, the number of shares registered shall be automatically increased to cover additional shares in accordance with Rule 416(a) under the Securities Act of 1933, as amended (“</w:t>
      </w:r>
      <w:r>
        <w:rPr>
          <w:rFonts w:ascii="Arial" w:cs="Arial" w:eastAsia="Arial" w:hAnsi="Arial"/>
          <w:sz w:val="18"/>
          <w:szCs w:val="18"/>
          <w:i w:val="1"/>
          <w:iCs w:val="1"/>
          <w:color w:val="auto"/>
        </w:rPr>
        <w:t>Securities Act</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420" w:hanging="277"/>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457(c) under the Securities Act.</w:t>
      </w:r>
    </w:p>
    <w:p>
      <w:pPr>
        <w:spacing w:after="0" w:line="225" w:lineRule="exact"/>
        <w:rPr>
          <w:rFonts w:ascii="Arial" w:cs="Arial" w:eastAsia="Arial" w:hAnsi="Arial"/>
          <w:sz w:val="18"/>
          <w:szCs w:val="18"/>
          <w:color w:val="auto"/>
        </w:rPr>
      </w:pPr>
    </w:p>
    <w:p>
      <w:pPr>
        <w:jc w:val="both"/>
        <w:ind w:left="420" w:hanging="277"/>
        <w:spacing w:after="0" w:line="259" w:lineRule="auto"/>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registration fee in the aggregate amount of $4,404.96 was previously paid by the registrant in connection with the filing of a Registration Statement on Form S-1 (Registration No. 333-195901), first filed on May 12, 2014 and subsequently withdrawn prior to the sale of any securities thereunder. Pursuant to Rule 457(p) under the Securities Act, the Registrant hereby applies $4,210.32 of the previously paid filing fee against amounts due herewith.</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FF0000"/>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it is not soliciting offers to buy these securities in any state where the offer or sale is not permitted.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w:t>
      </w:r>
    </w:p>
    <w:p>
      <w:pPr>
        <w:spacing w:after="0" w:line="234"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Dated _________ __, 2015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3,623,341 Shares of Common Stock</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1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are registering for resale up to 3,623,341 shares of common stock, $0.001 per share, of VistaGen Therapeutics, Inc.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or the “</w:t>
      </w:r>
      <w:r>
        <w:rPr>
          <w:rFonts w:ascii="Arial" w:cs="Arial" w:eastAsia="Arial" w:hAnsi="Arial"/>
          <w:sz w:val="18"/>
          <w:szCs w:val="18"/>
          <w:i w:val="1"/>
          <w:iCs w:val="1"/>
          <w:color w:val="auto"/>
        </w:rPr>
        <w:t>Company</w:t>
      </w:r>
      <w:r>
        <w:rPr>
          <w:rFonts w:ascii="Arial" w:cs="Arial" w:eastAsia="Arial" w:hAnsi="Arial"/>
          <w:sz w:val="18"/>
          <w:szCs w:val="18"/>
          <w:color w:val="auto"/>
        </w:rPr>
        <w:t>”), held by the selling stockholders listed beginning on page 106 of this prospectus (“</w:t>
      </w:r>
      <w:r>
        <w:rPr>
          <w:rFonts w:ascii="Arial" w:cs="Arial" w:eastAsia="Arial" w:hAnsi="Arial"/>
          <w:sz w:val="18"/>
          <w:szCs w:val="18"/>
          <w:i w:val="1"/>
          <w:iCs w:val="1"/>
          <w:color w:val="auto"/>
        </w:rPr>
        <w:t>Selling Stockholders</w:t>
      </w:r>
      <w:r>
        <w:rPr>
          <w:rFonts w:ascii="Arial" w:cs="Arial" w:eastAsia="Arial" w:hAnsi="Arial"/>
          <w:sz w:val="18"/>
          <w:szCs w:val="18"/>
          <w:color w:val="auto"/>
        </w:rPr>
        <w:t>”). All of the shares being offered for resale by the Selling Stockholders. The shares of common stock registered for resale under this prospectus include:</w:t>
      </w:r>
    </w:p>
    <w:p>
      <w:pPr>
        <w:spacing w:after="0" w:line="208" w:lineRule="exact"/>
        <w:rPr>
          <w:sz w:val="20"/>
          <w:szCs w:val="20"/>
          <w:color w:val="auto"/>
        </w:rPr>
      </w:pPr>
    </w:p>
    <w:p>
      <w:pPr>
        <w:jc w:val="both"/>
        <w:ind w:left="1040" w:hanging="319"/>
        <w:spacing w:after="0" w:line="264"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2,668,305 shares of common stock issuable upon conversion of shares of Series B 10% Convertible Preferred Stock (“</w:t>
      </w:r>
      <w:r>
        <w:rPr>
          <w:rFonts w:ascii="Arial" w:cs="Arial" w:eastAsia="Arial" w:hAnsi="Arial"/>
          <w:sz w:val="18"/>
          <w:szCs w:val="18"/>
          <w:i w:val="1"/>
          <w:iCs w:val="1"/>
          <w:color w:val="auto"/>
        </w:rPr>
        <w:t>Series B</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 issued in a series of private placement transactions, the first of which was consummated on May 12, 2015 (the “</w:t>
      </w:r>
      <w:r>
        <w:rPr>
          <w:rFonts w:ascii="Arial" w:cs="Arial" w:eastAsia="Arial" w:hAnsi="Arial"/>
          <w:sz w:val="18"/>
          <w:szCs w:val="18"/>
          <w:i w:val="1"/>
          <w:iCs w:val="1"/>
          <w:color w:val="auto"/>
        </w:rPr>
        <w:t>Private Placements</w:t>
      </w:r>
      <w:r>
        <w:rPr>
          <w:rFonts w:ascii="Arial" w:cs="Arial" w:eastAsia="Arial" w:hAnsi="Arial"/>
          <w:sz w:val="18"/>
          <w:szCs w:val="18"/>
          <w:color w:val="auto"/>
        </w:rPr>
        <w:t>”); and</w:t>
      </w:r>
    </w:p>
    <w:p>
      <w:pPr>
        <w:spacing w:after="0" w:line="181" w:lineRule="exact"/>
        <w:rPr>
          <w:rFonts w:ascii="Arial" w:cs="Arial" w:eastAsia="Arial" w:hAnsi="Arial"/>
          <w:sz w:val="18"/>
          <w:szCs w:val="18"/>
          <w:color w:val="auto"/>
        </w:rPr>
      </w:pPr>
    </w:p>
    <w:p>
      <w:pPr>
        <w:ind w:left="1040" w:right="220" w:hanging="319"/>
        <w:spacing w:after="0" w:line="277" w:lineRule="auto"/>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955,036 shares of common stock issuable upon exercise of warrants to purchase common stock (“</w:t>
      </w:r>
      <w:r>
        <w:rPr>
          <w:rFonts w:ascii="Arial" w:cs="Arial" w:eastAsia="Arial" w:hAnsi="Arial"/>
          <w:sz w:val="18"/>
          <w:szCs w:val="18"/>
          <w:i w:val="1"/>
          <w:iCs w:val="1"/>
          <w:color w:val="auto"/>
        </w:rPr>
        <w:t>Warrants</w:t>
      </w:r>
      <w:r>
        <w:rPr>
          <w:rFonts w:ascii="Arial" w:cs="Arial" w:eastAsia="Arial" w:hAnsi="Arial"/>
          <w:sz w:val="18"/>
          <w:szCs w:val="18"/>
          <w:color w:val="auto"/>
        </w:rPr>
        <w:t>”) issued in connection with the Private Placements.</w:t>
      </w:r>
    </w:p>
    <w:p>
      <w:pPr>
        <w:spacing w:after="0" w:line="170"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We will not receive any proceeds from the resale of any shares of common stock by the Selling Stockholders under this prospectus. However, if Warrants are exercised by the Selling Stockholders who hold them, we will receive the exercise price of any such Warrant exercises. We will pay the expenses of registering the shares of common stock for resale by the Selling Stockholders under this prospectus. See “</w:t>
      </w:r>
      <w:r>
        <w:rPr>
          <w:rFonts w:ascii="Arial" w:cs="Arial" w:eastAsia="Arial" w:hAnsi="Arial"/>
          <w:sz w:val="18"/>
          <w:szCs w:val="18"/>
          <w:i w:val="1"/>
          <w:iCs w:val="1"/>
          <w:color w:val="auto"/>
        </w:rPr>
        <w:t>Selling Stockholders</w:t>
      </w:r>
      <w:r>
        <w:rPr>
          <w:rFonts w:ascii="Arial" w:cs="Arial" w:eastAsia="Arial" w:hAnsi="Arial"/>
          <w:sz w:val="18"/>
          <w:szCs w:val="18"/>
          <w:color w:val="auto"/>
        </w:rPr>
        <w:t>” beginning on page 106 of this prospectus for a list of the Selling Stockholders.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shares of common stock are being registered to permit the Selling Stockholders to resell the shares from time to time, in amounts and at prices and on terms determined at the time of the offering. The Selling Stockholders may resell the shares of our common stock covered by this prospectus in a number of different ways and at prevailing market prices or privately negotiated transactions. We provide more information about how the Selling Stockholders may resell the shares in the section entitled “</w:t>
      </w:r>
      <w:r>
        <w:rPr>
          <w:rFonts w:ascii="Arial" w:cs="Arial" w:eastAsia="Arial" w:hAnsi="Arial"/>
          <w:sz w:val="17"/>
          <w:szCs w:val="17"/>
          <w:i w:val="1"/>
          <w:iCs w:val="1"/>
          <w:color w:val="auto"/>
        </w:rPr>
        <w:t>Plan of Distribution</w:t>
      </w:r>
      <w:r>
        <w:rPr>
          <w:rFonts w:ascii="Arial" w:cs="Arial" w:eastAsia="Arial" w:hAnsi="Arial"/>
          <w:sz w:val="17"/>
          <w:szCs w:val="17"/>
          <w:color w:val="auto"/>
        </w:rPr>
        <w:t>” beginning on page 109 of this prospectus.</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common stock is quoted on the OTCQB under the symbol “VSTA.” The last reported sale price of our common stock on July 17, 2015 was $10.00 per share.</w:t>
      </w:r>
    </w:p>
    <w:p>
      <w:pPr>
        <w:spacing w:after="0" w:line="197"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No underwriter or other person has been engaged to facilitate the resale of shares of common stock or exercise of Warrants by the Selling Stockholders under this prospectus.</w:t>
      </w:r>
    </w:p>
    <w:p>
      <w:pPr>
        <w:spacing w:after="0" w:line="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You should rely only on the information contained in this prospectus. We have not, and the Selling Stockholders have not, authorized anyone to provide you with different information. No dealer, salesperson or other person is authorized to give any information or to represent anything not contained in this prospectus. You must not rely on any unauthorized information or representations. If anyone provides you with different information, you should not rely on it. We are not, and the Selling Stockholders are not, making an offer to sell these securities in any jurisdiction where the offer or sale is not permitted. You should assume that the information contained in this prospectus is accurate only as of the date on the front cover of this prospectus. Our business, financial condition, results of operations and prospects may have changed since that date.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Investing in our common stock involves a high degree of risk. See “Risk Factors” beginning on page 3 of this prospectus.</w:t>
      </w:r>
    </w:p>
    <w:p>
      <w:pPr>
        <w:spacing w:after="0" w:line="2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9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date of this prospectus is ______ __,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20" w:type="dxa"/>
            <w:vAlign w:val="bottom"/>
            <w:gridSpan w:val="5"/>
          </w:tcPr>
          <w:p>
            <w:pPr>
              <w:jc w:val="center"/>
              <w:ind w:right="3640"/>
              <w:spacing w:after="0"/>
              <w:rPr>
                <w:sz w:val="20"/>
                <w:szCs w:val="20"/>
                <w:color w:val="auto"/>
              </w:rPr>
            </w:pPr>
            <w:r>
              <w:rPr>
                <w:rFonts w:ascii="Arial" w:cs="Arial" w:eastAsia="Arial" w:hAnsi="Arial"/>
                <w:sz w:val="18"/>
                <w:szCs w:val="18"/>
                <w:b w:val="1"/>
                <w:bCs w:val="1"/>
                <w:color w:val="auto"/>
                <w:w w:val="91"/>
              </w:rPr>
              <w:t>VistaGen Therapeutics, Inc.</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920" w:type="dxa"/>
            <w:vAlign w:val="bottom"/>
            <w:gridSpan w:val="5"/>
          </w:tcPr>
          <w:p>
            <w:pPr>
              <w:jc w:val="center"/>
              <w:ind w:right="3640"/>
              <w:spacing w:after="0"/>
              <w:rPr>
                <w:sz w:val="20"/>
                <w:szCs w:val="20"/>
                <w:color w:val="auto"/>
              </w:rPr>
            </w:pPr>
            <w:r>
              <w:rPr>
                <w:rFonts w:ascii="Arial" w:cs="Arial" w:eastAsia="Arial" w:hAnsi="Arial"/>
                <w:sz w:val="18"/>
                <w:szCs w:val="18"/>
                <w:b w:val="1"/>
                <w:bCs w:val="1"/>
                <w:color w:val="auto"/>
                <w:w w:val="98"/>
              </w:rPr>
              <w:t>TABLE OF CONTENTS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5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Prospectus Summary</w:t>
              </w:r>
            </w:hyperlink>
          </w:p>
        </w:tc>
        <w:tc>
          <w:tcPr>
            <w:tcW w:w="8960" w:type="dxa"/>
            <w:vAlign w:val="bottom"/>
            <w:tcBorders>
              <w:bottom w:val="single" w:sz="8" w:color="CCEEFF"/>
            </w:tcBorders>
            <w:gridSpan w:val="15"/>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80" w:type="dxa"/>
            <w:vAlign w:val="bottom"/>
            <w:gridSpan w:val="25"/>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The Offering</w:t>
              </w:r>
            </w:hyperlink>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9580" w:type="dxa"/>
            <w:vAlign w:val="bottom"/>
            <w:tcBorders>
              <w:bottom w:val="single" w:sz="8" w:color="CCEEFF"/>
            </w:tcBorders>
            <w:gridSpan w:val="22"/>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80" w:type="dxa"/>
            <w:vAlign w:val="bottom"/>
            <w:gridSpan w:val="25"/>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Use of Proceeds</w:t>
              </w:r>
            </w:hyperlink>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80" w:type="dxa"/>
            <w:vAlign w:val="bottom"/>
            <w:gridSpan w:val="25"/>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Special Note Regarding Forward-Looking Statements</w:t>
              </w:r>
            </w:hyperlink>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6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Business</w:t>
              </w:r>
            </w:hyperlink>
          </w:p>
        </w:tc>
        <w:tc>
          <w:tcPr>
            <w:tcW w:w="6620" w:type="dxa"/>
            <w:vAlign w:val="bottom"/>
            <w:tcBorders>
              <w:top w:val="single" w:sz="8" w:color="CCEEFF"/>
            </w:tcBorders>
            <w:gridSpan w:val="7"/>
          </w:tcPr>
          <w:p>
            <w:pPr>
              <w:spacing w:after="0"/>
              <w:rPr>
                <w:sz w:val="15"/>
                <w:szCs w:val="15"/>
                <w:color w:val="auto"/>
              </w:rPr>
            </w:pPr>
          </w:p>
        </w:tc>
        <w:tc>
          <w:tcPr>
            <w:tcW w:w="9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480" w:type="dxa"/>
            <w:vAlign w:val="bottom"/>
            <w:gridSpan w:val="25"/>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Legal Proceedings</w:t>
              </w:r>
            </w:hyperlink>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480" w:type="dxa"/>
            <w:vAlign w:val="bottom"/>
            <w:gridSpan w:val="25"/>
          </w:tcPr>
          <w:p>
            <w:pPr>
              <w:spacing w:after="0" w:line="176" w:lineRule="exact"/>
              <w:rPr>
                <w:rFonts w:ascii="Arial" w:cs="Arial" w:eastAsia="Arial" w:hAnsi="Arial"/>
                <w:sz w:val="18"/>
                <w:szCs w:val="18"/>
                <w:color w:val="0000EE"/>
              </w:rPr>
            </w:pPr>
            <w:hyperlink w:anchor="page80">
              <w:r>
                <w:rPr>
                  <w:rFonts w:ascii="Arial" w:cs="Arial" w:eastAsia="Arial" w:hAnsi="Arial"/>
                  <w:sz w:val="18"/>
                  <w:szCs w:val="18"/>
                  <w:color w:val="0000EE"/>
                </w:rPr>
                <w:t>Market Price of Common Stock and Other Stockholder Matters</w:t>
              </w:r>
            </w:hyperlink>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89"/>
              </w:rPr>
              <w:t>74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0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Selected Consolidated Financial Data</w:t>
              </w:r>
            </w:hyperlink>
          </w:p>
        </w:tc>
        <w:tc>
          <w:tcPr>
            <w:tcW w:w="7780" w:type="dxa"/>
            <w:vAlign w:val="bottom"/>
            <w:tcBorders>
              <w:bottom w:val="single" w:sz="8" w:color="CCEEFF"/>
            </w:tcBorders>
            <w:gridSpan w:val="13"/>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80" w:type="dxa"/>
            <w:vAlign w:val="bottom"/>
            <w:gridSpan w:val="25"/>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Management’s Discussion and Analysis of Financial Condition and Results of Operations</w:t>
              </w:r>
            </w:hyperlink>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89"/>
              </w:rPr>
              <w:t>75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80" w:type="dxa"/>
            <w:vAlign w:val="bottom"/>
            <w:gridSpan w:val="25"/>
            <w:shd w:val="clear" w:color="auto" w:fill="CCEEFF"/>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Changes in and Disagreements with Accountants on Accounting and Financial Disclosure</w:t>
              </w:r>
            </w:hyperlink>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6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93">
              <w:r>
                <w:rPr>
                  <w:rFonts w:ascii="Arial" w:cs="Arial" w:eastAsia="Arial" w:hAnsi="Arial"/>
                  <w:sz w:val="18"/>
                  <w:szCs w:val="18"/>
                  <w:color w:val="0000EE"/>
                </w:rPr>
                <w:t>Directors, Execute Officers, Promoters and Control Persons</w:t>
              </w:r>
            </w:hyperlink>
          </w:p>
        </w:tc>
        <w:tc>
          <w:tcPr>
            <w:tcW w:w="4020" w:type="dxa"/>
            <w:vAlign w:val="bottom"/>
            <w:tcBorders>
              <w:top w:val="single" w:sz="8" w:color="CCEEFF"/>
            </w:tcBorders>
            <w:gridSpan w:val="2"/>
          </w:tcPr>
          <w:p>
            <w:pPr>
              <w:spacing w:after="0"/>
              <w:rPr>
                <w:sz w:val="15"/>
                <w:szCs w:val="15"/>
                <w:color w:val="auto"/>
              </w:rPr>
            </w:pPr>
          </w:p>
        </w:tc>
        <w:tc>
          <w:tcPr>
            <w:tcW w:w="92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0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Executive Compensation</w:t>
              </w:r>
            </w:hyperlink>
          </w:p>
        </w:tc>
        <w:tc>
          <w:tcPr>
            <w:tcW w:w="8680" w:type="dxa"/>
            <w:vAlign w:val="bottom"/>
            <w:tcBorders>
              <w:bottom w:val="single" w:sz="8" w:color="CCEEFF"/>
            </w:tcBorders>
            <w:gridSpan w:val="14"/>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80" w:type="dxa"/>
            <w:vAlign w:val="bottom"/>
            <w:gridSpan w:val="25"/>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Certain Relationships and Related Transactions</w:t>
              </w:r>
            </w:hyperlink>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89"/>
              </w:rPr>
              <w:t>98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36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0"/>
              </w:rPr>
            </w:pPr>
            <w:hyperlink w:anchor="page108">
              <w:r>
                <w:rPr>
                  <w:rFonts w:ascii="Arial" w:cs="Arial" w:eastAsia="Arial" w:hAnsi="Arial"/>
                  <w:sz w:val="18"/>
                  <w:szCs w:val="18"/>
                  <w:color w:val="0000EE"/>
                  <w:w w:val="90"/>
                </w:rPr>
                <w:t>Security Ownership of Certain Beneficial Owners and Management and Related Stockholders Matters</w:t>
              </w:r>
            </w:hyperlink>
          </w:p>
        </w:tc>
        <w:tc>
          <w:tcPr>
            <w:tcW w:w="3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80" w:type="dxa"/>
            <w:vAlign w:val="bottom"/>
            <w:gridSpan w:val="25"/>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Description of Securities to be Registered</w:t>
              </w:r>
            </w:hyperlink>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3"/>
              </w:rPr>
              <w:t>105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480" w:type="dxa"/>
            <w:vAlign w:val="bottom"/>
            <w:gridSpan w:val="25"/>
            <w:shd w:val="clear" w:color="auto" w:fill="CCEEFF"/>
          </w:tcPr>
          <w:p>
            <w:pPr>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Selling Stockholders</w:t>
              </w:r>
            </w:hyperlink>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480" w:type="dxa"/>
            <w:vAlign w:val="bottom"/>
            <w:gridSpan w:val="25"/>
          </w:tcPr>
          <w:p>
            <w:pPr>
              <w:spacing w:after="0" w:line="176" w:lineRule="exact"/>
              <w:rPr>
                <w:rFonts w:ascii="Arial" w:cs="Arial" w:eastAsia="Arial" w:hAnsi="Arial"/>
                <w:sz w:val="18"/>
                <w:szCs w:val="18"/>
                <w:color w:val="0000EE"/>
              </w:rPr>
            </w:pPr>
            <w:hyperlink w:anchor="page121">
              <w:r>
                <w:rPr>
                  <w:rFonts w:ascii="Arial" w:cs="Arial" w:eastAsia="Arial" w:hAnsi="Arial"/>
                  <w:sz w:val="18"/>
                  <w:szCs w:val="18"/>
                  <w:color w:val="0000EE"/>
                </w:rPr>
                <w:t>Relationships Between the Issuer and the Selling Security Holders</w:t>
              </w:r>
            </w:hyperlink>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3"/>
              </w:rPr>
              <w:t>109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w:anchor="page121">
              <w:r>
                <w:rPr>
                  <w:rFonts w:ascii="Arial" w:cs="Arial" w:eastAsia="Arial" w:hAnsi="Arial"/>
                  <w:sz w:val="18"/>
                  <w:szCs w:val="18"/>
                  <w:color w:val="0000EE"/>
                  <w:w w:val="92"/>
                </w:rPr>
                <w:t>Plan of Distribution</w:t>
              </w:r>
            </w:hyperlink>
          </w:p>
        </w:tc>
        <w:tc>
          <w:tcPr>
            <w:tcW w:w="9060" w:type="dxa"/>
            <w:vAlign w:val="bottom"/>
            <w:tcBorders>
              <w:bottom w:val="single" w:sz="8" w:color="CCEEFF"/>
            </w:tcBorders>
            <w:gridSpan w:val="17"/>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109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80" w:type="dxa"/>
            <w:vAlign w:val="bottom"/>
            <w:gridSpan w:val="25"/>
          </w:tcPr>
          <w:p>
            <w:pPr>
              <w:spacing w:after="0" w:line="176" w:lineRule="exact"/>
              <w:rPr>
                <w:rFonts w:ascii="Arial" w:cs="Arial" w:eastAsia="Arial" w:hAnsi="Arial"/>
                <w:sz w:val="18"/>
                <w:szCs w:val="18"/>
                <w:color w:val="0000EE"/>
              </w:rPr>
            </w:pPr>
            <w:hyperlink w:anchor="page123">
              <w:r>
                <w:rPr>
                  <w:rFonts w:ascii="Arial" w:cs="Arial" w:eastAsia="Arial" w:hAnsi="Arial"/>
                  <w:sz w:val="18"/>
                  <w:szCs w:val="18"/>
                  <w:color w:val="0000EE"/>
                </w:rPr>
                <w:t>Experts</w:t>
              </w:r>
            </w:hyperlink>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93"/>
              </w:rPr>
              <w:t>110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Legal Matters</w:t>
              </w:r>
            </w:hyperlink>
          </w:p>
        </w:tc>
        <w:tc>
          <w:tcPr>
            <w:tcW w:w="9480" w:type="dxa"/>
            <w:vAlign w:val="bottom"/>
            <w:tcBorders>
              <w:bottom w:val="single" w:sz="8" w:color="CCEEFF"/>
            </w:tcBorders>
            <w:gridSpan w:val="20"/>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80" w:type="dxa"/>
            <w:vAlign w:val="bottom"/>
            <w:gridSpan w:val="25"/>
          </w:tcPr>
          <w:p>
            <w:pPr>
              <w:spacing w:after="0" w:line="176" w:lineRule="exact"/>
              <w:rPr>
                <w:rFonts w:ascii="Arial" w:cs="Arial" w:eastAsia="Arial" w:hAnsi="Arial"/>
                <w:sz w:val="18"/>
                <w:szCs w:val="18"/>
                <w:color w:val="0000EE"/>
              </w:rPr>
            </w:pPr>
            <w:hyperlink w:anchor="page124">
              <w:r>
                <w:rPr>
                  <w:rFonts w:ascii="Arial" w:cs="Arial" w:eastAsia="Arial" w:hAnsi="Arial"/>
                  <w:sz w:val="18"/>
                  <w:szCs w:val="18"/>
                  <w:color w:val="0000EE"/>
                </w:rPr>
                <w:t>Interests of Named Experts and Counsel</w:t>
              </w:r>
            </w:hyperlink>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79"/>
              </w:rPr>
              <w:t>111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1"/>
              </w:rPr>
            </w:pPr>
            <w:hyperlink w:anchor="page124">
              <w:r>
                <w:rPr>
                  <w:rFonts w:ascii="Arial" w:cs="Arial" w:eastAsia="Arial" w:hAnsi="Arial"/>
                  <w:sz w:val="18"/>
                  <w:szCs w:val="18"/>
                  <w:color w:val="0000EE"/>
                  <w:w w:val="91"/>
                </w:rPr>
                <w:t>Where You Can Find More Information</w:t>
              </w:r>
            </w:hyperlink>
          </w:p>
        </w:tc>
        <w:tc>
          <w:tcPr>
            <w:tcW w:w="7620" w:type="dxa"/>
            <w:vAlign w:val="bottom"/>
            <w:tcBorders>
              <w:bottom w:val="single" w:sz="8" w:color="CCEEFF"/>
            </w:tcBorders>
            <w:gridSpan w:val="12"/>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80" w:type="dxa"/>
            <w:vAlign w:val="bottom"/>
            <w:gridSpan w:val="25"/>
          </w:tcPr>
          <w:p>
            <w:pPr>
              <w:spacing w:after="0" w:line="176" w:lineRule="exact"/>
              <w:rPr>
                <w:rFonts w:ascii="Arial" w:cs="Arial" w:eastAsia="Arial" w:hAnsi="Arial"/>
                <w:sz w:val="18"/>
                <w:szCs w:val="18"/>
                <w:color w:val="0000EE"/>
              </w:rPr>
            </w:pPr>
            <w:hyperlink w:anchor="page125">
              <w:r>
                <w:rPr>
                  <w:rFonts w:ascii="Arial" w:cs="Arial" w:eastAsia="Arial" w:hAnsi="Arial"/>
                  <w:sz w:val="18"/>
                  <w:szCs w:val="18"/>
                  <w:color w:val="0000EE"/>
                </w:rPr>
                <w:t>Index to Consolidated Financial Statements</w:t>
              </w:r>
            </w:hyperlink>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You should rely only on the information contained in this prospectus. We have not authorized anyone to provide you with additional information or information different from that contained in this prospectus. The information contained in this prospectus is accurate only as of the date of this prospectus, regardless of the time of delivery of this prospectus or any sale of our common stock.</w:t>
      </w:r>
    </w:p>
    <w:p>
      <w:pPr>
        <w:spacing w:after="0" w:line="181"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i w:val="1"/>
          <w:iCs w:val="1"/>
          <w:color w:val="auto"/>
        </w:rPr>
        <w:t>We own or have rights to use a number of common law trademarks and trade names that we use in connection with our business, including VistaGen Therapeutics, Inc., VistaGen, our logo, Better Cells Lead to Better Medicine, Human Clinical Trials in a Test Tube, CardioSafe 3D and LiverSafe 3D. Solely for convenience, the trademarks and trade names referred to in certain portions of this prospectus may have been included without the TM symbol, but any such references are not intended to indicate in any way that we will not assert to the fullest extent under applicable law our rights to use those trademarks and trade names. All other trademarks, service marks and trade names referred to in this prospectus, if any, are, to our knowledge, the property of their respective owners.</w:t>
      </w:r>
    </w:p>
    <w:p>
      <w:pPr>
        <w:spacing w:after="0" w:line="19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Unless the context otherwise requires, the words “VistaGen Therapeutics, Inc.” “VistaGen,” “we,” “the Company,” “us” and “our” refer to VistaGen Therapeutics, Inc., a Nevada corporation. “VistaGen California” refers to VistaGen Therapeutics, Inc., a California corporation and our wholly owned subsidiary.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4" w:name="page5"/>
    <w:bookmarkEnd w:id="4"/>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80"/>
        <w:spacing w:after="0" w:line="291" w:lineRule="auto"/>
        <w:rPr>
          <w:sz w:val="20"/>
          <w:szCs w:val="20"/>
          <w:color w:val="auto"/>
        </w:rPr>
      </w:pPr>
      <w:r>
        <w:rPr>
          <w:rFonts w:ascii="Arial" w:cs="Arial" w:eastAsia="Arial" w:hAnsi="Arial"/>
          <w:sz w:val="16"/>
          <w:szCs w:val="16"/>
          <w:color w:val="auto"/>
        </w:rPr>
        <w:t>This prospectus, including the information incorporated by reference, contains forward-looking statements as defined in the Private Securities Litigation Reform Act of 1995. The use of any statements containing the words “intend,” “believe,” “estimate,” “project,” “expect,” “anticipate,” “plan,” “should” or similar expressions are intended to identify such statement. Forward-looking statements inherently involve risks and uncertainties that could cause actual results to differ materially from the forward-looking statements. Factors that could cause or contribute to such differences include, but are not limited to, changes in demand for our products and services, changes in the level of operating expenses, our ability to execute our business and operating plan, changes in general economic conditions that impact government spending, regulatory issues, dependence on third party suppliers, and other risks detailed in this prospectus under the heading “Risk Factors” and in our periodic report filings with the Securities and Exchange Commission (the “</w:t>
      </w:r>
      <w:r>
        <w:rPr>
          <w:rFonts w:ascii="Arial" w:cs="Arial" w:eastAsia="Arial" w:hAnsi="Arial"/>
          <w:sz w:val="16"/>
          <w:szCs w:val="16"/>
          <w:i w:val="1"/>
          <w:iCs w:val="1"/>
          <w:color w:val="auto"/>
        </w:rPr>
        <w:t>SEC</w:t>
      </w:r>
      <w:r>
        <w:rPr>
          <w:rFonts w:ascii="Arial" w:cs="Arial" w:eastAsia="Arial" w:hAnsi="Arial"/>
          <w:sz w:val="16"/>
          <w:szCs w:val="16"/>
          <w:color w:val="auto"/>
        </w:rPr>
        <w:t>”).</w:t>
      </w:r>
    </w:p>
    <w:p>
      <w:pPr>
        <w:spacing w:after="0" w:line="167" w:lineRule="exact"/>
        <w:rPr>
          <w:sz w:val="20"/>
          <w:szCs w:val="20"/>
          <w:color w:val="auto"/>
        </w:rPr>
      </w:pPr>
    </w:p>
    <w:p>
      <w:pPr>
        <w:jc w:val="both"/>
        <w:ind w:firstLine="151"/>
        <w:spacing w:after="0" w:line="279" w:lineRule="auto"/>
        <w:rPr>
          <w:sz w:val="20"/>
          <w:szCs w:val="20"/>
          <w:color w:val="auto"/>
        </w:rPr>
      </w:pPr>
      <w:r>
        <w:rPr>
          <w:rFonts w:ascii="Arial" w:cs="Arial" w:eastAsia="Arial" w:hAnsi="Arial"/>
          <w:sz w:val="17"/>
          <w:szCs w:val="17"/>
          <w:color w:val="auto"/>
        </w:rPr>
        <w:t>Forward-looking statements are subject to numerous assumptions, risks and uncertainties, which change over time. Forward-looking statements speak only as of the date they are made, and we assume no duty to and do not undertake to update forward-looking statements. These forward-looking statements may not meet the safe harbor for forward-looking statements pursuant to Sections 21E or 27A of the Securities Act. Actual results could differ materially from those anticipated in forward-looking statements and future results could differ materially from historical performance.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the information you should consider before buying our common stock. You should read the following summary together with the more detailed information appearing in this prospectus, including our consolidated financial statements and related notes, and our risk factors beginning on page 3, before deciding whether to purchase shares of our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clinical-stage biopharmaceutical company committed to developing and commercializing innovative product candidates for patients with depression, other diseases and various disorders related to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as well as cancer.</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More than one billion people worldwide suffer from CNS disorders. Recently, the economic burden of these disorders was estimated at $2.0 trillion in the U.S. and European Union alone, a figure that is expected to triple by 2030. The World Health Organization estimates that 350 million people worldwide are affected by depression. According to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major depression is one of the most common mental disorders in the U.S. In 2012, the NIH estimated 16 million adults aged 18 or older in the U.S. had at least one major depressive episode. This represented approximately 7 percent of all U.S. adults.</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lead product candidate, AV-101, is an orally available small molecule prodrug in Phase 2 clinical development for Major Depressive Disorder (“</w:t>
      </w:r>
      <w:r>
        <w:rPr>
          <w:rFonts w:ascii="Arial" w:cs="Arial" w:eastAsia="Arial" w:hAnsi="Arial"/>
          <w:sz w:val="17"/>
          <w:szCs w:val="17"/>
          <w:i w:val="1"/>
          <w:iCs w:val="1"/>
          <w:color w:val="auto"/>
        </w:rPr>
        <w:t>MDD</w:t>
      </w:r>
      <w:r>
        <w:rPr>
          <w:rFonts w:ascii="Arial" w:cs="Arial" w:eastAsia="Arial" w:hAnsi="Arial"/>
          <w:sz w:val="17"/>
          <w:szCs w:val="17"/>
          <w:color w:val="auto"/>
        </w:rPr>
        <w:t>”). AV-101’s mechanism of action (“</w:t>
      </w:r>
      <w:r>
        <w:rPr>
          <w:rFonts w:ascii="Arial" w:cs="Arial" w:eastAsia="Arial" w:hAnsi="Arial"/>
          <w:sz w:val="17"/>
          <w:szCs w:val="17"/>
          <w:i w:val="1"/>
          <w:iCs w:val="1"/>
          <w:color w:val="auto"/>
        </w:rPr>
        <w:t>MOA</w:t>
      </w:r>
      <w:r>
        <w:rPr>
          <w:rFonts w:ascii="Arial" w:cs="Arial" w:eastAsia="Arial" w:hAnsi="Arial"/>
          <w:sz w:val="17"/>
          <w:szCs w:val="17"/>
          <w:color w:val="auto"/>
        </w:rPr>
        <w:t>”), as an N-methyl-D-aspartate receptor (“</w:t>
      </w:r>
      <w:r>
        <w:rPr>
          <w:rFonts w:ascii="Arial" w:cs="Arial" w:eastAsia="Arial" w:hAnsi="Arial"/>
          <w:sz w:val="17"/>
          <w:szCs w:val="17"/>
          <w:i w:val="1"/>
          <w:iCs w:val="1"/>
          <w:color w:val="auto"/>
        </w:rPr>
        <w:t>NMDAR</w:t>
      </w:r>
      <w:r>
        <w:rPr>
          <w:rFonts w:ascii="Arial" w:cs="Arial" w:eastAsia="Arial" w:hAnsi="Arial"/>
          <w:sz w:val="17"/>
          <w:szCs w:val="17"/>
          <w:color w:val="auto"/>
        </w:rPr>
        <w:t>”) antagonist binding selectively at the glycine-binding (“</w:t>
      </w:r>
      <w:r>
        <w:rPr>
          <w:rFonts w:ascii="Arial" w:cs="Arial" w:eastAsia="Arial" w:hAnsi="Arial"/>
          <w:sz w:val="17"/>
          <w:szCs w:val="17"/>
          <w:i w:val="1"/>
          <w:iCs w:val="1"/>
          <w:color w:val="auto"/>
        </w:rPr>
        <w:t>GlyB</w:t>
      </w:r>
      <w:r>
        <w:rPr>
          <w:rFonts w:ascii="Arial" w:cs="Arial" w:eastAsia="Arial" w:hAnsi="Arial"/>
          <w:sz w:val="17"/>
          <w:szCs w:val="17"/>
          <w:color w:val="auto"/>
        </w:rPr>
        <w:t>”) co-agonist site of the NMDAR, is fundamentally different from all antidepressants currently approved by the U.S. Food and Drug Administration (“</w:t>
      </w:r>
      <w:r>
        <w:rPr>
          <w:rFonts w:ascii="Arial" w:cs="Arial" w:eastAsia="Arial" w:hAnsi="Arial"/>
          <w:sz w:val="17"/>
          <w:szCs w:val="17"/>
          <w:i w:val="1"/>
          <w:iCs w:val="1"/>
          <w:color w:val="auto"/>
        </w:rPr>
        <w:t>FDA</w:t>
      </w:r>
      <w:r>
        <w:rPr>
          <w:rFonts w:ascii="Arial" w:cs="Arial" w:eastAsia="Arial" w:hAnsi="Arial"/>
          <w:sz w:val="17"/>
          <w:szCs w:val="17"/>
          <w:color w:val="auto"/>
        </w:rPr>
        <w:t>”). In four preclinical studies utilizing well-validated animal models of depression, AV-101 was shown to induce fast-acting, dose-dependent, persistent and statistically significant antidepressant-like responses, following a single treatment, which was equivalent to responses seen with a control single sub-anesthetic dose of ketamine (sometimes used by clinicians off-label to treat suicidal behavior). In the same studies, fluoxetine (Prozac)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two successful randomized, double-blind, placebo-controlled Phase 1 safety studies funded by the NIH, in February 2015, we entered into a Cooperative Research and Development Agreement (“</w:t>
      </w:r>
      <w:r>
        <w:rPr>
          <w:rFonts w:ascii="Arial" w:cs="Arial" w:eastAsia="Arial" w:hAnsi="Arial"/>
          <w:sz w:val="18"/>
          <w:szCs w:val="18"/>
          <w:i w:val="1"/>
          <w:iCs w:val="1"/>
          <w:color w:val="auto"/>
        </w:rPr>
        <w:t>CRADA</w:t>
      </w:r>
      <w:r>
        <w:rPr>
          <w:rFonts w:ascii="Arial" w:cs="Arial" w:eastAsia="Arial" w:hAnsi="Arial"/>
          <w:sz w:val="18"/>
          <w:szCs w:val="18"/>
          <w:color w:val="auto"/>
        </w:rPr>
        <w:t>”) with the U.S. National Institute of Mental Health (“</w:t>
      </w:r>
      <w:r>
        <w:rPr>
          <w:rFonts w:ascii="Arial" w:cs="Arial" w:eastAsia="Arial" w:hAnsi="Arial"/>
          <w:sz w:val="18"/>
          <w:szCs w:val="18"/>
          <w:i w:val="1"/>
          <w:iCs w:val="1"/>
          <w:color w:val="auto"/>
        </w:rPr>
        <w:t>NIMH</w:t>
      </w:r>
      <w:r>
        <w:rPr>
          <w:rFonts w:ascii="Arial" w:cs="Arial" w:eastAsia="Arial" w:hAnsi="Arial"/>
          <w:sz w:val="18"/>
          <w:szCs w:val="18"/>
          <w:color w:val="auto"/>
        </w:rPr>
        <w:t>”), part of the NIH. Under the CRADA, we will collaborate with the NIMH on the initial Phase 2 clinical study of AV-101 in subjects with treatment-resistant MDD. Pursuant to the CRADA, the study will be conducted at the NIMH and be fully funded by the NIMH. It is contemplated that this clinical study will begin in Fall 2015 under the direction of Dr. Carlos Zarate, Jr., the NIMH’s Chief of Experimental Therapeutics &amp; Pathophysiology Branch and of the Section on Neurobiology and Treatment of Mood and Anxiety Disorders.</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to developing AV-101 for MDD and other CNS indications, we are applying our stem cell technology for drug rescue programs intended to identify and develop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for our internal drug candidate pipeline. Drug rescue involves (1) using our customized </w:t>
      </w:r>
      <w:r>
        <w:rPr>
          <w:rFonts w:ascii="Arial" w:cs="Arial" w:eastAsia="Arial" w:hAnsi="Arial"/>
          <w:sz w:val="16"/>
          <w:szCs w:val="16"/>
          <w:i w:val="1"/>
          <w:iCs w:val="1"/>
          <w:color w:val="auto"/>
        </w:rPr>
        <w:t xml:space="preserve">in vitro </w:t>
      </w:r>
      <w:r>
        <w:rPr>
          <w:rFonts w:ascii="Arial" w:cs="Arial" w:eastAsia="Arial" w:hAnsi="Arial"/>
          <w:sz w:val="16"/>
          <w:szCs w:val="16"/>
          <w:color w:val="auto"/>
        </w:rPr>
        <w:t>bioassay systems to predict potential heart and liver toxicity of NCEs, (2) leveraging prior investments by pharmaceutical companies and others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related to screening large-scale compound libraries, optimizing and testing for efficacy NCEs that were terminated before FDA approval due to heart or liver toxicity and are now available in the public domain, and (3) applying modern medicinal chemistry to produce safer NCEs for our internal development pipeline. Our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bioassay system uses our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xml:space="preserve">”)-derived cardiomyocytes, or human heart cells. We believe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is more comprehensive and clinically predictive than the hERG assay, which is currently the only</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cardiac safety assay required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FDA guidelines. We use our hPSC-derived hepatocytes, or human liver cells, in our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bioassay system to predict potential liver toxicity of NCEs, including potential drug metabolism issues and adverse drug-drug interactions.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offer a new paradigm for evaluating and predicting potential heart and liver toxicity of NCEs, including drug rescue NCEs, early in the development process, long before costly, high risk animal studies and human clinical trials. We intend to develop internally for our pipeline each lead drug rescue NCE we produce.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tabs>
          <w:tab w:leader="none" w:pos="4740" w:val="left"/>
        </w:tabs>
        <w:rPr>
          <w:sz w:val="20"/>
          <w:szCs w:val="20"/>
          <w:color w:val="auto"/>
        </w:rPr>
      </w:pPr>
      <w:r>
        <w:rPr>
          <w:rFonts w:ascii="Arial" w:cs="Arial" w:eastAsia="Arial" w:hAnsi="Arial"/>
          <w:sz w:val="18"/>
          <w:szCs w:val="18"/>
          <w:color w:val="auto"/>
        </w:rPr>
        <w:t>Securities Offered by the Selling Stockholders</w:t>
      </w:r>
      <w:r>
        <w:rPr>
          <w:sz w:val="20"/>
          <w:szCs w:val="20"/>
          <w:color w:val="auto"/>
        </w:rPr>
        <w:tab/>
      </w:r>
      <w:r>
        <w:rPr>
          <w:rFonts w:ascii="Arial" w:cs="Arial" w:eastAsia="Arial" w:hAnsi="Arial"/>
          <w:sz w:val="16"/>
          <w:szCs w:val="16"/>
          <w:color w:val="auto"/>
        </w:rPr>
        <w:t>3,623,341 shares of common stock.</w:t>
      </w:r>
    </w:p>
    <w:p>
      <w:pPr>
        <w:spacing w:after="0" w:line="225" w:lineRule="exact"/>
        <w:rPr>
          <w:sz w:val="20"/>
          <w:szCs w:val="20"/>
          <w:color w:val="auto"/>
        </w:rPr>
      </w:pPr>
    </w:p>
    <w:p>
      <w:pPr>
        <w:spacing w:after="0"/>
        <w:tabs>
          <w:tab w:leader="none" w:pos="4740" w:val="left"/>
        </w:tabs>
        <w:rPr>
          <w:sz w:val="20"/>
          <w:szCs w:val="20"/>
          <w:color w:val="auto"/>
        </w:rPr>
      </w:pPr>
      <w:r>
        <w:rPr>
          <w:rFonts w:ascii="Arial" w:cs="Arial" w:eastAsia="Arial" w:hAnsi="Arial"/>
          <w:sz w:val="18"/>
          <w:szCs w:val="18"/>
          <w:color w:val="auto"/>
        </w:rPr>
        <w:t>Common Stock Outstanding as of July 17, 2015</w:t>
      </w:r>
      <w:r>
        <w:rPr>
          <w:sz w:val="20"/>
          <w:szCs w:val="20"/>
          <w:color w:val="auto"/>
        </w:rPr>
        <w:tab/>
      </w:r>
      <w:r>
        <w:rPr>
          <w:rFonts w:ascii="Arial" w:cs="Arial" w:eastAsia="Arial" w:hAnsi="Arial"/>
          <w:sz w:val="15"/>
          <w:szCs w:val="15"/>
          <w:color w:val="auto"/>
        </w:rPr>
        <w:t>1,594,461 shares.</w:t>
      </w:r>
    </w:p>
    <w:p>
      <w:pPr>
        <w:spacing w:after="0" w:line="225"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will not receive any of the proceeds of the shares of common stock offered for resale by</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the Selling Stockholders. If Warrants held by certain of the Selling Stockholders are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exercised, we will receive the exercise price from such exercises. The shares of common</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stock that may be resold by the Selling Stockholders under this prospectus are issuable upon</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the conversion of securities sold by us to the Selling Stockholders in private placement</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transactions, or upon exercise of Warrants.</w:t>
      </w:r>
    </w:p>
    <w:p>
      <w:pPr>
        <w:spacing w:after="0" w:line="211"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Prior to making an investment decision, you should carefully consider all of the information</w:t>
      </w:r>
    </w:p>
    <w:p>
      <w:pPr>
        <w:spacing w:after="0" w:line="23" w:lineRule="exact"/>
        <w:rPr>
          <w:sz w:val="20"/>
          <w:szCs w:val="20"/>
          <w:color w:val="auto"/>
        </w:rPr>
      </w:pPr>
    </w:p>
    <w:p>
      <w:pPr>
        <w:ind w:left="4700" w:right="20"/>
        <w:spacing w:after="0" w:line="261" w:lineRule="auto"/>
        <w:rPr>
          <w:sz w:val="20"/>
          <w:szCs w:val="20"/>
          <w:color w:val="auto"/>
        </w:rPr>
      </w:pPr>
      <w:r>
        <w:rPr>
          <w:rFonts w:ascii="Arial" w:cs="Arial" w:eastAsia="Arial" w:hAnsi="Arial"/>
          <w:sz w:val="18"/>
          <w:szCs w:val="18"/>
          <w:color w:val="auto"/>
        </w:rPr>
        <w:t>in this prospectus and, in particular, you should evaluate the risk factors set forth under the caption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3.</w:t>
      </w:r>
    </w:p>
    <w:p>
      <w:pPr>
        <w:spacing w:after="0" w:line="211"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color w:val="auto"/>
        </w:rPr>
        <w:t>Trading Symbol</w:t>
      </w:r>
      <w:r>
        <w:rPr>
          <w:sz w:val="20"/>
          <w:szCs w:val="20"/>
          <w:color w:val="auto"/>
        </w:rPr>
        <w:tab/>
      </w:r>
      <w:r>
        <w:rPr>
          <w:rFonts w:ascii="Arial" w:cs="Arial" w:eastAsia="Arial" w:hAnsi="Arial"/>
          <w:sz w:val="17"/>
          <w:szCs w:val="17"/>
          <w:color w:val="auto"/>
        </w:rPr>
        <w:t>VSTA</w:t>
      </w:r>
    </w:p>
    <w:p>
      <w:pPr>
        <w:sectPr>
          <w:pgSz w:w="11900" w:h="16838" w:orient="portrait"/>
          <w:cols w:equalWidth="0" w:num="1">
            <w:col w:w="11420"/>
          </w:cols>
          <w:pgMar w:left="240" w:top="130" w:right="239" w:bottom="6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638" w:gutter="0" w:footer="0" w:header="0"/>
          <w:type w:val="continuous"/>
        </w:sectPr>
      </w:pPr>
    </w:p>
    <w:bookmarkStart w:id="6" w:name="page7"/>
    <w:bookmarkEnd w:id="6"/>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Investing in our securities involves a high degree of risk. You should consider carefully the risks and uncertainties described below, together with all of the other information in this Prospectus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currently have no drug products for sale and may never be able to develop and commercialize marketable drug products. Our business depends heavily on the successful non-clinical and clinical development, regulatory approval and commercialization of AV-101 for depression, including Major Depressive Disorder (“</w:t>
      </w:r>
      <w:r>
        <w:rPr>
          <w:rFonts w:ascii="Arial" w:cs="Arial" w:eastAsia="Arial" w:hAnsi="Arial"/>
          <w:sz w:val="17"/>
          <w:szCs w:val="17"/>
          <w:i w:val="1"/>
          <w:iCs w:val="1"/>
          <w:color w:val="auto"/>
        </w:rPr>
        <w:t>MDD</w:t>
      </w:r>
      <w:r>
        <w:rPr>
          <w:rFonts w:ascii="Arial" w:cs="Arial" w:eastAsia="Arial" w:hAnsi="Arial"/>
          <w:sz w:val="17"/>
          <w:szCs w:val="17"/>
          <w:color w:val="auto"/>
        </w:rPr>
        <w:t>”), and various other diseases and disorders involving the central nervous system (“</w:t>
      </w:r>
      <w:r>
        <w:rPr>
          <w:rFonts w:ascii="Arial" w:cs="Arial" w:eastAsia="Arial" w:hAnsi="Arial"/>
          <w:sz w:val="17"/>
          <w:szCs w:val="17"/>
          <w:i w:val="1"/>
          <w:iCs w:val="1"/>
          <w:color w:val="auto"/>
        </w:rPr>
        <w:t>CNS</w:t>
      </w:r>
      <w:r>
        <w:rPr>
          <w:rFonts w:ascii="Arial" w:cs="Arial" w:eastAsia="Arial" w:hAnsi="Arial"/>
          <w:sz w:val="17"/>
          <w:szCs w:val="17"/>
          <w:color w:val="auto"/>
        </w:rPr>
        <w:t>”) , as well as our ability to produce, develop and commercialize new chemical entities (“</w:t>
      </w:r>
      <w:r>
        <w:rPr>
          <w:rFonts w:ascii="Arial" w:cs="Arial" w:eastAsia="Arial" w:hAnsi="Arial"/>
          <w:sz w:val="17"/>
          <w:szCs w:val="17"/>
          <w:i w:val="1"/>
          <w:iCs w:val="1"/>
          <w:color w:val="auto"/>
        </w:rPr>
        <w:t>NCEs</w:t>
      </w:r>
      <w:r>
        <w:rPr>
          <w:rFonts w:ascii="Arial" w:cs="Arial" w:eastAsia="Arial" w:hAnsi="Arial"/>
          <w:sz w:val="17"/>
          <w:szCs w:val="17"/>
          <w:color w:val="auto"/>
        </w:rPr>
        <w:t>”) from our drug rescue programs. AV-101 will require substantial additional Phase 2 and Phase 3 clinical development, testing and regulatory approval before we are permitted to commence its commercialization. Each drug rescue NCE will require substantial non-clinical development, all phases of clinical development, and regulatory approval before we are permitted to commence its commercialization. The non-clinical studies and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studies or clinical trials.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U.S. Food and Drug Administration, or FDA, regulatory approval process and will be commercialized. Accordingly, even if we are able to obtain the requisite financing to continue to fund our non-clinical studies and clinical trials, we cannot assure you that AV-101 or any other product candidate will be successfully developed or commercialized.</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not permitted to market our product candidates in the United States until we receive approval of a New Drug Application, or an NDA, from the FDA, or in any foreign countries until we receive the requisite approval from such countries. We recently received FDA clearance to initiate the initial Phase 2 clinical trial involving AV-101, to study its safety, tolerability and efficacy in patients with MDD. If our Phase 2 clinical trial of AV-101 is successful, we expect the FDA to require us to complete at least one additional Phase 2 clinical trial and at least one pivotal Phase 3 clinical trial in order to submit an NDA for AV-101 as a treatment for MDD. However, the FDA may require that we conduct more than one additional Phase 2 clinical study and more than one Phase 3 pivotal trial of AV-101 before we can submit an NDA. The FDA may also require that we conduct additional toxicity studies and additional non-clinical studies before submitting an NDA for AV-101.</w:t>
      </w:r>
    </w:p>
    <w:p>
      <w:pPr>
        <w:spacing w:after="0" w:line="21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Obtaining FDA approval of an NDA is a complex, lengthy, expensive and uncertain process, and the FDA may delay, limit or deny approval of AV-101 or any of our product candidates for many reasons, including, among others:</w:t>
      </w:r>
    </w:p>
    <w:p>
      <w:pPr>
        <w:spacing w:after="0" w:line="197" w:lineRule="exact"/>
        <w:rPr>
          <w:sz w:val="20"/>
          <w:szCs w:val="20"/>
          <w:color w:val="auto"/>
        </w:rPr>
      </w:pPr>
    </w:p>
    <w:p>
      <w:pPr>
        <w:ind w:left="960" w:hanging="286"/>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demonstrate that the product candidate is safe and effective in treating a human disease or disorder, to the satisfaction of the FDA;</w:t>
      </w:r>
    </w:p>
    <w:p>
      <w:pPr>
        <w:spacing w:after="0" w:line="197" w:lineRule="exact"/>
        <w:rPr>
          <w:rFonts w:ascii="Arial" w:cs="Arial" w:eastAsia="Arial" w:hAnsi="Arial"/>
          <w:sz w:val="18"/>
          <w:szCs w:val="18"/>
          <w:color w:val="auto"/>
        </w:rPr>
      </w:pPr>
    </w:p>
    <w:p>
      <w:pPr>
        <w:ind w:left="960" w:hanging="286"/>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non-clinical studies and clinical trials may not meet the level of statistical or clinical significance required by the FDA for marketing approval;</w:t>
      </w:r>
    </w:p>
    <w:p>
      <w:pPr>
        <w:spacing w:after="0" w:line="197" w:lineRule="exact"/>
        <w:rPr>
          <w:rFonts w:ascii="Arial" w:cs="Arial" w:eastAsia="Arial" w:hAnsi="Arial"/>
          <w:sz w:val="18"/>
          <w:szCs w:val="18"/>
          <w:color w:val="auto"/>
        </w:rPr>
      </w:pPr>
    </w:p>
    <w:p>
      <w:pPr>
        <w:ind w:left="960" w:hanging="28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FDA may disagree with the number, design, size, conduct or implementation of our non-clinical studies and clinical trials;</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FDA may require that we conduct additional non-clinical studies and clinical trials;</w:t>
      </w:r>
    </w:p>
    <w:p>
      <w:pPr>
        <w:spacing w:after="0" w:line="252" w:lineRule="exact"/>
        <w:rPr>
          <w:rFonts w:ascii="Arial" w:cs="Arial" w:eastAsia="Arial" w:hAnsi="Arial"/>
          <w:sz w:val="18"/>
          <w:szCs w:val="18"/>
          <w:color w:val="auto"/>
        </w:rPr>
      </w:pPr>
    </w:p>
    <w:p>
      <w:pPr>
        <w:ind w:left="960" w:hanging="286"/>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FDA or the applicable foreign regulatory agency may not approve the formulation, labeling or specifications of any of our product candidates;</w:t>
      </w:r>
    </w:p>
    <w:p>
      <w:pPr>
        <w:spacing w:after="0" w:line="197" w:lineRule="exact"/>
        <w:rPr>
          <w:rFonts w:ascii="Arial" w:cs="Arial" w:eastAsia="Arial" w:hAnsi="Arial"/>
          <w:sz w:val="18"/>
          <w:szCs w:val="18"/>
          <w:color w:val="auto"/>
        </w:rPr>
      </w:pPr>
    </w:p>
    <w:p>
      <w:pPr>
        <w:ind w:left="960" w:right="20" w:hanging="286"/>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our non-clinical studies and clinical trials may take actions outside of our control that materially adversely impact our non-clinical studies and clinical trials;</w:t>
      </w:r>
    </w:p>
    <w:p>
      <w:pPr>
        <w:spacing w:after="0" w:line="197" w:lineRule="exact"/>
        <w:rPr>
          <w:rFonts w:ascii="Arial" w:cs="Arial" w:eastAsia="Arial" w:hAnsi="Arial"/>
          <w:sz w:val="18"/>
          <w:szCs w:val="18"/>
          <w:color w:val="auto"/>
        </w:rPr>
      </w:pPr>
    </w:p>
    <w:p>
      <w:pPr>
        <w:ind w:left="960" w:hanging="286"/>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FDA may find the data from non-clinical studies and clinical trials insufficient to demonstrate that our product candidates’ clinical and other benefits outweigh their safety risks;</w:t>
      </w:r>
    </w:p>
    <w:p>
      <w:pPr>
        <w:spacing w:after="0" w:line="197" w:lineRule="exact"/>
        <w:rPr>
          <w:rFonts w:ascii="Arial" w:cs="Arial" w:eastAsia="Arial" w:hAnsi="Arial"/>
          <w:sz w:val="18"/>
          <w:szCs w:val="18"/>
          <w:color w:val="auto"/>
        </w:rPr>
      </w:pPr>
    </w:p>
    <w:p>
      <w:pPr>
        <w:ind w:left="960" w:hanging="28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FDA may disagree with our interpretation of data from our non-clinical studies and clinical trials;</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FDA may not accept data generated at our non-clinical studies and clinical trial sites;</w:t>
      </w:r>
    </w:p>
    <w:p>
      <w:pPr>
        <w:spacing w:after="0" w:line="252" w:lineRule="exact"/>
        <w:rPr>
          <w:rFonts w:ascii="Arial" w:cs="Arial" w:eastAsia="Arial" w:hAnsi="Arial"/>
          <w:sz w:val="18"/>
          <w:szCs w:val="18"/>
          <w:color w:val="auto"/>
        </w:rPr>
      </w:pPr>
    </w:p>
    <w:p>
      <w:pPr>
        <w:jc w:val="both"/>
        <w:ind w:left="960" w:hanging="286"/>
        <w:spacing w:after="0" w:line="259"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213" w:lineRule="exact"/>
        <w:rPr>
          <w:rFonts w:ascii="Arial" w:cs="Arial" w:eastAsia="Arial" w:hAnsi="Arial"/>
          <w:sz w:val="18"/>
          <w:szCs w:val="18"/>
          <w:color w:val="auto"/>
        </w:rPr>
      </w:pPr>
    </w:p>
    <w:p>
      <w:pPr>
        <w:ind w:left="960" w:hanging="286"/>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FDA may require development of a Risk Evaluation and Mitigation Strategy, or REMS, as a condition of approval or post-approval;</w:t>
      </w:r>
    </w:p>
    <w:p>
      <w:pPr>
        <w:spacing w:after="0" w:line="263" w:lineRule="exact"/>
        <w:rPr>
          <w:rFonts w:ascii="Arial" w:cs="Arial" w:eastAsia="Arial" w:hAnsi="Arial"/>
          <w:sz w:val="17"/>
          <w:szCs w:val="17"/>
          <w:color w:val="auto"/>
        </w:rPr>
      </w:pPr>
    </w:p>
    <w:p>
      <w:pPr>
        <w:ind w:left="960" w:hanging="286"/>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FDA or the applicable foreign regulatory agency may determine that the manufacturing processes or facilities of third-party contract</w:t>
      </w:r>
    </w:p>
    <w:p>
      <w:pPr>
        <w:sectPr>
          <w:pgSz w:w="11900" w:h="16838" w:orient="portrait"/>
          <w:cols w:equalWidth="0" w:num="1">
            <w:col w:w="11420"/>
          </w:cols>
          <w:pgMar w:left="240" w:top="130" w:right="239" w:bottom="0" w:gutter="0" w:footer="0" w:header="0"/>
        </w:sectPr>
      </w:pPr>
    </w:p>
    <w:bookmarkStart w:id="7" w:name="page8"/>
    <w:bookmarkEnd w:id="7"/>
    <w:p>
      <w:pPr>
        <w:ind w:left="286"/>
        <w:spacing w:after="0" w:line="277" w:lineRule="auto"/>
        <w:rPr>
          <w:sz w:val="20"/>
          <w:szCs w:val="20"/>
          <w:color w:val="auto"/>
        </w:rPr>
      </w:pPr>
      <w:r>
        <w:rPr>
          <w:rFonts w:ascii="Arial" w:cs="Arial" w:eastAsia="Arial" w:hAnsi="Arial"/>
          <w:sz w:val="18"/>
          <w:szCs w:val="18"/>
          <w:color w:val="auto"/>
        </w:rPr>
        <w:t>manufacturers with which we contract do not conform to applicable requirements, including current Good Manufacturing Practices, or cGMPs; or</w:t>
      </w:r>
    </w:p>
    <w:p>
      <w:pPr>
        <w:spacing w:after="0" w:line="197" w:lineRule="exact"/>
        <w:rPr>
          <w:sz w:val="20"/>
          <w:szCs w:val="20"/>
          <w:color w:val="auto"/>
        </w:rPr>
      </w:pPr>
    </w:p>
    <w:p>
      <w:pPr>
        <w:ind w:left="4926" w:right="2680" w:hanging="4926"/>
        <w:spacing w:after="0" w:line="731"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-201295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6"/>
          </w:cols>
          <w:pgMar w:left="914" w:top="125" w:right="239" w:bottom="1440" w:gutter="0" w:footer="0" w:header="0"/>
        </w:sectPr>
      </w:pPr>
    </w:p>
    <w:bookmarkStart w:id="8" w:name="page9"/>
    <w:bookmarkEnd w:id="8"/>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market AV-101 or any other product candidate we may develop, including drug rescue NCEs. Any such setback in our pursuit of regulatory approval would have a material adverse effect on our business and prospects.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intend to seek FDA Fast Track designation for AV-101, and we may do so for other product candidates as well. If a product candidate is intended for the treatment of a serious or life-threatening condition and the product candidate demonstrates the potential to address unmet medical needs for this condition, the sponsor may apply for the FDA Fast Track designation. The FDA has broad discretion whether or not to grant this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number of patients suffering from MDD has not been established with precision. If the actual number of patients with MDD is smaller than we anticipate, we may encounter difficulties in enrolling patients in our AV-101 clinical trials, including our impending NIH-funded Phase 2 clinical study of AV-101 in MDD, thereby delaying or preventing clinical development. Further, if AV-101 is approved for treatment of MDD, and the market for this indication is smaller than we anticipate, our ability to achieve profitability could be limited.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results of preclinical studies and early clinical trials of AV-101 and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are identified during the use of AV-101 in investigator-sponsored trials, it may adversely effect our development of AV-101 for MDD and other CNS indications.</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AV-101 will be tested in an NIH investigator sponsored Phase 2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Positive results from early non-clinical studies and clinical trials of AV-101 or other product candidates are not necessarily predictive of the results of later non-clinical studies and clinical trials of such product candidates. If we cannot replicate the positive results from our earlier non-clinical studies and clinical trials of AV-101 or other product candidates in our later non-clinical studies and clinical trials, we may be unable to successfully develop, obtain regulatory approval for and commercialize our product candidates.</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Positive results from non-clinical studies of our product candidates, and any positive results we may obtain from early clinical trials of our product candidates, may not necessarily be predictive of the results from required later non-clinical studies and clinical trials. Similarly, even if we are able to complete our planned non-clinical studies or clinical trials of our product candidates according to our current development timeline, the positive results from our non-clinical studies and clinical trials of our product candidates may not be replicated in subsequent non-clinical studies or clinical trial results.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non-clinical findings made while clinical trials were underway or safety or efficacy observations made in non-clinical studies and clinical trials, including previously unreported adverse events. Moreover, non-clinical and clinical data are often susceptible to varying interpretations and analyses, and many companies that believed their product candidates performed satisfactorily in non-clinical studies and clinical trials nonetheless failed to obtain FDA approval. We have not yet completed any Phase 2 clinical trial for AV-101, and if we fail to produce positive results in our NIH-sponsored Phase 2 clinical trial of AV-101 in MDD, the development timeline and regulatory approval and commercialization prospects for AV-101 and, correspondingly, our business and financial prospects, would be materially adversely affected.</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Failures or delays in the commencement or completion of our planned clinical trials of our product candidates could result in increased costs to us and could delay, prevent or limit our ability to generate revenue and continue our business.</w:t>
      </w:r>
    </w:p>
    <w:p>
      <w:pPr>
        <w:spacing w:after="0" w:line="224" w:lineRule="exact"/>
        <w:rPr>
          <w:sz w:val="20"/>
          <w:szCs w:val="20"/>
          <w:color w:val="auto"/>
        </w:rPr>
      </w:pPr>
    </w:p>
    <w:p>
      <w:pPr>
        <w:jc w:val="both"/>
        <w:ind w:firstLine="880"/>
        <w:spacing w:after="0" w:line="255" w:lineRule="auto"/>
        <w:rPr>
          <w:sz w:val="20"/>
          <w:szCs w:val="20"/>
          <w:color w:val="auto"/>
        </w:rPr>
      </w:pPr>
      <w:r>
        <w:rPr>
          <w:rFonts w:ascii="Arial" w:cs="Arial" w:eastAsia="Arial" w:hAnsi="Arial"/>
          <w:sz w:val="18"/>
          <w:szCs w:val="18"/>
          <w:color w:val="auto"/>
        </w:rPr>
        <w:t>We and the NIH are preparing to commence an NIH-funded Phase 2 clinical trial of AV-101 as a treatment for MDD. We will need to complete at least two additional large clinical trials prior to the submission of an NDA for AV-101 as a treatment for MDD. Successful completion of our clinical trials is a prerequisite to submitting an NDA to the FDA and, consequently, the ultimate approval and commercial marketing of AV-101 for MDD and any other product candidates we may develop. We do not know whether the NIH-funded Phase 2 study of AV-101 or any of our future-planned clinical trials will begin or be completed on schedule, if at all, as the commencement and completion of clinical trials can be delayed or prevented for a number of reasons, including, among others:</w:t>
      </w:r>
    </w:p>
    <w:p>
      <w:pPr>
        <w:spacing w:after="0" w:line="193" w:lineRule="exact"/>
        <w:rPr>
          <w:sz w:val="20"/>
          <w:szCs w:val="20"/>
          <w:color w:val="auto"/>
        </w:rPr>
      </w:pPr>
    </w:p>
    <w:p>
      <w:pPr>
        <w:ind w:left="960" w:hanging="286"/>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deny permission to proceed with our planned clinical trials or any other clinical trials we may initiate, or may place a clinical trial on hold;</w:t>
      </w:r>
    </w:p>
    <w:p>
      <w:pPr>
        <w:spacing w:after="0" w:line="197" w:lineRule="exact"/>
        <w:rPr>
          <w:rFonts w:ascii="Arial" w:cs="Arial" w:eastAsia="Arial" w:hAnsi="Arial"/>
          <w:sz w:val="18"/>
          <w:szCs w:val="18"/>
          <w:color w:val="auto"/>
        </w:rPr>
      </w:pPr>
    </w:p>
    <w:p>
      <w:pPr>
        <w:ind w:left="960" w:hanging="286"/>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negative results from our ongoing non-clinical studies;</w:t>
      </w:r>
    </w:p>
    <w:p>
      <w:pPr>
        <w:spacing w:after="0" w:line="252" w:lineRule="exact"/>
        <w:rPr>
          <w:rFonts w:ascii="Arial" w:cs="Arial" w:eastAsia="Arial" w:hAnsi="Arial"/>
          <w:sz w:val="18"/>
          <w:szCs w:val="18"/>
          <w:color w:val="auto"/>
        </w:rPr>
      </w:pPr>
    </w:p>
    <w:p>
      <w:pPr>
        <w:ind w:left="960" w:right="20" w:hanging="286"/>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97" w:lineRule="exact"/>
        <w:rPr>
          <w:rFonts w:ascii="Arial" w:cs="Arial" w:eastAsia="Arial" w:hAnsi="Arial"/>
          <w:sz w:val="18"/>
          <w:szCs w:val="18"/>
          <w:color w:val="auto"/>
        </w:rPr>
      </w:pPr>
    </w:p>
    <w:p>
      <w:pPr>
        <w:ind w:left="960" w:right="20" w:hanging="286"/>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197" w:lineRule="exact"/>
        <w:rPr>
          <w:rFonts w:ascii="Arial" w:cs="Arial" w:eastAsia="Arial" w:hAnsi="Arial"/>
          <w:sz w:val="18"/>
          <w:szCs w:val="18"/>
          <w:color w:val="auto"/>
        </w:rPr>
      </w:pPr>
    </w:p>
    <w:p>
      <w:pPr>
        <w:ind w:left="960" w:hanging="286"/>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approval to conduct a clinical trial at a prospective site or sites;</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trial sites;</w:t>
      </w:r>
    </w:p>
    <w:p>
      <w:pPr>
        <w:spacing w:after="0" w:line="252" w:lineRule="exact"/>
        <w:rPr>
          <w:rFonts w:ascii="Arial" w:cs="Arial" w:eastAsia="Arial" w:hAnsi="Arial"/>
          <w:sz w:val="18"/>
          <w:szCs w:val="18"/>
          <w:color w:val="auto"/>
        </w:rPr>
      </w:pPr>
    </w:p>
    <w:p>
      <w:pPr>
        <w:ind w:left="960" w:hanging="286"/>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97" w:lineRule="exact"/>
        <w:rPr>
          <w:rFonts w:ascii="Arial" w:cs="Arial" w:eastAsia="Arial" w:hAnsi="Arial"/>
          <w:sz w:val="18"/>
          <w:szCs w:val="18"/>
          <w:color w:val="auto"/>
        </w:rPr>
      </w:pPr>
    </w:p>
    <w:p>
      <w:pPr>
        <w:ind w:left="960" w:hanging="286"/>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52" w:lineRule="exact"/>
        <w:rPr>
          <w:rFonts w:ascii="Arial" w:cs="Arial" w:eastAsia="Arial" w:hAnsi="Arial"/>
          <w:sz w:val="18"/>
          <w:szCs w:val="18"/>
          <w:color w:val="auto"/>
        </w:rPr>
      </w:pPr>
    </w:p>
    <w:p>
      <w:pPr>
        <w:ind w:left="960" w:hanging="286"/>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disagree with our clinical trial design and our interpretation of data from clinical trials, or may change the requirements for approval even after it has reviewed and commented on the design for our clinical trials;</w:t>
      </w:r>
    </w:p>
    <w:p>
      <w:pPr>
        <w:spacing w:after="0" w:line="197" w:lineRule="exact"/>
        <w:rPr>
          <w:rFonts w:ascii="Arial" w:cs="Arial" w:eastAsia="Arial" w:hAnsi="Arial"/>
          <w:sz w:val="18"/>
          <w:szCs w:val="18"/>
          <w:color w:val="auto"/>
        </w:rPr>
      </w:pPr>
    </w:p>
    <w:p>
      <w:pPr>
        <w:ind w:left="960" w:hanging="286"/>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therapies that raise safety or efficacy concerns; and</w:t>
      </w:r>
    </w:p>
    <w:p>
      <w:pPr>
        <w:spacing w:after="0" w:line="252" w:lineRule="exact"/>
        <w:rPr>
          <w:rFonts w:ascii="Arial" w:cs="Arial" w:eastAsia="Arial" w:hAnsi="Arial"/>
          <w:sz w:val="18"/>
          <w:szCs w:val="18"/>
          <w:color w:val="auto"/>
        </w:rPr>
      </w:pPr>
    </w:p>
    <w:p>
      <w:pPr>
        <w:ind w:left="960" w:right="20" w:hanging="286"/>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trials, lack of efficacy, side effects, personal issues or loss of interest.</w:t>
      </w:r>
    </w:p>
    <w:p>
      <w:pPr>
        <w:sectPr>
          <w:pgSz w:w="11900" w:h="16838" w:orient="portrait"/>
          <w:cols w:equalWidth="0" w:num="1">
            <w:col w:w="11420"/>
          </w:cols>
          <w:pgMar w:left="240" w:top="130"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0" w:name="page11"/>
    <w:bookmarkEnd w:id="10"/>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the IRBs at the sites where the IRBs are overseeing a clinical trial, a data and safety monitoring board, or DSMB, overseeing the clinical trial at issue or other regulatory authorities due to a number of factors, including, among others:</w:t>
      </w:r>
    </w:p>
    <w:p>
      <w:pPr>
        <w:spacing w:after="0" w:line="208" w:lineRule="exact"/>
        <w:rPr>
          <w:sz w:val="20"/>
          <w:szCs w:val="20"/>
          <w:color w:val="auto"/>
        </w:rPr>
      </w:pPr>
    </w:p>
    <w:p>
      <w:pPr>
        <w:ind w:left="960" w:hanging="286"/>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52" w:lineRule="exact"/>
        <w:rPr>
          <w:rFonts w:ascii="Arial" w:cs="Arial" w:eastAsia="Arial" w:hAnsi="Arial"/>
          <w:sz w:val="18"/>
          <w:szCs w:val="18"/>
          <w:color w:val="auto"/>
        </w:rPr>
      </w:pPr>
    </w:p>
    <w:p>
      <w:pPr>
        <w:ind w:left="960" w:hanging="286"/>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97" w:lineRule="exact"/>
        <w:rPr>
          <w:rFonts w:ascii="Arial" w:cs="Arial" w:eastAsia="Arial" w:hAnsi="Arial"/>
          <w:sz w:val="18"/>
          <w:szCs w:val="18"/>
          <w:color w:val="auto"/>
        </w:rPr>
      </w:pPr>
    </w:p>
    <w:p>
      <w:pPr>
        <w:ind w:left="960" w:hanging="286"/>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ongoing non-clinical carcinogenicity studies, adverse side effects or lack of effectiveness;</w:t>
      </w:r>
    </w:p>
    <w:p>
      <w:pPr>
        <w:spacing w:after="0" w:line="197" w:lineRule="exact"/>
        <w:rPr>
          <w:rFonts w:ascii="Arial" w:cs="Arial" w:eastAsia="Arial" w:hAnsi="Arial"/>
          <w:sz w:val="18"/>
          <w:szCs w:val="18"/>
          <w:color w:val="auto"/>
        </w:rPr>
      </w:pPr>
    </w:p>
    <w:p>
      <w:pPr>
        <w:ind w:left="960" w:hanging="286"/>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lack of adequate funding to continue clinical trials.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FDA guidance or unanticipated events during our non-clinical studies and clinical trials of our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Changes in regulatory requirements, FDA guidance or unanticipated events during our non-clinical studies and clinical trials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our product candidates may be harmed and our ability to generate product revenue will be delayed.</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any clinical trials for our product candidates.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20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do not have the ability to independently conduct clinical trials. We rely on medical institutions, clinical investigators, contract laboratories and other third parties, such as contract research organizations, or CROs, to conduct clinical trials on our product candidates. We enter into agreements with third-party CROs to provide monitors for and to manage data for our clinical trials. We rely heavily on these parties for execution of clinical trials for our product candidates and control only certain aspects of their activities. As a result, we have less direct control over the conduct, timing and completion of these clinical trials and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2" w:lineRule="exact"/>
        <w:rPr>
          <w:sz w:val="20"/>
          <w:szCs w:val="20"/>
          <w:color w:val="auto"/>
        </w:rPr>
      </w:pPr>
    </w:p>
    <w:p>
      <w:pPr>
        <w:ind w:left="960" w:hanging="286"/>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regulatory and scientific requirements and standards, and our reliance on CROs or the NIH does not relieve us of our regulatory responsibilities. We and our CROs and the NIH are required to comply with regulations and guidelines, including current Good Clinical Practices, or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ectPr>
          <w:pgSz w:w="11900" w:h="16838" w:orient="portrait"/>
          <w:cols w:equalWidth="0" w:num="1">
            <w:col w:w="11420"/>
          </w:cols>
          <w:pgMar w:left="240" w:top="130" w:right="239" w:bottom="665"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665" w:gutter="0" w:footer="0" w:header="0"/>
          <w:type w:val="continuous"/>
        </w:sectPr>
      </w:pPr>
    </w:p>
    <w:bookmarkStart w:id="11" w:name="page12"/>
    <w:bookmarkEnd w:id="11"/>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Although we intend to design our clinical trials for our product candidates, we plan to have CROs, and in the case of our initial AV-101 Phase 2 study in MDD, the NIH, conduct all of the clinical trials. As a result, many important aspects of our drug development programs are outside of our direct control. In addition, the CROs or the NIH,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NIH devote to our program or our clinical products. If we are unable to rely on clinical data collected by our CROs or the NIH, we could be required to repeat, extend the duration of, or increase the size of our clinical trials and this could significantly delay commercialization and require significantly greater expenditures.</w:t>
      </w:r>
    </w:p>
    <w:p>
      <w:pPr>
        <w:spacing w:after="0" w:line="2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any of our relationships with these third-party CROs or the NIH terminate, we may not be able to enter into arrangements with alternative CROs or collaborators. If CROs or the NIH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or the NIH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completely on third-party suppliers to manufacture our clinical drug supplies for our product candidates, and we intend to rely on third parties to produce non-clinical, clinical and commercial supplies of any future product candidate.</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do not currently have, nor do we plan to acquire, the infrastructure or capability to internally manufacture our clinical drug supply of AV-101 or any other product candidates, for use in the conduct of our non-clinical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2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have long-term supply agreements in place with our contract manufacturers and each batch of our product candidates is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commercial quantities AV-101 and other product candidates, if approved. Our current scale of manufacturing for AV-101 is adequate to support our currently planned needs for non-clinical studies and clinical trial supplies.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ectPr>
          <w:pgSz w:w="11900" w:h="16838" w:orient="portrait"/>
          <w:cols w:equalWidth="0" w:num="1">
            <w:col w:w="11420"/>
          </w:cols>
          <w:pgMar w:left="240" w:top="130"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2" w:name="page13"/>
    <w:bookmarkEnd w:id="12"/>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currently have an infrastructure for the sales, marketing and distribution of pharmaceutical products. In order to market our product candidates,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208" w:lineRule="exact"/>
        <w:rPr>
          <w:sz w:val="20"/>
          <w:szCs w:val="20"/>
          <w:color w:val="auto"/>
        </w:rPr>
      </w:pPr>
    </w:p>
    <w:p>
      <w:pPr>
        <w:jc w:val="both"/>
        <w:ind w:left="960" w:hanging="286"/>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of our product candidates as demonstrated in clinical trials, and, if required by any applicable regulatory authority in connection with the approval for the applicable indications, to provide patients with incremental health benefits, as compared with other available CNS therapies;</w:t>
      </w:r>
    </w:p>
    <w:p>
      <w:pPr>
        <w:spacing w:after="0" w:line="208" w:lineRule="exact"/>
        <w:rPr>
          <w:rFonts w:ascii="Arial" w:cs="Arial" w:eastAsia="Arial" w:hAnsi="Arial"/>
          <w:sz w:val="18"/>
          <w:szCs w:val="18"/>
          <w:color w:val="auto"/>
        </w:rPr>
      </w:pPr>
    </w:p>
    <w:p>
      <w:pPr>
        <w:ind w:left="960" w:hanging="286"/>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limitations or warnings contained in the labeling approved for our product candidates by the FDA or other applicable regulatory authorities;</w:t>
      </w:r>
    </w:p>
    <w:p>
      <w:pPr>
        <w:spacing w:after="0" w:line="263" w:lineRule="exact"/>
        <w:rPr>
          <w:rFonts w:ascii="Arial" w:cs="Arial" w:eastAsia="Arial" w:hAnsi="Arial"/>
          <w:sz w:val="17"/>
          <w:szCs w:val="17"/>
          <w:color w:val="auto"/>
        </w:rPr>
      </w:pPr>
    </w:p>
    <w:p>
      <w:pPr>
        <w:ind w:left="960" w:hanging="286"/>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52" w:lineRule="exact"/>
        <w:rPr>
          <w:rFonts w:ascii="Arial" w:cs="Arial" w:eastAsia="Arial" w:hAnsi="Arial"/>
          <w:sz w:val="18"/>
          <w:szCs w:val="18"/>
          <w:color w:val="auto"/>
        </w:rPr>
      </w:pPr>
    </w:p>
    <w:p>
      <w:pPr>
        <w:ind w:left="960" w:hanging="286"/>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97" w:lineRule="exact"/>
        <w:rPr>
          <w:rFonts w:ascii="Arial" w:cs="Arial" w:eastAsia="Arial" w:hAnsi="Arial"/>
          <w:sz w:val="18"/>
          <w:szCs w:val="18"/>
          <w:color w:val="auto"/>
        </w:rPr>
      </w:pPr>
    </w:p>
    <w:p>
      <w:pPr>
        <w:ind w:left="960" w:hanging="286"/>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45" w:lineRule="exact"/>
        <w:rPr>
          <w:sz w:val="20"/>
          <w:szCs w:val="20"/>
          <w:color w:val="auto"/>
        </w:rPr>
      </w:pPr>
    </w:p>
    <w:p>
      <w:pPr>
        <w:jc w:val="both"/>
        <w:ind w:firstLine="987"/>
        <w:spacing w:after="0" w:line="282" w:lineRule="auto"/>
        <w:rPr>
          <w:sz w:val="20"/>
          <w:szCs w:val="20"/>
          <w:color w:val="auto"/>
        </w:rPr>
      </w:pPr>
      <w:r>
        <w:rPr>
          <w:rFonts w:ascii="Arial" w:cs="Arial" w:eastAsia="Arial" w:hAnsi="Arial"/>
          <w:sz w:val="19"/>
          <w:szCs w:val="19"/>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19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ectPr>
          <w:pgSz w:w="11900" w:h="16838" w:orient="portrait"/>
          <w:cols w:equalWidth="0" w:num="1">
            <w:col w:w="11420"/>
          </w:cols>
          <w:pgMar w:left="240" w:top="130"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3" w:name="page14"/>
    <w:bookmarkEnd w:id="13"/>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198" w:lineRule="exact"/>
        <w:rPr>
          <w:sz w:val="20"/>
          <w:szCs w:val="20"/>
          <w:color w:val="auto"/>
        </w:rPr>
      </w:pPr>
    </w:p>
    <w:p>
      <w:pPr>
        <w:ind w:left="900" w:hanging="25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52" w:lineRule="exact"/>
        <w:rPr>
          <w:rFonts w:ascii="Arial" w:cs="Arial" w:eastAsia="Arial" w:hAnsi="Arial"/>
          <w:sz w:val="18"/>
          <w:szCs w:val="18"/>
          <w:color w:val="auto"/>
        </w:rPr>
      </w:pPr>
    </w:p>
    <w:p>
      <w:pPr>
        <w:ind w:left="900" w:hanging="25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252" w:lineRule="exact"/>
        <w:rPr>
          <w:rFonts w:ascii="Arial" w:cs="Arial" w:eastAsia="Arial" w:hAnsi="Arial"/>
          <w:sz w:val="18"/>
          <w:szCs w:val="18"/>
          <w:color w:val="auto"/>
        </w:rPr>
      </w:pPr>
    </w:p>
    <w:p>
      <w:pPr>
        <w:ind w:left="900" w:right="300" w:hanging="253"/>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97" w:lineRule="exact"/>
        <w:rPr>
          <w:rFonts w:ascii="Arial" w:cs="Arial" w:eastAsia="Arial" w:hAnsi="Arial"/>
          <w:sz w:val="18"/>
          <w:szCs w:val="18"/>
          <w:color w:val="auto"/>
        </w:rPr>
      </w:pPr>
    </w:p>
    <w:p>
      <w:pPr>
        <w:ind w:left="900" w:hanging="25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52" w:lineRule="exact"/>
        <w:rPr>
          <w:rFonts w:ascii="Arial" w:cs="Arial" w:eastAsia="Arial" w:hAnsi="Arial"/>
          <w:sz w:val="18"/>
          <w:szCs w:val="18"/>
          <w:color w:val="auto"/>
        </w:rPr>
      </w:pPr>
    </w:p>
    <w:p>
      <w:pPr>
        <w:ind w:left="900" w:hanging="25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52" w:lineRule="exact"/>
        <w:rPr>
          <w:rFonts w:ascii="Arial" w:cs="Arial" w:eastAsia="Arial" w:hAnsi="Arial"/>
          <w:sz w:val="18"/>
          <w:szCs w:val="18"/>
          <w:color w:val="auto"/>
        </w:rPr>
      </w:pPr>
    </w:p>
    <w:p>
      <w:pPr>
        <w:ind w:left="900" w:hanging="25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52" w:lineRule="exact"/>
        <w:rPr>
          <w:rFonts w:ascii="Arial" w:cs="Arial" w:eastAsia="Arial" w:hAnsi="Arial"/>
          <w:sz w:val="18"/>
          <w:szCs w:val="18"/>
          <w:color w:val="auto"/>
        </w:rPr>
      </w:pPr>
    </w:p>
    <w:p>
      <w:pPr>
        <w:ind w:left="900" w:hanging="253"/>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45" w:lineRule="exact"/>
        <w:rPr>
          <w:sz w:val="20"/>
          <w:szCs w:val="20"/>
          <w:color w:val="auto"/>
        </w:rPr>
      </w:pPr>
    </w:p>
    <w:p>
      <w:pPr>
        <w:jc w:val="both"/>
        <w:ind w:firstLine="999"/>
        <w:spacing w:after="0"/>
        <w:rPr>
          <w:sz w:val="20"/>
          <w:szCs w:val="20"/>
          <w:color w:val="auto"/>
        </w:rPr>
      </w:pPr>
      <w:r>
        <w:rPr>
          <w:rFonts w:ascii="Arial" w:cs="Arial" w:eastAsia="Arial" w:hAnsi="Arial"/>
          <w:sz w:val="22"/>
          <w:szCs w:val="22"/>
          <w:color w:val="auto"/>
        </w:rPr>
        <w:t>We believe that any of these events could prevent us from achieving or maintaining market acceptance of the affected product candidates and could substantially increase the costs of commercializing our product candidates and significantly impact our ability to successfully commercialize our product candidates and generate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FDA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20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3" w:lineRule="exact"/>
        <w:rPr>
          <w:sz w:val="20"/>
          <w:szCs w:val="20"/>
          <w:color w:val="auto"/>
        </w:rPr>
      </w:pPr>
    </w:p>
    <w:p>
      <w:pPr>
        <w:ind w:left="920" w:hanging="259"/>
        <w:spacing w:after="0"/>
        <w:tabs>
          <w:tab w:leader="none" w:pos="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52" w:lineRule="exact"/>
        <w:rPr>
          <w:rFonts w:ascii="Arial" w:cs="Arial" w:eastAsia="Arial" w:hAnsi="Arial"/>
          <w:sz w:val="18"/>
          <w:szCs w:val="18"/>
          <w:color w:val="auto"/>
        </w:rPr>
      </w:pPr>
    </w:p>
    <w:p>
      <w:pPr>
        <w:ind w:left="900" w:hanging="25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52" w:lineRule="exact"/>
        <w:rPr>
          <w:rFonts w:ascii="Arial" w:cs="Arial" w:eastAsia="Arial" w:hAnsi="Arial"/>
          <w:sz w:val="18"/>
          <w:szCs w:val="18"/>
          <w:color w:val="auto"/>
        </w:rPr>
      </w:pPr>
    </w:p>
    <w:p>
      <w:pPr>
        <w:ind w:left="900" w:hanging="25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52" w:lineRule="exact"/>
        <w:rPr>
          <w:rFonts w:ascii="Arial" w:cs="Arial" w:eastAsia="Arial" w:hAnsi="Arial"/>
          <w:sz w:val="18"/>
          <w:szCs w:val="18"/>
          <w:color w:val="auto"/>
        </w:rPr>
      </w:pPr>
    </w:p>
    <w:p>
      <w:pPr>
        <w:ind w:left="900" w:hanging="25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52" w:lineRule="exact"/>
        <w:rPr>
          <w:rFonts w:ascii="Arial" w:cs="Arial" w:eastAsia="Arial" w:hAnsi="Arial"/>
          <w:sz w:val="18"/>
          <w:szCs w:val="18"/>
          <w:color w:val="auto"/>
        </w:rPr>
      </w:pPr>
    </w:p>
    <w:p>
      <w:pPr>
        <w:ind w:left="900" w:hanging="25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52" w:lineRule="exact"/>
        <w:rPr>
          <w:rFonts w:ascii="Arial" w:cs="Arial" w:eastAsia="Arial" w:hAnsi="Arial"/>
          <w:sz w:val="18"/>
          <w:szCs w:val="18"/>
          <w:color w:val="auto"/>
        </w:rPr>
      </w:pPr>
    </w:p>
    <w:p>
      <w:pPr>
        <w:ind w:left="900" w:hanging="25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52" w:lineRule="exact"/>
        <w:rPr>
          <w:rFonts w:ascii="Arial" w:cs="Arial" w:eastAsia="Arial" w:hAnsi="Arial"/>
          <w:sz w:val="18"/>
          <w:szCs w:val="18"/>
          <w:color w:val="auto"/>
        </w:rPr>
      </w:pPr>
    </w:p>
    <w:p>
      <w:pPr>
        <w:ind w:left="900" w:hanging="253"/>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4" w:name="page15"/>
    <w:bookmarkEnd w:id="14"/>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Currently, management is unaware of any FDA-approved therapy for MDD with the mechanism of action of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or ECT, are sometimes used before or instead of antidepressant medications to treat patients with MDD.</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field of new generation antidepressants focused on modulation of the NMDA receptor, our principal competitor is Naurex, Inc., which is developing GLYX-13 and NRX-1074 for treatment-resistant MDD. Although each of these drug candidates is a peptide and may not be orally active in MDD patients (GLYX-13 is only administered intravenously and, we believe, NRX-1074 has not yet been administered orally to MDD patients), both are new generation NMDA modulators focused, as is AV-101, on the glycine binding site of the NMDAR.</w:t>
      </w:r>
    </w:p>
    <w:p>
      <w:pPr>
        <w:spacing w:after="0" w:line="21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Actavis, Astra Zeneca, Eli Lilly, GlaxoSmithKline, Johnson &amp; Johnson, Lundbeck, Merck, Novartis, Otsuka, Pfizer, Roche, Sumitomo Dainippon,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20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2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biopharmaceutical product candidates. Although AV-101 is in Phase 2 clinical development, our research programs, we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21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Because we have limited financial and management resources, we focus on a limited number of research programs and product candidates and are currently focused on AV-101 and stem cell technology-based drug rescue .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6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left="920" w:hanging="259"/>
        <w:spacing w:after="0" w:line="312" w:lineRule="auto"/>
        <w:tabs>
          <w:tab w:leader="none" w:pos="9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73" w:lineRule="exact"/>
        <w:rPr>
          <w:rFonts w:ascii="Arial" w:cs="Arial" w:eastAsia="Arial" w:hAnsi="Arial"/>
          <w:sz w:val="16"/>
          <w:szCs w:val="16"/>
          <w:color w:val="auto"/>
        </w:rPr>
      </w:pPr>
    </w:p>
    <w:p>
      <w:pPr>
        <w:jc w:val="both"/>
        <w:ind w:left="900" w:hanging="253"/>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208" w:lineRule="exact"/>
        <w:rPr>
          <w:rFonts w:ascii="Arial" w:cs="Arial" w:eastAsia="Arial" w:hAnsi="Arial"/>
          <w:sz w:val="18"/>
          <w:szCs w:val="18"/>
          <w:color w:val="auto"/>
        </w:rPr>
      </w:pPr>
    </w:p>
    <w:p>
      <w:pPr>
        <w:jc w:val="both"/>
        <w:ind w:left="900" w:hanging="253"/>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213" w:lineRule="exact"/>
        <w:rPr>
          <w:rFonts w:ascii="Arial" w:cs="Arial" w:eastAsia="Arial" w:hAnsi="Arial"/>
          <w:sz w:val="18"/>
          <w:szCs w:val="18"/>
          <w:color w:val="auto"/>
        </w:rPr>
      </w:pPr>
    </w:p>
    <w:p>
      <w:pPr>
        <w:ind w:left="900" w:hanging="253"/>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97" w:lineRule="exact"/>
        <w:rPr>
          <w:rFonts w:ascii="Arial" w:cs="Arial" w:eastAsia="Arial" w:hAnsi="Arial"/>
          <w:sz w:val="18"/>
          <w:szCs w:val="18"/>
          <w:color w:val="auto"/>
        </w:rPr>
      </w:pPr>
    </w:p>
    <w:p>
      <w:pPr>
        <w:jc w:val="both"/>
        <w:ind w:left="900" w:hanging="253"/>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213" w:lineRule="exact"/>
        <w:rPr>
          <w:rFonts w:ascii="Arial" w:cs="Arial" w:eastAsia="Arial" w:hAnsi="Arial"/>
          <w:sz w:val="18"/>
          <w:szCs w:val="18"/>
          <w:color w:val="auto"/>
        </w:rPr>
      </w:pPr>
    </w:p>
    <w:p>
      <w:pPr>
        <w:jc w:val="both"/>
        <w:ind w:left="900" w:hanging="253"/>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213" w:lineRule="exact"/>
        <w:rPr>
          <w:rFonts w:ascii="Arial" w:cs="Arial" w:eastAsia="Arial" w:hAnsi="Arial"/>
          <w:sz w:val="18"/>
          <w:szCs w:val="18"/>
          <w:color w:val="auto"/>
        </w:rPr>
      </w:pPr>
    </w:p>
    <w:p>
      <w:pPr>
        <w:ind w:left="900" w:hanging="253"/>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AV0-101 as a treatment for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Market acceptance and sales of our product candidates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Even if we have obtained orphan drug designation for one or more of our product candidates, there may be limits to the regulatory exclusivity afforded by such designation.</w:t>
      </w:r>
    </w:p>
    <w:p>
      <w:pPr>
        <w:spacing w:after="0" w:line="19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Even if we obtain orphan drug designation from the FDA for one or more of our product candidates, there are limitations to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exclusivity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208" w:lineRule="exact"/>
        <w:rPr>
          <w:sz w:val="20"/>
          <w:szCs w:val="20"/>
          <w:color w:val="auto"/>
        </w:rPr>
      </w:pPr>
    </w:p>
    <w:p>
      <w:pPr>
        <w:ind w:left="920" w:hanging="259"/>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8" w:name="page19"/>
    <w:bookmarkEnd w:id="18"/>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a development stage biopharmaceutical company. Although our lead drug candidate is in Phase 2 development,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54" w:lineRule="exact"/>
        <w:rPr>
          <w:sz w:val="20"/>
          <w:szCs w:val="20"/>
          <w:color w:val="auto"/>
        </w:rPr>
      </w:pPr>
    </w:p>
    <w:p>
      <w:pPr>
        <w:ind w:left="900" w:hanging="25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produce product candidates;</w:t>
      </w:r>
    </w:p>
    <w:p>
      <w:pPr>
        <w:spacing w:after="0" w:line="225" w:lineRule="exact"/>
        <w:rPr>
          <w:rFonts w:ascii="Arial" w:cs="Arial" w:eastAsia="Arial" w:hAnsi="Arial"/>
          <w:sz w:val="18"/>
          <w:szCs w:val="18"/>
          <w:color w:val="auto"/>
        </w:rPr>
      </w:pPr>
    </w:p>
    <w:p>
      <w:pPr>
        <w:ind w:left="900" w:hanging="25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products we produce;</w:t>
      </w:r>
    </w:p>
    <w:p>
      <w:pPr>
        <w:spacing w:after="0" w:line="225" w:lineRule="exact"/>
        <w:rPr>
          <w:rFonts w:ascii="Arial" w:cs="Arial" w:eastAsia="Arial" w:hAnsi="Arial"/>
          <w:sz w:val="18"/>
          <w:szCs w:val="18"/>
          <w:color w:val="auto"/>
        </w:rPr>
      </w:pPr>
    </w:p>
    <w:p>
      <w:pPr>
        <w:ind w:left="900" w:hanging="25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900" w:hanging="253"/>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and maintain sales, distribution and marketing capabilities, and/or enter into strategic partnering arrangements to access such capabilities;</w:t>
      </w:r>
    </w:p>
    <w:p>
      <w:pPr>
        <w:spacing w:after="0" w:line="170" w:lineRule="exact"/>
        <w:rPr>
          <w:rFonts w:ascii="Arial" w:cs="Arial" w:eastAsia="Arial" w:hAnsi="Arial"/>
          <w:sz w:val="18"/>
          <w:szCs w:val="18"/>
          <w:color w:val="auto"/>
        </w:rPr>
      </w:pPr>
    </w:p>
    <w:p>
      <w:pPr>
        <w:ind w:left="900" w:hanging="25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gain market acceptance for our products; and</w:t>
      </w:r>
    </w:p>
    <w:p>
      <w:pPr>
        <w:spacing w:after="0" w:line="225" w:lineRule="exact"/>
        <w:rPr>
          <w:rFonts w:ascii="Arial" w:cs="Arial" w:eastAsia="Arial" w:hAnsi="Arial"/>
          <w:sz w:val="18"/>
          <w:szCs w:val="18"/>
          <w:color w:val="auto"/>
        </w:rPr>
      </w:pPr>
    </w:p>
    <w:p>
      <w:pPr>
        <w:ind w:left="900" w:right="20" w:hanging="253"/>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Our future success is highly dependent upon our ability to successfully develop and commercialize AV-101 and produce, develop and commercialize proprietary NCEs using our stem cell technology, human cells derived from stem cells, our customized human cell-based bioassay systems and medicinal chemistry, and we cannot provide any assurance that we will successfully develop and commercialize AV-101 or drug rescue NCEs , or that, if produced, AV-101 or any drug rescue NCE will be successfully commercialized.</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66" w:lineRule="exact"/>
        <w:rPr>
          <w:sz w:val="20"/>
          <w:szCs w:val="20"/>
          <w:color w:val="auto"/>
        </w:rPr>
      </w:pPr>
    </w:p>
    <w:p>
      <w:pPr>
        <w:ind w:left="900" w:hanging="25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drug rescue research methodology may not be successful in identifying potential drug rescue NCEs;</w:t>
      </w:r>
    </w:p>
    <w:p>
      <w:pPr>
        <w:spacing w:after="0" w:line="225" w:lineRule="exact"/>
        <w:rPr>
          <w:rFonts w:ascii="Arial" w:cs="Arial" w:eastAsia="Arial" w:hAnsi="Arial"/>
          <w:sz w:val="18"/>
          <w:szCs w:val="18"/>
          <w:color w:val="auto"/>
        </w:rPr>
      </w:pPr>
    </w:p>
    <w:p>
      <w:pPr>
        <w:ind w:left="900" w:hanging="25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drug rescue NCEs obsolete;</w:t>
      </w:r>
    </w:p>
    <w:p>
      <w:pPr>
        <w:spacing w:after="0" w:line="225" w:lineRule="exact"/>
        <w:rPr>
          <w:rFonts w:ascii="Arial" w:cs="Arial" w:eastAsia="Arial" w:hAnsi="Arial"/>
          <w:sz w:val="18"/>
          <w:szCs w:val="18"/>
          <w:color w:val="auto"/>
        </w:rPr>
      </w:pPr>
    </w:p>
    <w:p>
      <w:pPr>
        <w:ind w:left="900" w:hanging="253"/>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70" w:lineRule="exact"/>
        <w:rPr>
          <w:rFonts w:ascii="Arial" w:cs="Arial" w:eastAsia="Arial" w:hAnsi="Arial"/>
          <w:sz w:val="18"/>
          <w:szCs w:val="18"/>
          <w:color w:val="auto"/>
        </w:rPr>
      </w:pPr>
    </w:p>
    <w:p>
      <w:pPr>
        <w:ind w:left="900" w:hanging="25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drug rescue NCE may not be capable of being produced in commercial quantities at an acceptable cost, or at all; or</w:t>
      </w:r>
    </w:p>
    <w:p>
      <w:pPr>
        <w:spacing w:after="0" w:line="225" w:lineRule="exact"/>
        <w:rPr>
          <w:rFonts w:ascii="Arial" w:cs="Arial" w:eastAsia="Arial" w:hAnsi="Arial"/>
          <w:sz w:val="18"/>
          <w:szCs w:val="18"/>
          <w:color w:val="auto"/>
        </w:rPr>
      </w:pPr>
    </w:p>
    <w:p>
      <w:pPr>
        <w:ind w:left="900" w:hanging="253"/>
        <w:spacing w:after="0"/>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drug rescue NCE may not be accepted as safe and effective by regulatory authorities, patients, the medical community or third-party payors.</w:t>
      </w:r>
    </w:p>
    <w:p>
      <w:pPr>
        <w:spacing w:after="0" w:line="2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are unable to develop and commercialize AV-101 or produce suitable drug rescue NCEs for internal development or out-license to pharmaceutical companies and others, we may not be able to generate sufficient revenues to execute our business plan, which likely would result in significant harm to our financial position and results of operations, which could adversely impact our stock price.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strategic partners, including:</w:t>
      </w:r>
    </w:p>
    <w:p>
      <w:pPr>
        <w:spacing w:after="0" w:line="170" w:lineRule="exact"/>
        <w:rPr>
          <w:sz w:val="20"/>
          <w:szCs w:val="20"/>
          <w:color w:val="auto"/>
        </w:rPr>
      </w:pPr>
    </w:p>
    <w:p>
      <w:pPr>
        <w:ind w:left="900" w:hanging="253"/>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identify potential drug rescue candidates in the public domain, obtain sufficient quantities of them, and assess them using our bioassay systems;</w:t>
      </w:r>
    </w:p>
    <w:p>
      <w:pPr>
        <w:spacing w:after="0" w:line="170" w:lineRule="exact"/>
        <w:rPr>
          <w:rFonts w:ascii="Arial" w:cs="Arial" w:eastAsia="Arial" w:hAnsi="Arial"/>
          <w:sz w:val="18"/>
          <w:szCs w:val="18"/>
          <w:color w:val="auto"/>
        </w:rPr>
      </w:pPr>
    </w:p>
    <w:p>
      <w:pPr>
        <w:ind w:left="900" w:hanging="253"/>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70" w:lineRule="exact"/>
        <w:rPr>
          <w:rFonts w:ascii="Arial" w:cs="Arial" w:eastAsia="Arial" w:hAnsi="Arial"/>
          <w:sz w:val="18"/>
          <w:szCs w:val="18"/>
          <w:color w:val="auto"/>
        </w:rPr>
      </w:pPr>
    </w:p>
    <w:p>
      <w:pPr>
        <w:ind w:left="900" w:hanging="253"/>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or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and</w:t>
      </w:r>
    </w:p>
    <w:p>
      <w:pPr>
        <w:spacing w:after="0" w:line="170" w:lineRule="exact"/>
        <w:rPr>
          <w:rFonts w:ascii="Arial" w:cs="Arial" w:eastAsia="Arial" w:hAnsi="Arial"/>
          <w:sz w:val="18"/>
          <w:szCs w:val="18"/>
          <w:color w:val="auto"/>
        </w:rPr>
      </w:pPr>
    </w:p>
    <w:p>
      <w:pPr>
        <w:ind w:left="900" w:hanging="253"/>
        <w:spacing w:after="0" w:line="34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24" w:lineRule="exact"/>
        <w:rPr>
          <w:sz w:val="20"/>
          <w:szCs w:val="20"/>
          <w:color w:val="auto"/>
        </w:rPr>
      </w:pPr>
    </w:p>
    <w:p>
      <w:pPr>
        <w:jc w:val="both"/>
        <w:ind w:firstLine="932"/>
        <w:spacing w:after="0" w:line="291" w:lineRule="auto"/>
        <w:rPr>
          <w:sz w:val="20"/>
          <w:szCs w:val="20"/>
          <w:color w:val="auto"/>
        </w:rPr>
      </w:pPr>
      <w:r>
        <w:rPr>
          <w:rFonts w:ascii="Arial" w:cs="Arial" w:eastAsia="Arial" w:hAnsi="Arial"/>
          <w:sz w:val="16"/>
          <w:szCs w:val="16"/>
          <w:color w:val="auto"/>
        </w:rPr>
        <w:t>Even if we do produce proprietary drug rescue NCEs, we can give no assurance that we will be able to develop and commercialize them as a marketable drug, on our own or in a strategic collaboration. Before we generate any revenues from AV-101 and/or additional drug rescue NCEs we or our potential strategic collaborator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Our success is highly dependent on our ability to use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to identify and predict, accurately and efficiently, the potential toxic and nontoxic cardiac effects of drug rescue candidates and drug rescue NCEs. If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is not capable of providing physiologically relevant and clinically predictive information regarding human cardiac biology, our drug rescue business will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We have not yet fully validated LiverSafe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for potential drug rescue applications, and we may never do so.</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We have developed proprietary protocols for controlling the differentiation of human pluripotent stem cells and producing functional, mature, adult liver cells we believe are superior to primary (cadaver) hepatocytes used in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However, we have not yet fully validated our ability to use the human liver cells we produce for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to predict important biological effects, both toxic and nontoxic, of reference drugs, drug rescue candidates or drug rescue NCEs on the human liver, including drug-induced liver injury and adverse drug-drug interactions. Furthermore, we may never be able to do so, which could adversely affect our business and the potential applications of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for drug discovery, drug rescue and regenerative medicine.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CardioSafe </w:t>
      </w:r>
      <w:r>
        <w:rPr>
          <w:rFonts w:ascii="Arial" w:cs="Arial" w:eastAsia="Arial" w:hAnsi="Arial"/>
          <w:sz w:val="16"/>
          <w:szCs w:val="16"/>
          <w:b w:val="1"/>
          <w:bCs w:val="1"/>
          <w:color w:val="auto"/>
        </w:rPr>
        <w:t>3D</w:t>
      </w:r>
      <w:r>
        <w:rPr>
          <w:rFonts w:ascii="Arial" w:cs="Arial" w:eastAsia="Arial" w:hAnsi="Arial"/>
          <w:sz w:val="16"/>
          <w:szCs w:val="16"/>
          <w:b w:val="1"/>
          <w:bCs w:val="1"/>
          <w:i w:val="1"/>
          <w:iCs w:val="1"/>
          <w:color w:val="auto"/>
        </w:rPr>
        <w:t xml:space="preserve">, and, if validated, LiverSafe </w:t>
      </w:r>
      <w:r>
        <w:rPr>
          <w:rFonts w:ascii="Arial" w:cs="Arial" w:eastAsia="Arial" w:hAnsi="Arial"/>
          <w:sz w:val="16"/>
          <w:szCs w:val="16"/>
          <w:b w:val="1"/>
          <w:bCs w:val="1"/>
          <w:color w:val="auto"/>
        </w:rPr>
        <w:t>3D</w:t>
      </w:r>
      <w:r>
        <w:rPr>
          <w:rFonts w:ascii="Arial" w:cs="Arial" w:eastAsia="Arial" w:hAnsi="Arial"/>
          <w:sz w:val="16"/>
          <w:szCs w:val="16"/>
          <w:b w:val="1"/>
          <w:bCs w:val="1"/>
          <w:i w:val="1"/>
          <w:iCs w:val="1"/>
          <w:color w:val="auto"/>
        </w:rPr>
        <w:t xml:space="preserve"> may not be meaningfully more predictive of the behavior of human cells than existing methods.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success of our drug rescue business is highly dependent, in the first instance,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in the second instance, if validated, </w:t>
      </w:r>
      <w:r>
        <w:rPr>
          <w:rFonts w:ascii="Arial" w:cs="Arial" w:eastAsia="Arial" w:hAnsi="Arial"/>
          <w:sz w:val="16"/>
          <w:szCs w:val="16"/>
          <w:i w:val="1"/>
          <w:iCs w:val="1"/>
          <w:color w:val="auto"/>
        </w:rPr>
        <w:t xml:space="preserve">LiverSafe </w:t>
      </w:r>
      <w:r>
        <w:rPr>
          <w:rFonts w:ascii="Arial" w:cs="Arial" w:eastAsia="Arial" w:hAnsi="Arial"/>
          <w:sz w:val="16"/>
          <w:szCs w:val="16"/>
          <w:color w:val="auto"/>
        </w:rPr>
        <w:t>3D, being more accurate, efficient and clinically predictive than long-established surrogate safety models, including animal cells and live animals,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when validated,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will be more efficient or accurate at predicting the heart or liver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fail to provide a meaningful difference compared to existing or new models in predicting the behavior of human heart and liver cells, respectively, their utility for drug rescue will be limited and our drug rescue business will be adversely affected.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strategic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research and development programs related to producing and using functional, mature adult liver cells to validate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as a novel bioassay system for drug rescue, as well as exploratory nonclinical regenerative medicine programs involving blood, bone, cartilage, heart, and liver. Although we and our collaborators have developed proprietary protocols for the production of multiple differentiated cell types, we could encounter difficulties in differentiating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Some of our ongoing and planned research and development programs involve the use of human cells derived from our controlled differentiation of human embryonic stem cells (“</w:t>
      </w:r>
      <w:r>
        <w:rPr>
          <w:rFonts w:ascii="Arial" w:cs="Arial" w:eastAsia="Arial" w:hAnsi="Arial"/>
          <w:sz w:val="17"/>
          <w:szCs w:val="17"/>
          <w:i w:val="1"/>
          <w:iCs w:val="1"/>
          <w:color w:val="auto"/>
        </w:rPr>
        <w:t>hESC</w:t>
      </w:r>
      <w:r>
        <w:rPr>
          <w:rFonts w:ascii="Arial" w:cs="Arial" w:eastAsia="Arial" w:hAnsi="Arial"/>
          <w:sz w:val="17"/>
          <w:szCs w:val="17"/>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use hESCs derived from excess fertilized eggs that have been created for clinical use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fertilization (“</w:t>
      </w:r>
      <w:r>
        <w:rPr>
          <w:rFonts w:ascii="Arial" w:cs="Arial" w:eastAsia="Arial" w:hAnsi="Arial"/>
          <w:sz w:val="17"/>
          <w:szCs w:val="17"/>
          <w:i w:val="1"/>
          <w:iCs w:val="1"/>
          <w:color w:val="auto"/>
        </w:rPr>
        <w:t>IVF</w:t>
      </w:r>
      <w:r>
        <w:rPr>
          <w:rFonts w:ascii="Arial" w:cs="Arial" w:eastAsia="Arial" w:hAnsi="Arial"/>
          <w:sz w:val="17"/>
          <w:szCs w:val="17"/>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 These potential ethical concerns do not apply to induced pluripotent stem cells </w:t>
      </w:r>
      <w:r>
        <w:rPr>
          <w:rFonts w:ascii="Arial" w:cs="Arial" w:eastAsia="Arial" w:hAnsi="Arial"/>
          <w:sz w:val="16"/>
          <w:szCs w:val="16"/>
          <w:i w:val="1"/>
          <w:iCs w:val="1"/>
          <w:color w:val="auto"/>
        </w:rPr>
        <w:t>(iPSC</w:t>
      </w:r>
      <w:r>
        <w:rPr>
          <w:rFonts w:ascii="Arial" w:cs="Arial" w:eastAsia="Arial" w:hAnsi="Arial"/>
          <w:sz w:val="16"/>
          <w:szCs w:val="16"/>
          <w:color w:val="auto"/>
        </w:rPr>
        <w:t>s), or our plans to pursue studies involving human cells derived from iPSCs, because their derivation does not involve the use of embryonic tissues.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assumed that the biological capabilities of induced pluripotent stem cells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use both hESCs and iPSCs to produce human cells for our customized in vitro assays for drug discovery and drug rescue purposes. However, we anticipate that our future exploratory research and development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66"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To the extent our research and development activities involve using induced pluripotent stem cells,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3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social and ethical concerns surrounding the use of iPSCs, biological materials and genetic information could impair our operations.</w:t>
      </w:r>
    </w:p>
    <w:p>
      <w:pPr>
        <w:spacing w:after="0" w:line="2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cell therapy or for other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and scientific and technical personnel. We are highly dependent upon our Chief Executive Officer, President and Chief Scientific Officer and Chief Financial Officer, as well as other employees, consultants and scientific collaborators. As of the date of this prospectus, we have nine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potential applications of our stem cell technology, including our production and assessment of potential drug recuse NCEs or disrupt our administrative functions.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rely on a diverse range of consultants and advisors, including scientific and clinical development advisors, to assist us in designing our research and development strategies,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we seek to advance development of AV-101 for MDD and other CNS-related conditions, as well as cell production, bioassay development, drug discovery, drug rescue and development unrelated to AV-101, and stem cell technology-related regenerative medicine programs, we will need to expand our research and development capabilities 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ectPr>
          <w:pgSz w:w="11900" w:h="16838" w:orient="portrait"/>
          <w:cols w:equalWidth="0" w:num="1">
            <w:col w:w="11420"/>
          </w:cols>
          <w:pgMar w:left="240" w:top="130" w:right="239" w:bottom="1440" w:gutter="0" w:footer="0" w:header="0"/>
        </w:sect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23" w:name="page24"/>
    <w:bookmarkEnd w:id="23"/>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we develop AV-101, drug rescue NCEs, other product candidates, or regenerative medicine product candidates, either on our own or in collaboration with others, we will face an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2" w:lineRule="exact"/>
        <w:rPr>
          <w:sz w:val="20"/>
          <w:szCs w:val="20"/>
          <w:color w:val="auto"/>
        </w:rPr>
      </w:pPr>
    </w:p>
    <w:p>
      <w:pPr>
        <w:ind w:left="900" w:hanging="25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decreased demand for products that we may develop;</w:t>
      </w:r>
    </w:p>
    <w:p>
      <w:pPr>
        <w:spacing w:after="0" w:line="225" w:lineRule="exact"/>
        <w:rPr>
          <w:rFonts w:ascii="Arial" w:cs="Arial" w:eastAsia="Arial" w:hAnsi="Arial"/>
          <w:sz w:val="18"/>
          <w:szCs w:val="18"/>
          <w:color w:val="auto"/>
        </w:rPr>
      </w:pPr>
    </w:p>
    <w:p>
      <w:pPr>
        <w:ind w:left="900" w:hanging="25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900" w:hanging="25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900" w:hanging="25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900" w:hanging="25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900" w:hanging="25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900" w:hanging="25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rFonts w:ascii="Arial" w:cs="Arial" w:eastAsia="Arial" w:hAnsi="Arial"/>
          <w:sz w:val="18"/>
          <w:szCs w:val="18"/>
          <w:color w:val="auto"/>
        </w:rPr>
      </w:pPr>
    </w:p>
    <w:p>
      <w:pPr>
        <w:ind w:left="900" w:hanging="25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5" w:lineRule="exact"/>
        <w:rPr>
          <w:rFonts w:ascii="Arial" w:cs="Arial" w:eastAsia="Arial" w:hAnsi="Arial"/>
          <w:sz w:val="18"/>
          <w:szCs w:val="18"/>
          <w:color w:val="auto"/>
        </w:rPr>
      </w:pPr>
    </w:p>
    <w:p>
      <w:pPr>
        <w:ind w:left="900" w:hanging="25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225" w:lineRule="exact"/>
        <w:rPr>
          <w:rFonts w:ascii="Arial" w:cs="Arial" w:eastAsia="Arial" w:hAnsi="Arial"/>
          <w:sz w:val="18"/>
          <w:szCs w:val="18"/>
          <w:color w:val="auto"/>
        </w:rPr>
      </w:pPr>
    </w:p>
    <w:p>
      <w:pPr>
        <w:ind w:left="900" w:hanging="25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we continue to grow, we will need to hire additional qualified accounting and financial personnel with appropriate public company experience.</w:t>
      </w:r>
    </w:p>
    <w:p>
      <w:pPr>
        <w:spacing w:after="0" w:line="27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we continue to grow our organization and seek to obtain listing of our common stock on a national securities market, we will need to establish and maintain more elaborate disclosure and financial controls and make changes in our corporate governance practices. We will need to hire additional accounting and financial personnel with appropriate public company experience and technical accounting knowledge, and it may be difficult to recruit and retain such personnel. Even if we are able to hire appropriate personnel, our existing operating expenses and operations will increase by the direct costs of their employment and the indirect consequences related to the diversion of management resources from product development efforts.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acquire businesses or products, or form strategic alliances, in the future, and we may not realize the benefits of such acquisitions.</w:t>
      </w:r>
    </w:p>
    <w:p>
      <w:pPr>
        <w:spacing w:after="0" w:line="2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256"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2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$13.9 million and $3.0 million during the fiscal years ending March 31, 2015 and 2014, respectively. As of March 31, 2015, we had an accumulated deficit of $84.5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non-clinical studies and clinical trials of our product candidates. In addition, if we obtain marketing approval for our product candidates, we will incur significant sales, marketing and outsourced-manufacturing expenses.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ability to become profitable depends upon our ability to generate revenues. To date, although we have generated approximately $16.4 million in revenues, we have not commercialized any products or generated any revenues from product sales, and we do not know when, or if, we will generate any revenue from product sales. We do not expect to generate significant revenue unless and until we obtain marketing approval of, and begin to sell, AV-101, or we enter into one or more strategic development and commercialization agreements with respect to AV-101 or another product candidate. Our ability to generate revenue depends on a number of factors, including, but not limited to, our ability to:</w:t>
      </w:r>
    </w:p>
    <w:p>
      <w:pPr>
        <w:spacing w:after="0" w:line="200" w:lineRule="exact"/>
        <w:rPr>
          <w:sz w:val="20"/>
          <w:szCs w:val="20"/>
          <w:color w:val="auto"/>
        </w:rPr>
      </w:pPr>
    </w:p>
    <w:p>
      <w:pPr>
        <w:ind w:left="920" w:hanging="259"/>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252" w:lineRule="exact"/>
        <w:rPr>
          <w:rFonts w:ascii="Arial" w:cs="Arial" w:eastAsia="Arial" w:hAnsi="Arial"/>
          <w:sz w:val="18"/>
          <w:szCs w:val="18"/>
          <w:color w:val="auto"/>
        </w:rPr>
      </w:pPr>
    </w:p>
    <w:p>
      <w:pPr>
        <w:ind w:left="920" w:hanging="259"/>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initiate and successfully complete all safety studies required to obtain U.S. and foreign marketing approval for our product candidates;</w:t>
      </w:r>
    </w:p>
    <w:p>
      <w:pPr>
        <w:spacing w:after="0" w:line="263" w:lineRule="exact"/>
        <w:rPr>
          <w:rFonts w:ascii="Arial" w:cs="Arial" w:eastAsia="Arial" w:hAnsi="Arial"/>
          <w:sz w:val="17"/>
          <w:szCs w:val="17"/>
          <w:color w:val="auto"/>
        </w:rPr>
      </w:pPr>
    </w:p>
    <w:p>
      <w:pPr>
        <w:ind w:left="920" w:hanging="259"/>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commercialize our product candidates, if approved, by developing a sales force or entering into collaborations with third parties; and</w:t>
      </w:r>
    </w:p>
    <w:p>
      <w:pPr>
        <w:spacing w:after="0" w:line="252" w:lineRule="exact"/>
        <w:rPr>
          <w:rFonts w:ascii="Arial" w:cs="Arial" w:eastAsia="Arial" w:hAnsi="Arial"/>
          <w:sz w:val="18"/>
          <w:szCs w:val="18"/>
          <w:color w:val="auto"/>
        </w:rPr>
      </w:pPr>
    </w:p>
    <w:p>
      <w:pPr>
        <w:ind w:left="920" w:hanging="259"/>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52" w:lineRule="exact"/>
        <w:rPr>
          <w:rFonts w:ascii="Arial" w:cs="Arial" w:eastAsia="Arial" w:hAnsi="Arial"/>
          <w:sz w:val="18"/>
          <w:szCs w:val="18"/>
          <w:color w:val="auto"/>
        </w:rPr>
      </w:pPr>
    </w:p>
    <w:p>
      <w:pPr>
        <w:jc w:val="both"/>
        <w:ind w:left="920" w:hanging="259"/>
        <w:spacing w:after="0" w:line="297" w:lineRule="auto"/>
        <w:tabs>
          <w:tab w:leader="none" w:pos="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Absent our entering into a strategic development and commercialization collaboration or partnership agreement, we expect to incur significant sales and marketing costs as we prepare to commercialize our product candidates. Even if we initiate and successfully complete pivotal clinical trials of our product candidates, and our product candidates are approved for commercial sale, and despite expending these costs, our product candidates may not be a commercially successful drug. We may not achieve profitability soon after generating product sales, if ever. If we are unable to generate product revenue, we will not become profitable and may be unable to continue operations without continued funding.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independent auditors have expressed substantial doubt about our ability to continue as a going concern.</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consolidated financial statements for the year ended March 31, 2015 included in this prospectus have been prepared assuming we will continue to operate as a going concern. However, due to our ongoing operating losses and our accumulated deficit, in their opinion on our audited financial statements for our fiscal year ended March 31, 2015, our auditors indicated that there is substantial doubt about our ability to continue as a going concern. Because we continue to experience net operating losses, our ability to continue as a going concern is subject to our ability to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of our research and development activities or we may not be able to continue as a going concern.</w:t>
      </w:r>
    </w:p>
    <w:p>
      <w:pPr>
        <w:spacing w:after="0" w:line="209" w:lineRule="exact"/>
        <w:rPr>
          <w:sz w:val="20"/>
          <w:szCs w:val="20"/>
          <w:color w:val="auto"/>
        </w:rPr>
      </w:pPr>
    </w:p>
    <w:p>
      <w:pPr>
        <w:jc w:val="both"/>
        <w:ind w:right="20" w:firstLine="48"/>
        <w:spacing w:after="0" w:line="277" w:lineRule="auto"/>
        <w:rPr>
          <w:sz w:val="20"/>
          <w:szCs w:val="20"/>
          <w:color w:val="auto"/>
        </w:rPr>
      </w:pPr>
      <w:r>
        <w:rPr>
          <w:rFonts w:ascii="Arial" w:cs="Arial" w:eastAsia="Arial" w:hAnsi="Arial"/>
          <w:sz w:val="18"/>
          <w:szCs w:val="18"/>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 or other operations.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Since our inception, most of our resources have been dedicated to research and development of AV-101 and the drug rescue capabilities of our human pluripotent stem cell technology platform. In particular, we have expended substantial resources advancing AV-101 through preclinical development and Phase 1 clinical safety studies, and developing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for drug rescue applications, and we will continue to expend substantial resources for the foreseeable future developing and commercializing AV-101, validating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and developing drug rescue NCEs.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pacing w:after="0" w:line="21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At March 31, 2015, our existing cash and cash equivalents were not sufficient to fund our current operations for the next 12 months. Although, in February 2015, we entered into a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with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under which CRADA the NIH will fully fund and conduct the initial Phase 2 clinical efficacy and safety of AV-101 in Major Depressive Disorder at no cost to us, we have no current source of revenue to sustain our present activities, and we do not expect to generate revenue until, and unless, we (i) out-license or sell AV-101, a drug rescue NCE, another drug candidate unrelated to AV-101 to third-parties, (ii) enter into license arrangements involving our stem cell technology, including customized drug discovery and predictive toxicology assays and services and/or regenerative medicine opportunities with a third party, or (iii) obtain approval from the FDA or other regulatory authorities and successfully commercialize, on our own or through a future collaboration, one or more of our compounds. As the outcome of our proposed drug rescue and AV-101 development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intend to complete additional financing arrangements prior to the end of 2015.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ectPr>
          <w:pgSz w:w="11900" w:h="16838" w:orient="portrait"/>
          <w:cols w:equalWidth="0" w:num="1">
            <w:col w:w="11420"/>
          </w:cols>
          <w:pgMar w:left="240" w:top="130" w:right="239" w:bottom="1440" w:gutter="0" w:footer="0" w:header="0"/>
        </w:sect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26" w:name="page27"/>
    <w:bookmarkEnd w:id="26"/>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52" w:lineRule="exact"/>
        <w:rPr>
          <w:sz w:val="20"/>
          <w:szCs w:val="20"/>
          <w:color w:val="auto"/>
        </w:rPr>
      </w:pPr>
    </w:p>
    <w:p>
      <w:pPr>
        <w:ind w:left="900" w:hanging="25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 including AV-101 or drug rescue NCEs;</w:t>
      </w:r>
    </w:p>
    <w:p>
      <w:pPr>
        <w:spacing w:after="0" w:line="252" w:lineRule="exact"/>
        <w:rPr>
          <w:rFonts w:ascii="Arial" w:cs="Arial" w:eastAsia="Arial" w:hAnsi="Arial"/>
          <w:sz w:val="18"/>
          <w:szCs w:val="18"/>
          <w:color w:val="auto"/>
        </w:rPr>
      </w:pPr>
    </w:p>
    <w:p>
      <w:pPr>
        <w:ind w:left="900" w:hanging="253"/>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75" w:lineRule="exact"/>
        <w:rPr>
          <w:rFonts w:ascii="Arial" w:cs="Arial" w:eastAsia="Arial" w:hAnsi="Arial"/>
          <w:sz w:val="16"/>
          <w:szCs w:val="16"/>
          <w:color w:val="auto"/>
        </w:rPr>
      </w:pPr>
    </w:p>
    <w:p>
      <w:pPr>
        <w:ind w:left="900" w:hanging="25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52" w:lineRule="exact"/>
        <w:rPr>
          <w:rFonts w:ascii="Arial" w:cs="Arial" w:eastAsia="Arial" w:hAnsi="Arial"/>
          <w:sz w:val="18"/>
          <w:szCs w:val="18"/>
          <w:color w:val="auto"/>
        </w:rPr>
      </w:pPr>
    </w:p>
    <w:p>
      <w:pPr>
        <w:ind w:left="900" w:hanging="253"/>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75" w:lineRule="exact"/>
        <w:rPr>
          <w:rFonts w:ascii="Arial" w:cs="Arial" w:eastAsia="Arial" w:hAnsi="Arial"/>
          <w:sz w:val="16"/>
          <w:szCs w:val="16"/>
          <w:color w:val="auto"/>
        </w:rPr>
      </w:pPr>
    </w:p>
    <w:p>
      <w:pPr>
        <w:ind w:left="900" w:hanging="25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52" w:lineRule="exact"/>
        <w:rPr>
          <w:rFonts w:ascii="Arial" w:cs="Arial" w:eastAsia="Arial" w:hAnsi="Arial"/>
          <w:sz w:val="18"/>
          <w:szCs w:val="18"/>
          <w:color w:val="auto"/>
        </w:rPr>
      </w:pPr>
    </w:p>
    <w:p>
      <w:pPr>
        <w:ind w:left="900" w:hanging="253"/>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establish and maintain strategic partnerships, licensing or other arrangements and the financial terms of such agreements;</w:t>
      </w:r>
    </w:p>
    <w:p>
      <w:pPr>
        <w:spacing w:after="0" w:line="236" w:lineRule="exact"/>
        <w:rPr>
          <w:rFonts w:ascii="Arial" w:cs="Arial" w:eastAsia="Arial" w:hAnsi="Arial"/>
          <w:sz w:val="17"/>
          <w:szCs w:val="17"/>
          <w:color w:val="auto"/>
        </w:rPr>
      </w:pPr>
    </w:p>
    <w:p>
      <w:pPr>
        <w:ind w:left="900" w:hanging="25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900" w:hanging="25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52" w:lineRule="exact"/>
        <w:rPr>
          <w:rFonts w:ascii="Arial" w:cs="Arial" w:eastAsia="Arial" w:hAnsi="Arial"/>
          <w:sz w:val="18"/>
          <w:szCs w:val="18"/>
          <w:color w:val="auto"/>
        </w:rPr>
      </w:pPr>
    </w:p>
    <w:p>
      <w:pPr>
        <w:ind w:left="900" w:hanging="25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obtain government funding for our programs;</w:t>
      </w:r>
    </w:p>
    <w:p>
      <w:pPr>
        <w:spacing w:after="0" w:line="252" w:lineRule="exact"/>
        <w:rPr>
          <w:rFonts w:ascii="Arial" w:cs="Arial" w:eastAsia="Arial" w:hAnsi="Arial"/>
          <w:sz w:val="18"/>
          <w:szCs w:val="18"/>
          <w:color w:val="auto"/>
        </w:rPr>
      </w:pPr>
    </w:p>
    <w:p>
      <w:pPr>
        <w:jc w:val="both"/>
        <w:ind w:left="900" w:hanging="253"/>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 claims necessary to preserve our freedom to operate in the stem cell industry, including litigation costs associated with any claims that we infringe third-party patents or violate other intellectual property rights and the outcome of such litigation;</w:t>
      </w:r>
    </w:p>
    <w:p>
      <w:pPr>
        <w:spacing w:after="0" w:line="208" w:lineRule="exact"/>
        <w:rPr>
          <w:rFonts w:ascii="Arial" w:cs="Arial" w:eastAsia="Arial" w:hAnsi="Arial"/>
          <w:sz w:val="18"/>
          <w:szCs w:val="18"/>
          <w:color w:val="auto"/>
        </w:rPr>
      </w:pPr>
    </w:p>
    <w:p>
      <w:pPr>
        <w:ind w:left="900" w:hanging="253"/>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900" w:right="20" w:hanging="253"/>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Any additional fundraising efforts will divert our management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also dilute all of our stockholders. The incurrence of indebtedness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20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If we are unable to obtain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will cause dilution to our existing stockholders, and may restrict our operations or require us to relinquish rights.</w:t>
      </w:r>
    </w:p>
    <w:p>
      <w:pPr>
        <w:spacing w:after="0" w:line="2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intend to seek additional capital through a combination of private and public equity offerings, debt financings, collaborations and strategic and licensing arrangements. To the extent that we raise additional capital through the sale of common stock or securities convertible or exchangeable into common stock, your ownership interest in our company will be diluted. In addition, the terms of any such securities may include liquidation or other preferences that materially adversely affect your rights as a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grants, which may not be available to us in the future.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March 31, 2015, we had federal and state net operating loss carryforwards of $58.7 million and $53.1 million, respectively, which begin to expire in fiscal 2016. Under Section 382 of the Internal Revenue Code of 1986, as amended, or the Code,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7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success will depend significantly on our ability to obtain and maintain patent and other proprietary protection for commercially important technology, inventions and know-how related to our business, defend and enforce our patents, should they issue, preserve the confidentiality of our trade secrets and operate without infringing the valid and enforceable patents and proprietary rights of third parties. We also rely on know-how, continuing technological innovation and in-licensing opportunities to develop, strengthen and maintain the proprietary position of our product candidates. Our owned and licensed patents and patent applications relate to AV-101 and, in general, human pluripotent stem cell technology.</w:t>
      </w:r>
    </w:p>
    <w:p>
      <w:pPr>
        <w:spacing w:after="0" w:line="20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currently have no issued patents covering AV-101. We cannot provide any assurances that any of our multiple pending U.S. and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 for certain inventories.</w:t>
      </w:r>
    </w:p>
    <w:p>
      <w:pPr>
        <w:spacing w:after="0" w:line="20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should they issue,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Furthermore, though a patent, if it were to issue,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proceedings to enforce or defend our patents, if and when issued,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if and when issued,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52" w:lineRule="exact"/>
        <w:rPr>
          <w:sz w:val="20"/>
          <w:szCs w:val="20"/>
          <w:color w:val="auto"/>
        </w:rPr>
      </w:pPr>
    </w:p>
    <w:p>
      <w:pPr>
        <w:ind w:left="920" w:right="20" w:hanging="259"/>
        <w:spacing w:after="0" w:line="277"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 our AV-101 or other pending patent applications, if issued, will include claims having a scope sufficient to protect AV-101 or any other products or product candidates;</w:t>
      </w:r>
    </w:p>
    <w:p>
      <w:pPr>
        <w:spacing w:after="0" w:line="170" w:lineRule="exact"/>
        <w:rPr>
          <w:rFonts w:ascii="Arial" w:cs="Arial" w:eastAsia="Arial" w:hAnsi="Arial"/>
          <w:sz w:val="18"/>
          <w:szCs w:val="18"/>
          <w:color w:val="auto"/>
        </w:rPr>
      </w:pPr>
    </w:p>
    <w:p>
      <w:pPr>
        <w:ind w:left="920" w:hanging="259"/>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52" w:lineRule="exact"/>
        <w:rPr>
          <w:rFonts w:ascii="Arial" w:cs="Arial" w:eastAsia="Arial" w:hAnsi="Arial"/>
          <w:sz w:val="18"/>
          <w:szCs w:val="18"/>
          <w:color w:val="auto"/>
        </w:rPr>
      </w:pPr>
    </w:p>
    <w:p>
      <w:pPr>
        <w:ind w:left="920" w:hanging="259"/>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52" w:lineRule="exact"/>
        <w:rPr>
          <w:rFonts w:ascii="Arial" w:cs="Arial" w:eastAsia="Arial" w:hAnsi="Arial"/>
          <w:sz w:val="18"/>
          <w:szCs w:val="18"/>
          <w:color w:val="auto"/>
        </w:rPr>
      </w:pPr>
    </w:p>
    <w:p>
      <w:pPr>
        <w:ind w:left="920" w:hanging="259"/>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52" w:lineRule="exact"/>
        <w:rPr>
          <w:rFonts w:ascii="Arial" w:cs="Arial" w:eastAsia="Arial" w:hAnsi="Arial"/>
          <w:sz w:val="18"/>
          <w:szCs w:val="18"/>
          <w:color w:val="auto"/>
        </w:rPr>
      </w:pPr>
    </w:p>
    <w:p>
      <w:pPr>
        <w:ind w:left="920" w:hanging="259"/>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52" w:lineRule="exact"/>
        <w:rPr>
          <w:rFonts w:ascii="Arial" w:cs="Arial" w:eastAsia="Arial" w:hAnsi="Arial"/>
          <w:sz w:val="18"/>
          <w:szCs w:val="18"/>
          <w:color w:val="auto"/>
        </w:rPr>
      </w:pPr>
    </w:p>
    <w:p>
      <w:pPr>
        <w:ind w:left="920" w:hanging="259"/>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52" w:lineRule="exact"/>
        <w:rPr>
          <w:rFonts w:ascii="Arial" w:cs="Arial" w:eastAsia="Arial" w:hAnsi="Arial"/>
          <w:sz w:val="18"/>
          <w:szCs w:val="18"/>
          <w:color w:val="auto"/>
        </w:rPr>
      </w:pPr>
    </w:p>
    <w:p>
      <w:pPr>
        <w:ind w:left="920" w:hanging="259"/>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52" w:lineRule="exact"/>
        <w:rPr>
          <w:rFonts w:ascii="Arial" w:cs="Arial" w:eastAsia="Arial" w:hAnsi="Arial"/>
          <w:sz w:val="18"/>
          <w:szCs w:val="18"/>
          <w:color w:val="auto"/>
        </w:rPr>
      </w:pPr>
    </w:p>
    <w:p>
      <w:pPr>
        <w:ind w:left="920" w:hanging="259"/>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252" w:lineRule="exact"/>
        <w:rPr>
          <w:rFonts w:ascii="Arial" w:cs="Arial" w:eastAsia="Arial" w:hAnsi="Arial"/>
          <w:sz w:val="18"/>
          <w:szCs w:val="18"/>
          <w:color w:val="auto"/>
        </w:rPr>
      </w:pPr>
    </w:p>
    <w:p>
      <w:pPr>
        <w:ind w:left="920" w:right="20" w:hanging="259"/>
        <w:spacing w:after="0" w:line="277" w:lineRule="auto"/>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97" w:lineRule="exact"/>
        <w:rPr>
          <w:rFonts w:ascii="Arial" w:cs="Arial" w:eastAsia="Arial" w:hAnsi="Arial"/>
          <w:sz w:val="18"/>
          <w:szCs w:val="18"/>
          <w:color w:val="auto"/>
        </w:rPr>
      </w:pPr>
    </w:p>
    <w:p>
      <w:pPr>
        <w:ind w:left="920" w:hanging="259"/>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52" w:lineRule="exact"/>
        <w:rPr>
          <w:rFonts w:ascii="Arial" w:cs="Arial" w:eastAsia="Arial" w:hAnsi="Arial"/>
          <w:sz w:val="18"/>
          <w:szCs w:val="18"/>
          <w:color w:val="auto"/>
        </w:rPr>
      </w:pPr>
    </w:p>
    <w:p>
      <w:pPr>
        <w:ind w:left="920" w:hanging="259"/>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or proprietary rights of others.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ectPr>
          <w:pgSz w:w="11900" w:h="16838" w:orient="portrait"/>
          <w:cols w:equalWidth="0" w:num="1">
            <w:col w:w="11420"/>
          </w:cols>
          <w:pgMar w:left="240" w:top="130"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29" w:name="page30"/>
    <w:bookmarkEnd w:id="29"/>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which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our product candidates.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215" w:lineRule="exact"/>
        <w:rPr>
          <w:sz w:val="20"/>
          <w:szCs w:val="20"/>
          <w:color w:val="auto"/>
        </w:rPr>
      </w:pPr>
    </w:p>
    <w:p>
      <w:pPr>
        <w:ind w:left="920" w:hanging="259"/>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52" w:lineRule="exact"/>
        <w:rPr>
          <w:rFonts w:ascii="Arial" w:cs="Arial" w:eastAsia="Arial" w:hAnsi="Arial"/>
          <w:sz w:val="18"/>
          <w:szCs w:val="18"/>
          <w:color w:val="auto"/>
        </w:rPr>
      </w:pPr>
    </w:p>
    <w:p>
      <w:pPr>
        <w:ind w:left="920" w:hanging="259"/>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52" w:lineRule="exact"/>
        <w:rPr>
          <w:rFonts w:ascii="Arial" w:cs="Arial" w:eastAsia="Arial" w:hAnsi="Arial"/>
          <w:sz w:val="18"/>
          <w:szCs w:val="18"/>
          <w:color w:val="auto"/>
        </w:rPr>
      </w:pPr>
    </w:p>
    <w:p>
      <w:pPr>
        <w:ind w:left="920" w:hanging="259"/>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263" w:lineRule="exact"/>
        <w:rPr>
          <w:rFonts w:ascii="Arial" w:cs="Arial" w:eastAsia="Arial" w:hAnsi="Arial"/>
          <w:sz w:val="17"/>
          <w:szCs w:val="17"/>
          <w:color w:val="auto"/>
        </w:rPr>
      </w:pPr>
    </w:p>
    <w:p>
      <w:pPr>
        <w:ind w:left="920" w:hanging="259"/>
        <w:spacing w:after="0" w:line="277" w:lineRule="auto"/>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ectPr>
          <w:pgSz w:w="11900" w:h="16838" w:orient="portrait"/>
          <w:cols w:equalWidth="0" w:num="1">
            <w:col w:w="11420"/>
          </w:cols>
          <w:pgMar w:left="240" w:top="130"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9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9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“Business—Licenses” for a description of our license agreements, which includes a description of the termination provisions of these agreements.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97" w:lineRule="exact"/>
        <w:rPr>
          <w:sz w:val="20"/>
          <w:szCs w:val="20"/>
          <w:color w:val="auto"/>
        </w:rPr>
      </w:pPr>
    </w:p>
    <w:p>
      <w:pPr>
        <w:ind w:left="920" w:hanging="259"/>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52" w:lineRule="exact"/>
        <w:rPr>
          <w:rFonts w:ascii="Arial" w:cs="Arial" w:eastAsia="Arial" w:hAnsi="Arial"/>
          <w:sz w:val="18"/>
          <w:szCs w:val="18"/>
          <w:color w:val="auto"/>
        </w:rPr>
      </w:pPr>
    </w:p>
    <w:p>
      <w:pPr>
        <w:ind w:left="920" w:hanging="259"/>
        <w:spacing w:after="0" w:line="277"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97" w:lineRule="exact"/>
        <w:rPr>
          <w:rFonts w:ascii="Arial" w:cs="Arial" w:eastAsia="Arial" w:hAnsi="Arial"/>
          <w:sz w:val="18"/>
          <w:szCs w:val="18"/>
          <w:color w:val="auto"/>
        </w:rPr>
      </w:pPr>
    </w:p>
    <w:p>
      <w:pPr>
        <w:ind w:left="920" w:hanging="259"/>
        <w:spacing w:after="0"/>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52" w:lineRule="exact"/>
        <w:rPr>
          <w:rFonts w:ascii="Arial" w:cs="Arial" w:eastAsia="Arial" w:hAnsi="Arial"/>
          <w:sz w:val="18"/>
          <w:szCs w:val="18"/>
          <w:color w:val="auto"/>
        </w:rPr>
      </w:pPr>
    </w:p>
    <w:p>
      <w:pPr>
        <w:ind w:left="920" w:hanging="259"/>
        <w:spacing w:after="0" w:line="277"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97" w:lineRule="exact"/>
        <w:rPr>
          <w:rFonts w:ascii="Arial" w:cs="Arial" w:eastAsia="Arial" w:hAnsi="Arial"/>
          <w:sz w:val="18"/>
          <w:szCs w:val="18"/>
          <w:color w:val="auto"/>
        </w:rPr>
      </w:pPr>
    </w:p>
    <w:p>
      <w:pPr>
        <w:ind w:left="920" w:right="20" w:hanging="259"/>
        <w:spacing w:after="0" w:line="277" w:lineRule="auto"/>
        <w:tabs>
          <w:tab w:leader="none" w:pos="9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entered into several licenses to support our various programs. We may enter into additional license(s) to third-party intellectual property that are necessary or useful to our business. Our current licenses and any future licenses that we may enter into impose various royalty payment,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21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However, on March 4, 2014, the U.S. 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 PTO, the laws and regulations governing patents could change in unpredictable ways that would weaken our ability to obtain new patents or to enforce any patents that may issue in the future.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214" w:lineRule="exact"/>
        <w:rPr>
          <w:sz w:val="20"/>
          <w:szCs w:val="20"/>
          <w:color w:val="auto"/>
        </w:rPr>
      </w:pPr>
    </w:p>
    <w:p>
      <w:pPr>
        <w:ind w:left="920" w:hanging="259"/>
        <w:spacing w:after="0" w:line="27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70" w:lineRule="exact"/>
        <w:rPr>
          <w:rFonts w:ascii="Arial" w:cs="Arial" w:eastAsia="Arial" w:hAnsi="Arial"/>
          <w:sz w:val="18"/>
          <w:szCs w:val="18"/>
          <w:color w:val="auto"/>
        </w:rPr>
      </w:pPr>
    </w:p>
    <w:p>
      <w:pPr>
        <w:ind w:left="920" w:hanging="259"/>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920" w:hanging="259"/>
        <w:spacing w:after="0" w:line="277" w:lineRule="auto"/>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70" w:lineRule="exact"/>
        <w:rPr>
          <w:rFonts w:ascii="Arial" w:cs="Arial" w:eastAsia="Arial" w:hAnsi="Arial"/>
          <w:sz w:val="18"/>
          <w:szCs w:val="18"/>
          <w:color w:val="auto"/>
        </w:rPr>
      </w:pPr>
    </w:p>
    <w:p>
      <w:pPr>
        <w:ind w:left="920" w:hanging="259"/>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52"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NCEs we may produce or develop in connection with any such third-party licenses.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Since we became a publicly-traded company in May 2011, there has been a limited public market for shares of our common stock on the OTCQB Marketplace (“</w:t>
      </w:r>
      <w:r>
        <w:rPr>
          <w:rFonts w:ascii="Arial" w:cs="Arial" w:eastAsia="Arial" w:hAnsi="Arial"/>
          <w:sz w:val="17"/>
          <w:szCs w:val="17"/>
          <w:i w:val="1"/>
          <w:iCs w:val="1"/>
          <w:color w:val="auto"/>
        </w:rPr>
        <w:t>OTCQB</w:t>
      </w:r>
      <w:r>
        <w:rPr>
          <w:rFonts w:ascii="Arial" w:cs="Arial" w:eastAsia="Arial" w:hAnsi="Arial"/>
          <w:sz w:val="17"/>
          <w:szCs w:val="17"/>
          <w:color w:val="auto"/>
        </w:rPr>
        <w:t>”). We do not yet meet the initial listing standards of the New York Stock Exchange, the NASDAQ Capital Market, or other similar national securities exchanges. Until our common stock is listed on a broader exchange, we anticipate that it will remain quoted on the OTC Markets. In that venue,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cannot predict the extent to which investor interest in our company will lead to the development of a more active trading market on the OTC Markets, whether we will meet the initial listing standards of the New York Stock Exchange, the NASDAQ Capital Market, or other similar national securities exchanges, or how liquid that market might become. If an active trading market does not develop, you may have difficulty selling any of the shares of our common stock that you buy.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170" w:lineRule="exact"/>
        <w:rPr>
          <w:sz w:val="20"/>
          <w:szCs w:val="20"/>
          <w:color w:val="auto"/>
        </w:rPr>
      </w:pPr>
    </w:p>
    <w:p>
      <w:pPr>
        <w:ind w:left="920" w:hanging="259"/>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studies and clinical trials of our product candidates;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of the FDA to approve our product candidates;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stock market in general, and biotechnology-based companies like ours in particular, has from time to time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prospectus, there has been a limited public market for shares of our common stock on the OTC Markets. Future sales of a substantial number of shares of our common stock in the public market, including shares issued upon the exchange of our Series A Preferred Stock, and Series B Preferred Stock under this prospectus, and exercise of outstanding options and warrants for common stock, including shares of common stock under this prospectus which are issuable upon exercise of warrants, in the public market, or the perception that these sales might, occur, could significantly reduce the market price for our common stock and impair our ability to raise adequate capital through the sale of equity securities.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Certain of our current institutional stockholders and their respective affiliates own a substantial portion of our outstanding capital stock, including our common stock, Series A Preferred Stock and Series B 10% Convertible Preferred Stock, which preferred stock is convertible into a substantial number of shares of common stock. Accordingly, these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Following approval by our stockholders in October 2011, our Articles of Incorporation permit us to issue up to 10.0 million shares of preferred stock. Our Board of Directors has authorized the issuance of both 500,000 shares of Series A Preferred, all of which shares are currently issued and outstanding, and 4.0 million shares of Series B 10% Convertible Preferred stock, of which approximately 3.1 million shares are issued and outstanding.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you purchased them.</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56" w:lineRule="exact"/>
        <w:rPr>
          <w:sz w:val="20"/>
          <w:szCs w:val="20"/>
          <w:color w:val="auto"/>
        </w:rPr>
      </w:pPr>
    </w:p>
    <w:p>
      <w:pPr>
        <w:jc w:val="both"/>
        <w:ind w:firstLine="945"/>
        <w:spacing w:after="0" w:line="257" w:lineRule="auto"/>
        <w:rPr>
          <w:sz w:val="20"/>
          <w:szCs w:val="20"/>
          <w:color w:val="auto"/>
        </w:rPr>
      </w:pPr>
      <w:r>
        <w:rPr>
          <w:rFonts w:ascii="Arial" w:cs="Arial" w:eastAsia="Arial" w:hAnsi="Arial"/>
          <w:sz w:val="18"/>
          <w:szCs w:val="18"/>
          <w:color w:val="auto"/>
        </w:rPr>
        <w:t>We will not receive any of the proceeds of the shares of common stock offered and resold by the Selling Stockholders under this prospectus. However, we may receive proceeds upon exercise of Warrants (discussed below). The shares of common stock that will be resold under this prospectus are issuable upon the conversion of certain securities issued by us during the Private Placements, or upon exercise of Warrants. The funds that may be received by us upon exercise of Warrants, estimated to be up to approximately $5.8 million, if all Warrants are exercised, will be used for general working capital purposes.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This prospectus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“will,” “would,” “could,” and similar expressions or phrases identify forward-looking statements. Forward-looking statements include, but are not limited to, statements about:</w:t>
      </w:r>
    </w:p>
    <w:p>
      <w:pPr>
        <w:spacing w:after="0" w:line="200" w:lineRule="exact"/>
        <w:rPr>
          <w:sz w:val="20"/>
          <w:szCs w:val="20"/>
          <w:color w:val="auto"/>
        </w:rPr>
      </w:pPr>
    </w:p>
    <w:p>
      <w:pPr>
        <w:ind w:left="960" w:hanging="28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implement our business strategy;</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expected future financial performance;</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expectations regarding our operating expenses;</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anticipate market needs or develop new or enhanced products to meet those needs;</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expectations regarding market acceptance of our products;</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compete in our industry and innovation by our competitors;</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intellectual property rights;</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additional financing; and</w:t>
      </w:r>
    </w:p>
    <w:p>
      <w:pPr>
        <w:spacing w:after="0" w:line="252" w:lineRule="exact"/>
        <w:rPr>
          <w:rFonts w:ascii="Arial" w:cs="Arial" w:eastAsia="Arial" w:hAnsi="Arial"/>
          <w:sz w:val="18"/>
          <w:szCs w:val="18"/>
          <w:color w:val="auto"/>
        </w:rPr>
      </w:pPr>
    </w:p>
    <w:p>
      <w:pPr>
        <w:ind w:left="960" w:hanging="286"/>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manage growth.</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forward-looking statements involve risks, assumptions and uncertainties. The occurrence of the events described, and the achievement of the expected results, depend on many events, some or all of which are not predictable or within our control. Actual results may differ materially from expected results. See the section titled “</w:t>
      </w:r>
      <w:r>
        <w:rPr>
          <w:rFonts w:ascii="Arial" w:cs="Arial" w:eastAsia="Arial" w:hAnsi="Arial"/>
          <w:sz w:val="17"/>
          <w:szCs w:val="17"/>
          <w:i w:val="1"/>
          <w:iCs w:val="1"/>
          <w:color w:val="auto"/>
        </w:rPr>
        <w:t>Risk Factors</w:t>
      </w:r>
      <w:r>
        <w:rPr>
          <w:rFonts w:ascii="Arial" w:cs="Arial" w:eastAsia="Arial" w:hAnsi="Arial"/>
          <w:sz w:val="17"/>
          <w:szCs w:val="17"/>
          <w:color w:val="auto"/>
        </w:rPr>
        <w:t>” and elsewhere in this prospectus for a more complete discussion of these risks, assumptions and uncertainties and for other risks and uncertainties. These risks, assumptions and uncertainties are not necessarily all of the important factors that could cause actual results to differ materially from those expressed in any of our forward-looking statements. Other unknown or unpredictable factors also could harm our results. In light of these risks, uncertainties and assumptions, the forward-looking events discussed in this prospectus might not occur.</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Readers are cautioned not to place undue reliance on forward-looking statements, as there can be no assurance that the plans, intentions or expectations upon which they are based will occur. By their nature, forward-looking statements involve numerous assumptions, known and unknown risks and uncertainties, both general and specific, that contribute to the possibility that the predictions, forecasts, projections and other things contemplated by the forward-looking statements will not occur. Forward-looking statements in this prospectus are based on management’s beliefs and opinions at the time the statements are made. The forward-looking statements contained in this prospectus are expressly qualified in their entirety by this cautionary statement. The forward-looking statements included in this prospectus are made as of the date of this prospectus and we undertake no obligation to publicly update or revise any forward-looking statements to reflect new information, future events or otherwise, except as required by applicable securities laws.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clinical-stage biopharmaceutical company committed to developing and commercializing innovative product candidates for patients with depression, other diseases and various disorders related to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as well as cancer.</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More than one billion people worldwide suffer from CNS disorders. Recently, the economic burden of these disorders was estimated at $2.0 trillion in the U.S. and European Union alone, a figure that is expected to triple by 2030. The World Health Organization estimates that 350 million people worldwide are affected by depression. According to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major depression is one of the most common mental disorders in the U.S.. In 2012, the NIH estimated 16 million adults aged 18 or older in the U.S. had at least one major depressive episode. This represented 6.9 percent of all U.S. adults.</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lead product candidate, AV-101, is an orally available small molecule prodrug in Phase 2 clinical development for Major Depressive Disorder (“</w:t>
      </w:r>
      <w:r>
        <w:rPr>
          <w:rFonts w:ascii="Arial" w:cs="Arial" w:eastAsia="Arial" w:hAnsi="Arial"/>
          <w:sz w:val="17"/>
          <w:szCs w:val="17"/>
          <w:i w:val="1"/>
          <w:iCs w:val="1"/>
          <w:color w:val="auto"/>
        </w:rPr>
        <w:t>MDD</w:t>
      </w:r>
      <w:r>
        <w:rPr>
          <w:rFonts w:ascii="Arial" w:cs="Arial" w:eastAsia="Arial" w:hAnsi="Arial"/>
          <w:sz w:val="17"/>
          <w:szCs w:val="17"/>
          <w:color w:val="auto"/>
        </w:rPr>
        <w:t>”). AV-101’s mechanism of action (“</w:t>
      </w:r>
      <w:r>
        <w:rPr>
          <w:rFonts w:ascii="Arial" w:cs="Arial" w:eastAsia="Arial" w:hAnsi="Arial"/>
          <w:sz w:val="17"/>
          <w:szCs w:val="17"/>
          <w:i w:val="1"/>
          <w:iCs w:val="1"/>
          <w:color w:val="auto"/>
        </w:rPr>
        <w:t>MOA</w:t>
      </w:r>
      <w:r>
        <w:rPr>
          <w:rFonts w:ascii="Arial" w:cs="Arial" w:eastAsia="Arial" w:hAnsi="Arial"/>
          <w:sz w:val="17"/>
          <w:szCs w:val="17"/>
          <w:color w:val="auto"/>
        </w:rPr>
        <w:t>”), as an N-methyl-D-aspartate receptor (“</w:t>
      </w:r>
      <w:r>
        <w:rPr>
          <w:rFonts w:ascii="Arial" w:cs="Arial" w:eastAsia="Arial" w:hAnsi="Arial"/>
          <w:sz w:val="17"/>
          <w:szCs w:val="17"/>
          <w:i w:val="1"/>
          <w:iCs w:val="1"/>
          <w:color w:val="auto"/>
        </w:rPr>
        <w:t>NMDAR</w:t>
      </w:r>
      <w:r>
        <w:rPr>
          <w:rFonts w:ascii="Arial" w:cs="Arial" w:eastAsia="Arial" w:hAnsi="Arial"/>
          <w:sz w:val="17"/>
          <w:szCs w:val="17"/>
          <w:color w:val="auto"/>
        </w:rPr>
        <w:t>”) antagonist binding selectively at the glycine-binding (“</w:t>
      </w:r>
      <w:r>
        <w:rPr>
          <w:rFonts w:ascii="Arial" w:cs="Arial" w:eastAsia="Arial" w:hAnsi="Arial"/>
          <w:sz w:val="17"/>
          <w:szCs w:val="17"/>
          <w:i w:val="1"/>
          <w:iCs w:val="1"/>
          <w:color w:val="auto"/>
        </w:rPr>
        <w:t>GlyB</w:t>
      </w:r>
      <w:r>
        <w:rPr>
          <w:rFonts w:ascii="Arial" w:cs="Arial" w:eastAsia="Arial" w:hAnsi="Arial"/>
          <w:sz w:val="17"/>
          <w:szCs w:val="17"/>
          <w:color w:val="auto"/>
        </w:rPr>
        <w:t>”) co-agonist site of the NMDAR, is fundamentally different from all antidepressants currently approved by the U.S. Food and Drug Administration (“</w:t>
      </w:r>
      <w:r>
        <w:rPr>
          <w:rFonts w:ascii="Arial" w:cs="Arial" w:eastAsia="Arial" w:hAnsi="Arial"/>
          <w:sz w:val="17"/>
          <w:szCs w:val="17"/>
          <w:i w:val="1"/>
          <w:iCs w:val="1"/>
          <w:color w:val="auto"/>
        </w:rPr>
        <w:t>FDA</w:t>
      </w:r>
      <w:r>
        <w:rPr>
          <w:rFonts w:ascii="Arial" w:cs="Arial" w:eastAsia="Arial" w:hAnsi="Arial"/>
          <w:sz w:val="17"/>
          <w:szCs w:val="17"/>
          <w:color w:val="auto"/>
        </w:rPr>
        <w:t>”). In four preclinical studies utilizing well-validated animal models of depression, AV-101 was shown to induce fast-acting, dose-dependent, persistent and statistically significant antidepressant-like responses, following a single treatment, which was equivalent to responses seen with a control single sub-anesthetic dose of ketamine (sometimes used by clinicians off-label to treat suicidal behavior). In the same studies, fluoxetine (Prozac)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two successful randomized, double-blind, placebo-controlled Phase 1 safety studies funded by the NIH, in February 2015, we entered into a Cooperative Research and Development Agreement (“</w:t>
      </w:r>
      <w:r>
        <w:rPr>
          <w:rFonts w:ascii="Arial" w:cs="Arial" w:eastAsia="Arial" w:hAnsi="Arial"/>
          <w:sz w:val="18"/>
          <w:szCs w:val="18"/>
          <w:i w:val="1"/>
          <w:iCs w:val="1"/>
          <w:color w:val="auto"/>
        </w:rPr>
        <w:t>CRADA</w:t>
      </w:r>
      <w:r>
        <w:rPr>
          <w:rFonts w:ascii="Arial" w:cs="Arial" w:eastAsia="Arial" w:hAnsi="Arial"/>
          <w:sz w:val="18"/>
          <w:szCs w:val="18"/>
          <w:color w:val="auto"/>
        </w:rPr>
        <w:t>”) with the U.S. National Institute of Mental Health (“</w:t>
      </w:r>
      <w:r>
        <w:rPr>
          <w:rFonts w:ascii="Arial" w:cs="Arial" w:eastAsia="Arial" w:hAnsi="Arial"/>
          <w:sz w:val="18"/>
          <w:szCs w:val="18"/>
          <w:i w:val="1"/>
          <w:iCs w:val="1"/>
          <w:color w:val="auto"/>
        </w:rPr>
        <w:t>NIMH</w:t>
      </w:r>
      <w:r>
        <w:rPr>
          <w:rFonts w:ascii="Arial" w:cs="Arial" w:eastAsia="Arial" w:hAnsi="Arial"/>
          <w:sz w:val="18"/>
          <w:szCs w:val="18"/>
          <w:color w:val="auto"/>
        </w:rPr>
        <w:t>”), part of the NIH. Under the CRADA, we will collaborate with the NIMH on the initial Phase 2 clinical study of AV-101 in subjects with treatment-resistant MDD. Pursuant to the CRADA, the study will be conducted at the NIMH and be fully funded by the NIMH. It is contemplated that this clinical study will begin in Fall 2015 under the direction of Dr. Carlos Zarate, Jr., the NIMH’s Chief of Experimental Therapeutics &amp; Pathophysiology Branch and of the Section on Neurobiology and Treatment of Mood and Anxiety Disorders.</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to developing AV-101 for MDD and other CNS indications, we apply our stem cell technology for drug rescue programs intended to identify and develop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for our internal drug candidate pipeline. Drug rescue involves (1) using our customized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bioassay systems to predict potential heart and liver toxicity of NCEs, (2) leveraging prior investments by pharmaceutical companies and others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screening large-scale compound libraries, optimizing and testing for efficacy NCEs that were terminated before FDA approval due to heart or liver toxicity and are now available in the public domain, and (3) applying modern medicinal chemistry to produce safer NCEs for our internal development pipeline. Our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bioassay system uses our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”)-derived cardiomyocytes, or human heart cells. We believe</w:t>
      </w:r>
      <w:r>
        <w:rPr>
          <w:rFonts w:ascii="Arial" w:cs="Arial" w:eastAsia="Arial" w:hAnsi="Arial"/>
          <w:sz w:val="16"/>
          <w:szCs w:val="16"/>
          <w:i w:val="1"/>
          <w:iCs w:val="1"/>
          <w:color w:val="auto"/>
        </w:rPr>
        <w:t xml:space="preserve"> CardioSafe </w:t>
      </w:r>
      <w:r>
        <w:rPr>
          <w:rFonts w:ascii="Arial" w:cs="Arial" w:eastAsia="Arial" w:hAnsi="Arial"/>
          <w:sz w:val="16"/>
          <w:szCs w:val="16"/>
          <w:color w:val="auto"/>
        </w:rPr>
        <w:t>3D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more comprehensive and clinically predictive than the hERG assay, which is currently the only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safety assay required by FDA guidelines. We use our hPSC-derived hepatocytes, or human liver cells, in our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bioassay system to predict potential liver toxicity of NCEs, including potential drug metabolism issues and adverse drug-drug interactions.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offer a new paradigm for evaluating and predicting potential heart and liver toxicity of NCEs, including drug rescue NCEs, early in the development process, long before costly, high risk animal studies and human clinical trials. We intend to develop internally for our pipeline each lead drug rescue NCEs we produce.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strategy is to develop, and commercialize innovative small molecule drugs that address unmet medical needs related to CNS disorders and cancer. We have assembled a management team and a team of scientific, clinical, and regulatory advisors, including recognized experts in the fields of depression and other CNS disorders, with significant industry experience to lead the development and commercialization of our product opportunities. Key elements of our strategy are to:</w:t>
      </w:r>
    </w:p>
    <w:p>
      <w:pPr>
        <w:spacing w:after="0" w:line="210" w:lineRule="exact"/>
        <w:rPr>
          <w:sz w:val="20"/>
          <w:szCs w:val="20"/>
          <w:color w:val="auto"/>
        </w:rPr>
      </w:pPr>
    </w:p>
    <w:p>
      <w:pPr>
        <w:jc w:val="both"/>
        <w:ind w:left="900" w:hanging="253"/>
        <w:spacing w:after="0" w:line="255"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Develop and commercialize our lead product candidate, AV-101, for depression, including MDD. </w:t>
      </w:r>
      <w:r>
        <w:rPr>
          <w:rFonts w:ascii="Arial" w:cs="Arial" w:eastAsia="Arial" w:hAnsi="Arial"/>
          <w:sz w:val="18"/>
          <w:szCs w:val="18"/>
          <w:color w:val="auto"/>
        </w:rPr>
        <w:t>We are pursuing MDD as our lead</w:t>
      </w:r>
      <w:r>
        <w:rPr>
          <w:rFonts w:ascii="Arial" w:cs="Arial" w:eastAsia="Arial" w:hAnsi="Arial"/>
          <w:sz w:val="18"/>
          <w:szCs w:val="18"/>
          <w:b w:val="1"/>
          <w:bCs w:val="1"/>
          <w:color w:val="auto"/>
        </w:rPr>
        <w:t xml:space="preserve"> </w:t>
      </w:r>
      <w:r>
        <w:rPr>
          <w:rFonts w:ascii="Arial" w:cs="Arial" w:eastAsia="Arial" w:hAnsi="Arial"/>
          <w:sz w:val="18"/>
          <w:szCs w:val="18"/>
          <w:color w:val="auto"/>
        </w:rPr>
        <w:t>indication for AV-101. We are preparing to launch our initial MDD Phase 2 clinical study in collaboration with the NIH in the second half of 2015. We intend to develop AV-101 internally, through Phase 3 clinical studies and submission of our NDA. If approved by the FDA, we plan to commercialize AV-101 for this indication in the U.S. either by (A) establishing or contracting for a specialty U.S. sales force focused primarily on psychiatrists and long-term care physicians who are high prescribers of currently-approved antidepressants or (B) collaborating with a pharmaceutical company with an extensive presence in U.S. CNS markets. Outside the U.S., we may choose to commercialize AV-101 in selected markets by establishing one or more strategic alliances.</w:t>
      </w:r>
    </w:p>
    <w:p>
      <w:pPr>
        <w:spacing w:after="0" w:line="189" w:lineRule="exact"/>
        <w:rPr>
          <w:rFonts w:ascii="Arial" w:cs="Arial" w:eastAsia="Arial" w:hAnsi="Arial"/>
          <w:sz w:val="18"/>
          <w:szCs w:val="18"/>
          <w:color w:val="auto"/>
        </w:rPr>
      </w:pPr>
    </w:p>
    <w:p>
      <w:pPr>
        <w:jc w:val="both"/>
        <w:ind w:left="900" w:hanging="253"/>
        <w:spacing w:after="0" w:line="277"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 xml:space="preserve">Leverage the commercial potential AV-101 by expanding to additional CNS-related disorders. </w:t>
      </w:r>
      <w:r>
        <w:rPr>
          <w:rFonts w:ascii="Arial" w:cs="Arial" w:eastAsia="Arial" w:hAnsi="Arial"/>
          <w:sz w:val="17"/>
          <w:szCs w:val="17"/>
          <w:color w:val="auto"/>
        </w:rPr>
        <w:t>We intend to pursue the development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commercialization of AV-101 in MDD and additional CNS-related indications that are underserved by currently available medicines and represent large unmet medical needs. Based on AV-101 preclinical studies, and by leveraging our AV-101 IND and successful Phase 1 clinical studies, we now have the opportunity to explore Phase 2 development of AV-101 as a potential treatment for chronic neuropathic pain, epilepsy and neurodegenerative diseases such as Parkinson’s disease and Huntington’s disease.</w:t>
      </w:r>
    </w:p>
    <w:p>
      <w:pPr>
        <w:spacing w:after="0" w:line="168" w:lineRule="exact"/>
        <w:rPr>
          <w:rFonts w:ascii="Arial" w:cs="Arial" w:eastAsia="Arial" w:hAnsi="Arial"/>
          <w:sz w:val="17"/>
          <w:szCs w:val="17"/>
          <w:color w:val="auto"/>
        </w:rPr>
      </w:pPr>
    </w:p>
    <w:p>
      <w:pPr>
        <w:jc w:val="both"/>
        <w:ind w:left="900" w:hanging="253"/>
        <w:spacing w:after="0" w:line="255"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Grow our internal development pipeline by pursuing drug rescue opportunities using our stem cell technology. </w:t>
      </w:r>
      <w:r>
        <w:rPr>
          <w:rFonts w:ascii="Arial" w:cs="Arial" w:eastAsia="Arial" w:hAnsi="Arial"/>
          <w:sz w:val="18"/>
          <w:szCs w:val="18"/>
          <w:color w:val="auto"/>
        </w:rPr>
        <w:t>We are using our stem cell</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to screen and develop proprietary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 xml:space="preserve">”) through drug rescue programs intended to produce proprietary NCEs for our internal drug development pipeline. We will focus on NCEs with established therapeutic and commercial potential. Our ability to build on that valuable head start with our biological and electrophysiological insights regarding cardiac and liver safety effects of NCEs obtained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eventually,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we believe will help us produce and then optimize patentable drug rescue NCEs for our internal pipeline without incurring many of the substantial costs and risks typically inherent in new drug discovery and nonclinical drug development.</w:t>
      </w:r>
    </w:p>
    <w:p>
      <w:pPr>
        <w:spacing w:after="0" w:line="189" w:lineRule="exact"/>
        <w:rPr>
          <w:rFonts w:ascii="Arial" w:cs="Arial" w:eastAsia="Arial" w:hAnsi="Arial"/>
          <w:sz w:val="18"/>
          <w:szCs w:val="18"/>
          <w:color w:val="auto"/>
        </w:rPr>
      </w:pPr>
    </w:p>
    <w:p>
      <w:pPr>
        <w:jc w:val="both"/>
        <w:ind w:left="900" w:hanging="253"/>
        <w:spacing w:after="0" w:line="261"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Pursue other product candidates, including product candidates for treatment of CNS-related disorders. </w:t>
      </w:r>
      <w:r>
        <w:rPr>
          <w:rFonts w:ascii="Arial" w:cs="Arial" w:eastAsia="Arial" w:hAnsi="Arial"/>
          <w:sz w:val="18"/>
          <w:szCs w:val="18"/>
          <w:color w:val="auto"/>
        </w:rPr>
        <w:t>While our resources are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focused on developing AV-101 and producing drug rescue NCEs, we may pursue additional product candidates in the future. These may be directed at CNS-related disorders and may be developed independently or in partnerships. We believe that a diversified portfolio will mitigate risks inherent in drug development and increase the likelihood of our success.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Opportunities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 (L-4-cholorkyurenine or 4-Cl-KYN)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Mechanism of Action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AV-101 is an orally available, clinical-stage prodrug candidate that readily gains access to the CNS after systemic administration and is rapidly converted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 its active metabolite 7-chlorokynurenic acid (“</w:t>
      </w:r>
      <w:r>
        <w:rPr>
          <w:rFonts w:ascii="Arial" w:cs="Arial" w:eastAsia="Arial" w:hAnsi="Arial"/>
          <w:sz w:val="18"/>
          <w:szCs w:val="18"/>
          <w:i w:val="1"/>
          <w:iCs w:val="1"/>
          <w:color w:val="auto"/>
        </w:rPr>
        <w:t>7-Cl-KYNA</w:t>
      </w:r>
      <w:r>
        <w:rPr>
          <w:rFonts w:ascii="Arial" w:cs="Arial" w:eastAsia="Arial" w:hAnsi="Arial"/>
          <w:sz w:val="18"/>
          <w:szCs w:val="18"/>
          <w:color w:val="auto"/>
        </w:rPr>
        <w:t>”), a well-characterized, potent and highly selective antagonist of then N-methyl-D-aspartate receptor (“</w:t>
      </w:r>
      <w:r>
        <w:rPr>
          <w:rFonts w:ascii="Arial" w:cs="Arial" w:eastAsia="Arial" w:hAnsi="Arial"/>
          <w:sz w:val="18"/>
          <w:szCs w:val="18"/>
          <w:i w:val="1"/>
          <w:iCs w:val="1"/>
          <w:color w:val="auto"/>
        </w:rPr>
        <w:t>NMDAR</w:t>
      </w:r>
      <w:r>
        <w:rPr>
          <w:rFonts w:ascii="Arial" w:cs="Arial" w:eastAsia="Arial" w:hAnsi="Arial"/>
          <w:sz w:val="18"/>
          <w:szCs w:val="18"/>
          <w:color w:val="auto"/>
        </w:rPr>
        <w:t>”) at the glycine-binding co-agonist (“</w:t>
      </w:r>
      <w:r>
        <w:rPr>
          <w:rFonts w:ascii="Arial" w:cs="Arial" w:eastAsia="Arial" w:hAnsi="Arial"/>
          <w:sz w:val="18"/>
          <w:szCs w:val="18"/>
          <w:i w:val="1"/>
          <w:iCs w:val="1"/>
          <w:color w:val="auto"/>
        </w:rPr>
        <w:t>GlyB</w:t>
      </w:r>
      <w:r>
        <w:rPr>
          <w:rFonts w:ascii="Arial" w:cs="Arial" w:eastAsia="Arial" w:hAnsi="Arial"/>
          <w:sz w:val="18"/>
          <w:szCs w:val="18"/>
          <w:color w:val="auto"/>
        </w:rPr>
        <w:t>”) site.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3876040" cy="22294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6040"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Current evidence suggests that AV-101’s antagonism of NMDAR signaling may provide fast-acting antidepressant effects in the treatment of Major Depressive Disorder (“</w:t>
      </w:r>
      <w:r>
        <w:rPr>
          <w:rFonts w:ascii="Arial" w:cs="Arial" w:eastAsia="Arial" w:hAnsi="Arial"/>
          <w:sz w:val="17"/>
          <w:szCs w:val="17"/>
          <w:i w:val="1"/>
          <w:iCs w:val="1"/>
          <w:color w:val="auto"/>
        </w:rPr>
        <w:t>MDD</w:t>
      </w:r>
      <w:r>
        <w:rPr>
          <w:rFonts w:ascii="Arial" w:cs="Arial" w:eastAsia="Arial" w:hAnsi="Arial"/>
          <w:sz w:val="17"/>
          <w:szCs w:val="17"/>
          <w:color w:val="auto"/>
        </w:rPr>
        <w:t>”). In addition, as confirmed in our AV-101 Phase 1 clinical studies, targeting the GlyB site of the NMDAR does not have the adverse effects typically associated with classic NMDAR antagonists, such as ketamine, and other NMDA channel blockers.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Phase 2 clinical development of AV-101 for MDD and multiple CNS-related indications is supported by strong scientific rationale, significant IND-enabling nonclinical data, and two successful Phase 1 clinical safety studies. To date,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has awarded us $8.8 million of grant funding for our pre-Phase 2 development of AV-101. We are currently preparing to launch our initial Phase 2 clinical trial of AV-101 in MDD. This Phase 2 study will be fully funded by the NIH.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Depressive Disorder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Depression is a serious medical illness and a global public health concern. The World Health Organization estimates that depression is the leading cause of disability worldwide, and is a major contributor to the global burden of disease, affecting 350 million people globally. According to the U.S. Centers for Disease Control and Prevention, approximately one in every 10 Americans aged 12 and over takes antidepressant medication.</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most people will experience depressed mood at some point during their lifetime, MDD is different. MDD is the chronic, pervasive feeling of utter unhappiness and suffering, which impairs daily functioning. Symptoms of MDD include diminished pleasure in activities, changes in appetite that result in weight changes, insomnia or oversleeping, psychomotor agitation, loss of energy or increased fatigue, feelings of worthlessness or inappropriate guilt, difficulty thinking, concentrating or making decisions, and thoughts of death or suicide and attempts at suicide. Suicide is estimated to be the cause of death in up to 15% of individuals with MDD.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Antidepressants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many people, depression cannot be controlled for any length of time without treatment. Current medications available in the multi-billion dollar global antidepressant market, including commonly-prescribed selective serotonin reuptake inhibitors (“</w:t>
      </w:r>
      <w:r>
        <w:rPr>
          <w:rFonts w:ascii="Arial" w:cs="Arial" w:eastAsia="Arial" w:hAnsi="Arial"/>
          <w:sz w:val="17"/>
          <w:szCs w:val="17"/>
          <w:i w:val="1"/>
          <w:iCs w:val="1"/>
          <w:color w:val="auto"/>
        </w:rPr>
        <w:t>SSRIs</w:t>
      </w:r>
      <w:r>
        <w:rPr>
          <w:rFonts w:ascii="Arial" w:cs="Arial" w:eastAsia="Arial" w:hAnsi="Arial"/>
          <w:sz w:val="17"/>
          <w:szCs w:val="17"/>
          <w:color w:val="auto"/>
        </w:rPr>
        <w:t>”) and serotonin-norepinephrine reuptake inhibitors (“</w:t>
      </w:r>
      <w:r>
        <w:rPr>
          <w:rFonts w:ascii="Arial" w:cs="Arial" w:eastAsia="Arial" w:hAnsi="Arial"/>
          <w:sz w:val="17"/>
          <w:szCs w:val="17"/>
          <w:i w:val="1"/>
          <w:iCs w:val="1"/>
          <w:color w:val="auto"/>
        </w:rPr>
        <w:t>SNRIs</w:t>
      </w:r>
      <w:r>
        <w:rPr>
          <w:rFonts w:ascii="Arial" w:cs="Arial" w:eastAsia="Arial" w:hAnsi="Arial"/>
          <w:sz w:val="17"/>
          <w:szCs w:val="17"/>
          <w:color w:val="auto"/>
        </w:rPr>
        <w:t>”), have limited effectiveness, and, because of their mechanism of action, must be taken for several weeks or months before patients experience any significant benefit. In addition, most current antidepressant medications have an FDA-required “Black Box” safety warning due to a risk of worsening depression and an increased risk of suicidal thoughts and behaviors during treatment, a property not expected to occur with AV-101. Only about 33% of depression sufferers benefit from their initial treatment with current antidepressants, and the likelihood of achieving remission of depressive symptoms declines with each successive treatment attempt. Even after multiple treatment attempts, about 33% of depression sufferers still fail to find an effective therapy. In addition, this trial and error process and the systemic effects of the various antidepressant medications involved, increases the risks of patient tolerability issues and serious side effects, including suicidal thoughts and behaviors.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Ketamine and NIH Clinical Studies in Major Depressive Disorder</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Ketamine hydrochloride (“</w:t>
      </w:r>
      <w:r>
        <w:rPr>
          <w:rFonts w:ascii="Arial" w:cs="Arial" w:eastAsia="Arial" w:hAnsi="Arial"/>
          <w:sz w:val="16"/>
          <w:szCs w:val="16"/>
          <w:i w:val="1"/>
          <w:iCs w:val="1"/>
          <w:color w:val="auto"/>
        </w:rPr>
        <w:t>ketamine”</w:t>
      </w:r>
      <w:r>
        <w:rPr>
          <w:rFonts w:ascii="Arial" w:cs="Arial" w:eastAsia="Arial" w:hAnsi="Arial"/>
          <w:sz w:val="16"/>
          <w:szCs w:val="16"/>
          <w:color w:val="auto"/>
        </w:rPr>
        <w:t>) is an FDA-approved, rapid-acting general anesthetic. The use of ketamine (an NMDA receptor antagonist which acts as an NMDA channel blocker) to treat MDD has been studied in several clinical trials conducted by depression experts at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NIH, including Dr. Carlos Zarate, Jr., the NIMH’s Chief of Experimental Therapeutics &amp; Pathophysiology Branch and of the Section on Neurobiology and Treatment of Mood and Anxiety Disorders. In randomized, placebo-controlled, double-blind clinical trials reported by Dr. Zarate and others at the NIMH, a single intravenous dose of ketamine (0.5 mg/kg over 40 minutes) produced robust and rapid antidepressant effects in MDD patients who had not responded to currently-approved medications. These results were in contrast to the slow onset of currently FDA-approved antidepressant medications, which usually require many weeks or months of chronic usage to achieve similar antidepressant effects. The potential for widespread therapeutic use of ketamine, and FDA Schedule III drug, is limited by its potential for abuse, dissociative and psychosis-like side effects, and by practical challenges associated with its intravenous administration in a medical center. Notwithstanding these limitations, the discovery of ketamine’s fast-acting antidepressant effects revolutionized thinking about the MDD treatment paradigm. The discovery also increased interest in the development of a new generation of antidepressants with a fast-acting mechanism of action similar to ketamine’s. Our orally available AV-101 is among the new generation of antidepressants with potential to deliver ketamine-like antidepressant effects, without ketamine’s side effects or required intravenous administration.</w:t>
      </w:r>
    </w:p>
    <w:p>
      <w:pPr>
        <w:sectPr>
          <w:pgSz w:w="11900" w:h="16838" w:orient="portrait"/>
          <w:cols w:equalWidth="0" w:num="1">
            <w:col w:w="11420"/>
          </w:cols>
          <w:pgMar w:left="240" w:top="130" w:right="239"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41" w:name="page42"/>
    <w:bookmarkEnd w:id="41"/>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and Major Depressive Disorder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AV-101 is an orally available prodrug candidate that produces, in the brain, 7 Cl KYNA, one of the most potent and selective antagonists of the GlyB site of the NMDAR, resulting in the down-regulation of NMDAR signaling. Growing evidence suggests that the glutamatergic system is central to the neurobiology and treatment of MDD and other mood disorders.</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AV-101’s mechanism of action is fundamentally different from currently available antidepressants, placing it among a new generation of glutamatergic antidepressants with potential to treat millions of MDD sufferers worldwide who are poorly served by SSRIs, SNRIs and other current depression therapies. AV-101 is functionally similar to ketamine in that both are NMDAR antagonists. However, AV-101 modulates (down-regulated) NMDAR channel activity and ketamine blocks it. AV-101 accomplishes this NMDAR modulation by selectively binding to the functionally required GlyB site of the NMDAR, thus down-regulating the NMDAR in a dose-dependent manner. We believe targeting the GlyB site of the NMDAR and modulating NMDAR activity rather than blocking it can bypass adverse effects that result when ketamine blocks the NMDA ion channel, without affecting the robust efficacy observed in previous clinical studies conducted by the NIH and others using ketamine to treat MDD. This NMDAR modulation by AV-101 may then result in the “glutamate surge,” and the increase in neuronal connections, that has been associated with the fast-acting antidepressant effects of ketamine.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preclinical studies, AV-101 has demonstrated the antidepressant-like activity of ketamine, including rapid onset and long duration of effect, without ketamine’s serious side effects. In two NIH-funded randomized, double-blind, placebo-controlled Phase 1 safety studies, AV-101 was safe, well-tolerated and not associated with any severe adverse events. There were no signs of sedation, hallucinations or schizophrenia-like side effects often associated with ketamine and traditional NMDAR channel blockers.</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Building on over $8.8 million of prior non-dilutive funding from the NIH for preclinical and Phase 1 clinical development of AV-101, in February 2015, we entered a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with the NIMH. Under the CRADA, we will collaborate with Dr. Carlos Zarate and the NIMH on a Phase 2 clinical study of AV-101 in subjects with treatment-resistant MDD. Pursuant to the CRADA, this study will be conducted at the NIMH by Dr. Zarate and fully-funded by the NIH. The primary objective of the NIH-sponsored Phase 2 study will be to evaluate the ability of AV-101 to improve overall depressive symptomatology in subjects with MDD, specifically whether subjects with MDD have a greater and more rapid decrease in depressive symptoms when treated with AV-101 than with placebo. We currently anticipate commencement of the study in the second half of 2015.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AV-101 Nonclinical Studies in Chronic Neuropathic Pain, Epilepsy, and Parkinson’s and Huntington’s diseases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to well-established nonclinical models of depression, AV-101 nonclinical data in other CNS-related disorders support our hypothesis that it may have therapeutic and commercial potential beyond treatment of depression.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Chronic Neuropathic Pain and Acute Tissue Injury Hyperalgesia</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effect of AV-101 on chronic neuropathic pain due to inflammation and nerve damage was assessed in rats by using the Chung nerve ligation model. AV-101 effects were compared to either saline, MK-801 or gabapentin controls. Similarly to what was observed in the formalin and thermal hyperalgesia test systems, AV-101 had a positive effect on chronic neuropathic pain in the Chung model, with no observed adverse behavioral effects. The efficacy observed for AV-101 in both the acute and chronic neuropathic pain model systems was dose dependent, and the drug response was not associated with any side effects within the range of doses administered.</w:t>
      </w:r>
    </w:p>
    <w:p>
      <w:pPr>
        <w:spacing w:after="0" w:line="21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antihyperalgesic effect of AV-101 has been evaluated in two standard tissue injury model systems: inflammatory thermal hyperalgesia and the formalin paw test. AV-101 was compared to two positive controls, the classic NMDAR antagonist MK-801 (discontinued in preclinical development by Merck due to neurotoxicity) and the anticonvulsant gabapentin. A significant drug response was defined as a response that was greater than or equal to 2 standard deviations (“</w:t>
      </w:r>
      <w:r>
        <w:rPr>
          <w:rFonts w:ascii="Arial" w:cs="Arial" w:eastAsia="Arial" w:hAnsi="Arial"/>
          <w:sz w:val="16"/>
          <w:szCs w:val="16"/>
          <w:i w:val="1"/>
          <w:iCs w:val="1"/>
          <w:color w:val="auto"/>
        </w:rPr>
        <w:t>SD</w:t>
      </w:r>
      <w:r>
        <w:rPr>
          <w:rFonts w:ascii="Arial" w:cs="Arial" w:eastAsia="Arial" w:hAnsi="Arial"/>
          <w:sz w:val="16"/>
          <w:szCs w:val="16"/>
          <w:color w:val="auto"/>
        </w:rPr>
        <w:t>”) from the response produced by vehicle. Animal behavior and motor function were observed and evaluated throughout the study.</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formalin hyperalgesia model, MK-801 caused significant spontaneous locomotor activity that prevented assessment of its analgesic activity. However, AV-101 displayed dose-dependent antihyperpathic effects in the absence of behavioral deficits for both Phase 1 (acute nociceptive pain) and Phase 2 (chronic and neuropathic pain) of hyperalgesia. In contrast, gabapentin did not have a significant anti-hyperalgesia response at any dose during Phase 1, but showed a significant positive response during Phase 2.</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the carrageenan inflammatory thermal hyperalgesia model, neither MK-801, gabapentin, nor AV-101 had an effect on acute thermal nociception, but produced a dose dependent block of the carrageenan-induced hyperalgesia that were greater than 2 SD of the vehicle: There were no behavioral changes observed at any AV-101 dose, but signs of behavioral and motor dysfunction were observed for gabapentin and MK-801 treated animals. The profile of analgesic activity observed for AV-101 in the formalin and inflammatory thermal hyperalgesia model systems supports the conclusion that AV-101 demonstrates anti-hyperalgesia activity in validated models of facilitated pain processing produced by peripheral tissue inflammation.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Epilepsy</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AV-101 has been shown to protect against seizures and neuronal damage in animal models of epilepsy, providing preclinical support for its potential as a novel treatment of epilepsy. Epilepsy is one of the most prevalent neurological disorders, affecting almost 1% of the worldwide population. Approximately 2.5 million Americans have epilepsy. Nearly half of the people suffering from epilepsy are not effectively treated with currently available medications. In addition, the anticonvulsants used today can cause significant side effects, which frequently interfere with compliance.</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Glutamate is a neurotransmitter that is critically involved in the pathophysiology of epilepsy. Through its stimulation of the NMDAR subtype, glutamate has been implicated in the neuropathology and clinical symptoms of the disease. In support of this, NMDAR antagonists are potent anticonvulsants. However, classic NMDAR antagonists are limited by adverse effects, such as neurotoxicity, declining mental status, and the onset of psychotic symptoms following administration of the drug. The endogenous amino acid glycine modulates glutamatergic neurotransmission by stimulating the GlyB co-agonist site of the NMDA receptor. GlyB site antagonists inhibit NMDAR function and are therefore anticonvulsant and neuroprotective. Importantly, GlyB site antagonists have fewer and less severe side effects than classic NMDAR antagonists and other antiepileptic agents, making them a safer potential alternative to, and one expected to be associated with greater patient compliance than, available anticonvulsant medications.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AV-101 has two additional therapeutically important properties as a drug candidate for treatment of epilepsy:</w:t>
      </w:r>
    </w:p>
    <w:p>
      <w:pPr>
        <w:spacing w:after="0" w:line="252" w:lineRule="exact"/>
        <w:rPr>
          <w:sz w:val="20"/>
          <w:szCs w:val="20"/>
          <w:color w:val="auto"/>
        </w:rPr>
      </w:pPr>
    </w:p>
    <w:p>
      <w:pPr>
        <w:jc w:val="both"/>
        <w:ind w:left="900" w:hanging="271"/>
        <w:spacing w:after="0" w:line="279"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AV-101 is preferentially converted to 7-Cl-KYNA in brain areas related to neuronal injury. This is because astrocytes, which are responsible for the enzymatic transamination of 4-Cl-KYN prodrug to active 7-Cl-KYNA, are focally activated at sites of neuronal injury. Due to AV-101’s highly focused site of conversion, local concentrations of newly formed 7-Cl-KYNA are greatest at the site of therapeutic need. In addition to delivering the drug where it is needed, this reduces the chance of systemic and dangerous side effects with long-term use of the drug; and</w:t>
      </w:r>
    </w:p>
    <w:p>
      <w:pPr>
        <w:spacing w:after="0" w:line="198" w:lineRule="exact"/>
        <w:rPr>
          <w:rFonts w:ascii="Arial" w:cs="Arial" w:eastAsia="Arial" w:hAnsi="Arial"/>
          <w:sz w:val="17"/>
          <w:szCs w:val="17"/>
          <w:color w:val="auto"/>
        </w:rPr>
      </w:pPr>
    </w:p>
    <w:p>
      <w:pPr>
        <w:ind w:left="900" w:hanging="271"/>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active metabolite of AV-101, 4-Cl-3-hydroxyanthranilic acid, inhibits the synthesis of quinolinic acid, an endogenous NMDAR agonist that causes convulsions and excitotoxic neuronal damage.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AV-101’s ability to activate astrocytes for focal delivery of an anti-epileptic principle, and its dual action as a NMDAR GlyB antagonist and quinolinic acid synthesis inhibitor, make AV-101 a potential Phase 2 development candidate for treatment of epilepsy.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Parkinson’s Disease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AV-101 has been shown to activate ventral tegmental area (“</w:t>
      </w:r>
      <w:r>
        <w:rPr>
          <w:rFonts w:ascii="Arial" w:cs="Arial" w:eastAsia="Arial" w:hAnsi="Arial"/>
          <w:sz w:val="18"/>
          <w:szCs w:val="18"/>
          <w:i w:val="1"/>
          <w:iCs w:val="1"/>
          <w:color w:val="auto"/>
        </w:rPr>
        <w:t>VTA</w:t>
      </w:r>
      <w:r>
        <w:rPr>
          <w:rFonts w:ascii="Arial" w:cs="Arial" w:eastAsia="Arial" w:hAnsi="Arial"/>
          <w:sz w:val="18"/>
          <w:szCs w:val="18"/>
          <w:color w:val="auto"/>
        </w:rPr>
        <w:t>”) dopaminergic (“</w:t>
      </w:r>
      <w:r>
        <w:rPr>
          <w:rFonts w:ascii="Arial" w:cs="Arial" w:eastAsia="Arial" w:hAnsi="Arial"/>
          <w:sz w:val="18"/>
          <w:szCs w:val="18"/>
          <w:i w:val="1"/>
          <w:iCs w:val="1"/>
          <w:color w:val="auto"/>
        </w:rPr>
        <w:t>DA</w:t>
      </w:r>
      <w:r>
        <w:rPr>
          <w:rFonts w:ascii="Arial" w:cs="Arial" w:eastAsia="Arial" w:hAnsi="Arial"/>
          <w:sz w:val="18"/>
          <w:szCs w:val="18"/>
          <w:color w:val="auto"/>
        </w:rPr>
        <w:t>”) neurons. Kynurenic acid (“</w:t>
      </w:r>
      <w:r>
        <w:rPr>
          <w:rFonts w:ascii="Arial" w:cs="Arial" w:eastAsia="Arial" w:hAnsi="Arial"/>
          <w:sz w:val="18"/>
          <w:szCs w:val="18"/>
          <w:i w:val="1"/>
          <w:iCs w:val="1"/>
          <w:color w:val="auto"/>
        </w:rPr>
        <w:t>KYNA</w:t>
      </w:r>
      <w:r>
        <w:rPr>
          <w:rFonts w:ascii="Arial" w:cs="Arial" w:eastAsia="Arial" w:hAnsi="Arial"/>
          <w:sz w:val="18"/>
          <w:szCs w:val="18"/>
          <w:color w:val="auto"/>
        </w:rPr>
        <w:t>”) is an endogenous NMDA receptor antagonist, as well as a blocker of the 7-nicotinic acid receptor. Mounting evidence suggests that this compound participates in the pathophysiology of schizophrenia. Preclinical studies have shown that elevated levels of endogenous KYNA are associated with increased firing of midbrain DA neurons. AV-101 is converted to the selective NMDAR GlyB antagonist 7-Cl-KYNA, which is 20 times more potent and selective than KYNA in binding the GlyB site. Utilizing extra cellular single unit cell recording techniques, we have shown that AV-101, which is converted to the selective NMDAR GlyB antagonist 7-Cl-KYNA, significantly increases the firing rate and percent burst firing activity of VTA DA neurons. These results have potential therapeutic implications for Parkinson’s disease.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Huntington’s Disease</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Working together with metabotropic glutamate receptors, the NMDAR ensures the establishment of long-term potentiation (“</w:t>
      </w:r>
      <w:r>
        <w:rPr>
          <w:rFonts w:ascii="Arial" w:cs="Arial" w:eastAsia="Arial" w:hAnsi="Arial"/>
          <w:sz w:val="17"/>
          <w:szCs w:val="17"/>
          <w:i w:val="1"/>
          <w:iCs w:val="1"/>
          <w:color w:val="auto"/>
        </w:rPr>
        <w:t>LTP</w:t>
      </w:r>
      <w:r>
        <w:rPr>
          <w:rFonts w:ascii="Arial" w:cs="Arial" w:eastAsia="Arial" w:hAnsi="Arial"/>
          <w:sz w:val="17"/>
          <w:szCs w:val="17"/>
          <w:color w:val="auto"/>
        </w:rPr>
        <w:t>”), a process believed to be responsible for the acquisition of information. These functions are mediated by calcium entry through the NMDAR-associated channel, which in turn influences a wide variety of cellular components, like cytoskeletal proteins or second- messenger synthases. However, over activation at the NMDAR triggers an excessive entry of calcium ions, initiating a series of cytoplasmic and nuclear processes that promote neuronal cell death through necrosis as well as apoptosis, and these mechanisms have been implicated in several neurodegenerative diseases.</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Huntington’s disease (“</w:t>
      </w:r>
      <w:r>
        <w:rPr>
          <w:rFonts w:ascii="Arial" w:cs="Arial" w:eastAsia="Arial" w:hAnsi="Arial"/>
          <w:sz w:val="18"/>
          <w:szCs w:val="18"/>
          <w:i w:val="1"/>
          <w:iCs w:val="1"/>
          <w:color w:val="auto"/>
        </w:rPr>
        <w:t>HD</w:t>
      </w:r>
      <w:r>
        <w:rPr>
          <w:rFonts w:ascii="Arial" w:cs="Arial" w:eastAsia="Arial" w:hAnsi="Arial"/>
          <w:sz w:val="18"/>
          <w:szCs w:val="18"/>
          <w:color w:val="auto"/>
        </w:rPr>
        <w:t>”), a chronic neurodegenerative disorder, is caused by an expansion in the number of glutamine repeats beyond 35 at the amino terminal end of a protein termed “huntingtin.” Such a mutation in huntingtin leads to a sequence of progressive cellular changes in the brain that result in neuronal loss and other characteristic neuropathological features of HD. These are most prominent in the neostriatum and in the cerebral cortex, but also observed in other brain areas.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tissue levels of two neurotoxic metabolites of the kynurenine pathway of tryptophan degradation, quinolinic acid (“</w:t>
      </w:r>
      <w:r>
        <w:rPr>
          <w:rFonts w:ascii="Arial" w:cs="Arial" w:eastAsia="Arial" w:hAnsi="Arial"/>
          <w:sz w:val="17"/>
          <w:szCs w:val="17"/>
          <w:i w:val="1"/>
          <w:iCs w:val="1"/>
          <w:color w:val="auto"/>
        </w:rPr>
        <w:t>QUIN</w:t>
      </w:r>
      <w:r>
        <w:rPr>
          <w:rFonts w:ascii="Arial" w:cs="Arial" w:eastAsia="Arial" w:hAnsi="Arial"/>
          <w:sz w:val="17"/>
          <w:szCs w:val="17"/>
          <w:color w:val="auto"/>
        </w:rPr>
        <w:t>”) and 3-hydroxykynurenine (3-HK) are increased in the striatum and neocortex, but not in the cerebellum, in early stage HD. QUIN and 3-HK and especially the joint action of these two metabolites, have long been associated with the neurodegenerative and other features of the pathophysiology of HD. The neuronal death caused by QUIN and 3-HK is due to both free radical formation and NMDA receptor overstimulation (excitotoxicity).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the hypothesis that 3-HK and QUIN are involved in the progression of HD, early intervention aimed at affecting the kynurenine pathway in the brain may present a promising treatment strategy. We believe the ability of AV-101 to reduce the brain levels of neurotoxic OUIN and to potentially produce significant local concentrations of 7-Cl-KYNA on chronic administration, presents an exciting opportunity for Phase 2 clinical investigation of AV-101 as a potential chronic treatment of HD.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Additional AV-101 Nonclinical Information</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comprehensive nonclinical pharmacology, pharmacokinetic (“</w:t>
      </w:r>
      <w:r>
        <w:rPr>
          <w:rFonts w:ascii="Arial" w:cs="Arial" w:eastAsia="Arial" w:hAnsi="Arial"/>
          <w:sz w:val="17"/>
          <w:szCs w:val="17"/>
          <w:i w:val="1"/>
          <w:iCs w:val="1"/>
          <w:color w:val="auto"/>
        </w:rPr>
        <w:t>PK</w:t>
      </w:r>
      <w:r>
        <w:rPr>
          <w:rFonts w:ascii="Arial" w:cs="Arial" w:eastAsia="Arial" w:hAnsi="Arial"/>
          <w:sz w:val="17"/>
          <w:szCs w:val="17"/>
          <w:color w:val="auto"/>
        </w:rPr>
        <w:t>”)/toxicokinetic (“</w:t>
      </w:r>
      <w:r>
        <w:rPr>
          <w:rFonts w:ascii="Arial" w:cs="Arial" w:eastAsia="Arial" w:hAnsi="Arial"/>
          <w:sz w:val="17"/>
          <w:szCs w:val="17"/>
          <w:i w:val="1"/>
          <w:iCs w:val="1"/>
          <w:color w:val="auto"/>
        </w:rPr>
        <w:t>TK</w:t>
      </w:r>
      <w:r>
        <w:rPr>
          <w:rFonts w:ascii="Arial" w:cs="Arial" w:eastAsia="Arial" w:hAnsi="Arial"/>
          <w:sz w:val="17"/>
          <w:szCs w:val="17"/>
          <w:color w:val="auto"/>
        </w:rPr>
        <w:t xml:space="preserve">”), and toxicology program has been conducted to support the clinical use of AV-101 in multiple CNS-related indications. The primary pharmacological activity of AV-101 has been investigated in a series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Pharmacology (absorption, distribution, metabolism, and excretion), PK/TK, and toxicology studies have been conducted with AV-101 in rats, dogs, and monkeys. The excellent safety profile of AV-101 was confirmed by pilot tolerability, single-dose range-finding, and repeated-dose toxicology studies in rats, dogs and monkeys. The genotoxic potential of AV-101 and its active metabolite, 7-Cl-KYNA, was assessed in multiple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genotoxicity studies (bacterial mutation, chromosomal aberration, mouse lymphoma TK+/-, and micronucleus tests).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behavioral effects of AV-101 assessed in a Good Laboratory Practice (“</w:t>
      </w:r>
      <w:r>
        <w:rPr>
          <w:rFonts w:ascii="Arial" w:cs="Arial" w:eastAsia="Arial" w:hAnsi="Arial"/>
          <w:sz w:val="18"/>
          <w:szCs w:val="18"/>
          <w:i w:val="1"/>
          <w:iCs w:val="1"/>
          <w:color w:val="auto"/>
        </w:rPr>
        <w:t>GLP</w:t>
      </w:r>
      <w:r>
        <w:rPr>
          <w:rFonts w:ascii="Arial" w:cs="Arial" w:eastAsia="Arial" w:hAnsi="Arial"/>
          <w:sz w:val="18"/>
          <w:szCs w:val="18"/>
          <w:color w:val="auto"/>
        </w:rPr>
        <w:t>”) Irwin test in rats show it to have no adverse effect on the CNS following single oral administration at doses up to 2,000 mg/kg. Although AV-101 inhibited the human ether à-go-go–related gene (“</w:t>
      </w:r>
      <w:r>
        <w:rPr>
          <w:rFonts w:ascii="Arial" w:cs="Arial" w:eastAsia="Arial" w:hAnsi="Arial"/>
          <w:sz w:val="18"/>
          <w:szCs w:val="18"/>
          <w:i w:val="1"/>
          <w:iCs w:val="1"/>
          <w:color w:val="auto"/>
        </w:rPr>
        <w:t>hERG</w:t>
      </w:r>
      <w:r>
        <w:rPr>
          <w:rFonts w:ascii="Arial" w:cs="Arial" w:eastAsia="Arial" w:hAnsi="Arial"/>
          <w:sz w:val="18"/>
          <w:szCs w:val="18"/>
          <w:color w:val="auto"/>
        </w:rPr>
        <w:t>”) current in a dose-dependent manner (median concentration that causes 50% inhibition for the inhibitory effect [IC50] of 70.5 μM), its active metabolite, 7-Cl-KYNA, showed no inhibitory effect on the hERG channel current. Electrocardiograms (“</w:t>
      </w:r>
      <w:r>
        <w:rPr>
          <w:rFonts w:ascii="Arial" w:cs="Arial" w:eastAsia="Arial" w:hAnsi="Arial"/>
          <w:sz w:val="18"/>
          <w:szCs w:val="18"/>
          <w:i w:val="1"/>
          <w:iCs w:val="1"/>
          <w:color w:val="auto"/>
        </w:rPr>
        <w:t>ECGs</w:t>
      </w:r>
      <w:r>
        <w:rPr>
          <w:rFonts w:ascii="Arial" w:cs="Arial" w:eastAsia="Arial" w:hAnsi="Arial"/>
          <w:sz w:val="18"/>
          <w:szCs w:val="18"/>
          <w:color w:val="auto"/>
        </w:rPr>
        <w:t xml:space="preserve">”) recorded during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dog toxicology studies showed no AV-101– related adverse cardiovascular effects. Furthermore, in a pivotal GLP dog 14-day toxicology study, no treatment-related effects on ECGs, including QT interval and QTc, at dose levels up to 120 mg/kg/d. No evidence of any treatment-related adverse effects on the respiratory system has been noted with AV-101.</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6"/>
          <w:szCs w:val="16"/>
          <w:color w:val="auto"/>
        </w:rPr>
        <w:t>Oral administration of AV-101 to Sprague-Dawley rats and mice was shown to result in rapid absorption of AV-101 (rats: time to maximum plasma concentration [Tmax], approximately 0.25 to 0.5 hours), adequate bioavailability (rats: approximately 39% to 94%), and plasma elimination half-life (rats: t</w:t>
      </w:r>
      <w:r>
        <w:rPr>
          <w:rFonts w:ascii="Arial" w:cs="Arial" w:eastAsia="Arial" w:hAnsi="Arial"/>
          <w:sz w:val="22"/>
          <w:szCs w:val="22"/>
          <w:color w:val="auto"/>
          <w:vertAlign w:val="subscript"/>
        </w:rPr>
        <w:t>1/2</w:t>
      </w:r>
      <w:r>
        <w:rPr>
          <w:rFonts w:ascii="Arial" w:cs="Arial" w:eastAsia="Arial" w:hAnsi="Arial"/>
          <w:sz w:val="16"/>
          <w:szCs w:val="16"/>
          <w:color w:val="auto"/>
        </w:rPr>
        <w:t xml:space="preserve"> approximately 1 to 3 hours). Furthermore, in rats 7-Cl-KYNA was detected in the plasma and reached the maximum plasma concentration (“</w:t>
      </w:r>
      <w:r>
        <w:rPr>
          <w:rFonts w:ascii="Arial" w:cs="Arial" w:eastAsia="Arial" w:hAnsi="Arial"/>
          <w:sz w:val="16"/>
          <w:szCs w:val="16"/>
          <w:i w:val="1"/>
          <w:iCs w:val="1"/>
          <w:color w:val="auto"/>
        </w:rPr>
        <w:t>Cmax</w:t>
      </w:r>
      <w:r>
        <w:rPr>
          <w:rFonts w:ascii="Arial" w:cs="Arial" w:eastAsia="Arial" w:hAnsi="Arial"/>
          <w:sz w:val="16"/>
          <w:szCs w:val="16"/>
          <w:color w:val="auto"/>
        </w:rPr>
        <w:t>”) approximately 0.25 to 0.5 hours after oral administration, suggesting a rapid conversion of AV-101 to 7-Cl-KYNA. Pharmacokinetic analyses were conducted in many of the toxicology studies in rats, dogs, and monkeys. These analyses showed that the AV-101-related clinical signs observed in dogs (versus monkeys) were associated with a similar, and at some does a significantly higher, exposure. Furthermore, although AUC and Cmax values increased non-proportionately with dose level in dogs, AUC values only marginally increased with dose in monkeys, with little change in Cmax values.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Low levels of potential metabolites of AV-101 were detected following in vitro incubations with hepatocytes from the mouse, rat, dog, monkey, and humans, indicating little concern with liver metabolism issues. No appreciable conversion of AV-101 to D-4-Cl-KYN during these hepatocyte incubations was noted. Results from cytochrome P-450 (“</w:t>
      </w:r>
      <w:r>
        <w:rPr>
          <w:rFonts w:ascii="Arial" w:cs="Arial" w:eastAsia="Arial" w:hAnsi="Arial"/>
          <w:sz w:val="18"/>
          <w:szCs w:val="18"/>
          <w:i w:val="1"/>
          <w:iCs w:val="1"/>
          <w:color w:val="auto"/>
        </w:rPr>
        <w:t>CYP</w:t>
      </w:r>
      <w:r>
        <w:rPr>
          <w:rFonts w:ascii="Arial" w:cs="Arial" w:eastAsia="Arial" w:hAnsi="Arial"/>
          <w:sz w:val="18"/>
          <w:szCs w:val="18"/>
          <w:color w:val="auto"/>
        </w:rPr>
        <w:t>”) inhibition and induction studies showed that AV-101 was not a potent inhibitor or inducer of the human CYP isoforms evaluated.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Single-dose studies in rats and monkeys did not show clear evidence of toxicity at maximal doses of 2,000 mg/kg. In dogs, consistent with the expected drug mechanism of action, oral administration of AV-101 resulted in CNS-related clinical signs, including decreased activity, abnormal gait/stance, ataxia, and prostration at the maximum tolerated dose.</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 repeated-dose (14-day) ocular toxicity study in Sprague-Dawley rats (unpigmented) and brown Norway rats (pigmented) at dose levels up to 2,000 mg/kg/d did not reveal any signs of retinal degeneration at any dose level or rat strain. A subsequent pivotal GLP 14-day repeated-dose toxicity study in Sprague-Dawley rats showed no treatment-related ocular findings after daily dosing of AV-101 for 14 consecutive days at dose levels up to 2,000 mg/kg/d.</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GLP 14-day repeated-dose CNS toxicity study conducted in dogs, at dose levels up to 100 mg/kg/d showed no treatment-related lesions in the brain of any animal. The pivotal GLP 14-day repeated-dose toxicity study in Beagle dogs, also showed no treatment-related CNS findings after daily dosing of AV-101 for 14 consecutive days at dose levels up to 120 mg/kg/d.</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genotoxic potential of AV-101 and 7-Cl-KYNA was assessed in multiple in vitro genotoxicity studies (bacterial reverse mutation, chromosomal aberration, mouse lymphoma TK+/-, and micronucleus tests), and the overall results confirmed that both AV-101 and 7-Cl-KYNA are not mutagenic.</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rat Olney lesion study was conducted to assess the potential CNS toxicity. No lesions were observed in the brain after a single oral dose of AV-101 at doses up to 2,000 mg/kg.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Nonclinical Pharmacology Studies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Pharmacodynamics</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Much of the nonclinical pharmacology information of AV-101 is derived from many published research results on L-4-Cl-KYN or 7-Cl-KYNA. Primary pharmacodynamic studies conducted in rodent models for neuropathic pain demonstrated AV-101’s antihyperalgesic activity in models of facilitated pain processing, its analgesic properties, its ability to provide neuroprotection from excitotoxic death, its ability to reduce seizures, and its activity in multiple preclinical models of depression.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Nonclinical Absorption, Distribution, Metabolism and Excretion Studies</w:t>
      </w:r>
    </w:p>
    <w:p>
      <w:pPr>
        <w:spacing w:after="0" w:line="15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In rats, area under the concentration-time curve from time of dosing extrapolated to infinity (AUC</w:t>
      </w:r>
      <w:r>
        <w:rPr>
          <w:rFonts w:ascii="Arial" w:cs="Arial" w:eastAsia="Arial" w:hAnsi="Arial"/>
          <w:sz w:val="22"/>
          <w:szCs w:val="22"/>
          <w:color w:val="auto"/>
          <w:vertAlign w:val="subscript"/>
        </w:rPr>
        <w:t>0-∞</w:t>
      </w:r>
      <w:r>
        <w:rPr>
          <w:rFonts w:ascii="Arial" w:cs="Arial" w:eastAsia="Arial" w:hAnsi="Arial"/>
          <w:sz w:val="16"/>
          <w:szCs w:val="16"/>
          <w:color w:val="auto"/>
        </w:rPr>
        <w:t>) values were proportional to dose for AV-101, but Cmax was less than proportional to dose, suggesting a saturation of absorption rate. 7-Cl-KYNA Cmax was less than proportional to dose, and generally females tended to have a higher exposure to AV-101 than males, but no sex difference was noted for 7-Cl-KYNA exposure. In the repeated-dose studies, D-4-Cl-KYN, L-4-Cl-KYN, and 7-Cl-KYNA mean area under the concentration-time curves from time of dosing to the last sampling time (AUC</w:t>
      </w:r>
      <w:r>
        <w:rPr>
          <w:rFonts w:ascii="Arial" w:cs="Arial" w:eastAsia="Arial" w:hAnsi="Arial"/>
          <w:sz w:val="22"/>
          <w:szCs w:val="22"/>
          <w:color w:val="auto"/>
          <w:vertAlign w:val="subscript"/>
        </w:rPr>
        <w:t>0-t</w:t>
      </w:r>
      <w:r>
        <w:rPr>
          <w:rFonts w:ascii="Arial" w:cs="Arial" w:eastAsia="Arial" w:hAnsi="Arial"/>
          <w:sz w:val="16"/>
          <w:szCs w:val="16"/>
          <w:color w:val="auto"/>
        </w:rPr>
        <w:t>) and AUC</w:t>
      </w:r>
      <w:r>
        <w:rPr>
          <w:rFonts w:ascii="Arial" w:cs="Arial" w:eastAsia="Arial" w:hAnsi="Arial"/>
          <w:sz w:val="22"/>
          <w:szCs w:val="22"/>
          <w:color w:val="auto"/>
          <w:vertAlign w:val="subscript"/>
        </w:rPr>
        <w:t>0-∞</w:t>
      </w:r>
      <w:r>
        <w:rPr>
          <w:rFonts w:ascii="Arial" w:cs="Arial" w:eastAsia="Arial" w:hAnsi="Arial"/>
          <w:sz w:val="16"/>
          <w:szCs w:val="16"/>
          <w:color w:val="auto"/>
        </w:rPr>
        <w:t xml:space="preserve"> values were higher on Day 14 than on Day 1 in both sexes of most treatment groups, indicating that exposure increased following daily repeated dosing of AV-101. Sex differences were noted for D-4-Cl-KYN and L-4-Cl-KYN, with mean AUC</w:t>
      </w:r>
      <w:r>
        <w:rPr>
          <w:rFonts w:ascii="Arial" w:cs="Arial" w:eastAsia="Arial" w:hAnsi="Arial"/>
          <w:sz w:val="22"/>
          <w:szCs w:val="22"/>
          <w:color w:val="auto"/>
          <w:vertAlign w:val="subscript"/>
        </w:rPr>
        <w:t>0-t</w:t>
      </w:r>
      <w:r>
        <w:rPr>
          <w:rFonts w:ascii="Arial" w:cs="Arial" w:eastAsia="Arial" w:hAnsi="Arial"/>
          <w:sz w:val="16"/>
          <w:szCs w:val="16"/>
          <w:color w:val="auto"/>
        </w:rPr>
        <w:t xml:space="preserve"> and AUC</w:t>
      </w:r>
      <w:r>
        <w:rPr>
          <w:rFonts w:ascii="Arial" w:cs="Arial" w:eastAsia="Arial" w:hAnsi="Arial"/>
          <w:sz w:val="22"/>
          <w:szCs w:val="22"/>
          <w:color w:val="auto"/>
          <w:vertAlign w:val="subscript"/>
        </w:rPr>
        <w:t>0-∞</w:t>
      </w:r>
      <w:r>
        <w:rPr>
          <w:rFonts w:ascii="Arial" w:cs="Arial" w:eastAsia="Arial" w:hAnsi="Arial"/>
          <w:sz w:val="16"/>
          <w:szCs w:val="16"/>
          <w:color w:val="auto"/>
        </w:rPr>
        <w:t xml:space="preserve"> estimates higher in females relative to males for most treatment groups. Conversely, mean AUC</w:t>
      </w:r>
      <w:r>
        <w:rPr>
          <w:rFonts w:ascii="Arial" w:cs="Arial" w:eastAsia="Arial" w:hAnsi="Arial"/>
          <w:sz w:val="22"/>
          <w:szCs w:val="22"/>
          <w:color w:val="auto"/>
          <w:vertAlign w:val="subscript"/>
        </w:rPr>
        <w:t>0-t</w:t>
      </w:r>
      <w:r>
        <w:rPr>
          <w:rFonts w:ascii="Arial" w:cs="Arial" w:eastAsia="Arial" w:hAnsi="Arial"/>
          <w:sz w:val="16"/>
          <w:szCs w:val="16"/>
          <w:color w:val="auto"/>
        </w:rPr>
        <w:t xml:space="preserve"> and AUC</w:t>
      </w:r>
      <w:r>
        <w:rPr>
          <w:rFonts w:ascii="Arial" w:cs="Arial" w:eastAsia="Arial" w:hAnsi="Arial"/>
          <w:sz w:val="22"/>
          <w:szCs w:val="22"/>
          <w:color w:val="auto"/>
          <w:vertAlign w:val="subscript"/>
        </w:rPr>
        <w:t>0-∞</w:t>
      </w:r>
      <w:r>
        <w:rPr>
          <w:rFonts w:ascii="Arial" w:cs="Arial" w:eastAsia="Arial" w:hAnsi="Arial"/>
          <w:sz w:val="16"/>
          <w:szCs w:val="16"/>
          <w:color w:val="auto"/>
        </w:rPr>
        <w:t xml:space="preserve"> values of 7-Cl-KYNA were generally higher in males relative to females.</w:t>
      </w:r>
    </w:p>
    <w:p>
      <w:pPr>
        <w:spacing w:after="0" w:line="10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7"/>
          <w:szCs w:val="17"/>
          <w:color w:val="auto"/>
        </w:rPr>
        <w:t>In dogs, AUC</w:t>
      </w:r>
      <w:r>
        <w:rPr>
          <w:rFonts w:ascii="Arial" w:cs="Arial" w:eastAsia="Arial" w:hAnsi="Arial"/>
          <w:sz w:val="24"/>
          <w:szCs w:val="24"/>
          <w:color w:val="auto"/>
          <w:vertAlign w:val="subscript"/>
        </w:rPr>
        <w:t>0-∞</w:t>
      </w:r>
      <w:r>
        <w:rPr>
          <w:rFonts w:ascii="Arial" w:cs="Arial" w:eastAsia="Arial" w:hAnsi="Arial"/>
          <w:sz w:val="17"/>
          <w:szCs w:val="17"/>
          <w:color w:val="auto"/>
        </w:rPr>
        <w:t xml:space="preserve"> values were slightly less than proportional to dose up to 100 mg/kg AV-101 and Cmax values were less than proportional to dose, suggesting a saturation of absorption. No consistent sex differences were noted for Cmax or AUC values. AUC</w:t>
      </w:r>
      <w:r>
        <w:rPr>
          <w:rFonts w:ascii="Arial" w:cs="Arial" w:eastAsia="Arial" w:hAnsi="Arial"/>
          <w:sz w:val="24"/>
          <w:szCs w:val="24"/>
          <w:color w:val="auto"/>
          <w:vertAlign w:val="subscript"/>
        </w:rPr>
        <w:t>0-∞</w:t>
      </w:r>
      <w:r>
        <w:rPr>
          <w:rFonts w:ascii="Arial" w:cs="Arial" w:eastAsia="Arial" w:hAnsi="Arial"/>
          <w:sz w:val="17"/>
          <w:szCs w:val="17"/>
          <w:color w:val="auto"/>
        </w:rPr>
        <w:t xml:space="preserve"> and Cmax values for 7-Cl-KYNA were less than proportional to dose. In the repeated-dose study, D-4-Cl-KYN, L-4-Cl-KYN, and 7-Cl-KYNA showed a proportional increase in Cmax with the administered dose level of AV-101 in both sexes. There was no evidence of plasma accumulation for any of the analytes. Sex differences were noted for D-4-Cl-KYN, with slightly higher mean AUC</w:t>
      </w:r>
      <w:r>
        <w:rPr>
          <w:rFonts w:ascii="Arial" w:cs="Arial" w:eastAsia="Arial" w:hAnsi="Arial"/>
          <w:sz w:val="24"/>
          <w:szCs w:val="24"/>
          <w:color w:val="auto"/>
          <w:vertAlign w:val="subscript"/>
        </w:rPr>
        <w:t>0-t</w:t>
      </w:r>
      <w:r>
        <w:rPr>
          <w:rFonts w:ascii="Arial" w:cs="Arial" w:eastAsia="Arial" w:hAnsi="Arial"/>
          <w:sz w:val="17"/>
          <w:szCs w:val="17"/>
          <w:color w:val="auto"/>
        </w:rPr>
        <w:t xml:space="preserve"> and AUC</w:t>
      </w:r>
      <w:r>
        <w:rPr>
          <w:rFonts w:ascii="Arial" w:cs="Arial" w:eastAsia="Arial" w:hAnsi="Arial"/>
          <w:sz w:val="24"/>
          <w:szCs w:val="24"/>
          <w:color w:val="auto"/>
          <w:vertAlign w:val="subscript"/>
        </w:rPr>
        <w:t>0-∞</w:t>
      </w:r>
      <w:r>
        <w:rPr>
          <w:rFonts w:ascii="Arial" w:cs="Arial" w:eastAsia="Arial" w:hAnsi="Arial"/>
          <w:sz w:val="17"/>
          <w:szCs w:val="17"/>
          <w:color w:val="auto"/>
        </w:rPr>
        <w:t xml:space="preserve"> estimates in females relative to males on Day 1 and Day 14, in all treatment groups. For 7-Cl-KYNA, mean Cmax was elevated in females relative to males at all dose levels on Days 1 and Day 14, and mean AUC</w:t>
      </w:r>
      <w:r>
        <w:rPr>
          <w:rFonts w:ascii="Arial" w:cs="Arial" w:eastAsia="Arial" w:hAnsi="Arial"/>
          <w:sz w:val="24"/>
          <w:szCs w:val="24"/>
          <w:color w:val="auto"/>
          <w:vertAlign w:val="subscript"/>
        </w:rPr>
        <w:t>0-t</w:t>
      </w:r>
      <w:r>
        <w:rPr>
          <w:rFonts w:ascii="Arial" w:cs="Arial" w:eastAsia="Arial" w:hAnsi="Arial"/>
          <w:sz w:val="17"/>
          <w:szCs w:val="17"/>
          <w:color w:val="auto"/>
        </w:rPr>
        <w:t xml:space="preserve"> and AUC</w:t>
      </w:r>
      <w:r>
        <w:rPr>
          <w:rFonts w:ascii="Arial" w:cs="Arial" w:eastAsia="Arial" w:hAnsi="Arial"/>
          <w:sz w:val="24"/>
          <w:szCs w:val="24"/>
          <w:color w:val="auto"/>
          <w:vertAlign w:val="subscript"/>
        </w:rPr>
        <w:t>0-∞</w:t>
      </w:r>
      <w:r>
        <w:rPr>
          <w:rFonts w:ascii="Arial" w:cs="Arial" w:eastAsia="Arial" w:hAnsi="Arial"/>
          <w:sz w:val="17"/>
          <w:szCs w:val="17"/>
          <w:color w:val="auto"/>
        </w:rPr>
        <w:t xml:space="preserve"> estimates were also generally higher in females relative to males at all dose levels. No clear sex differences were noted for L-4-Cl-KYN.</w:t>
      </w:r>
    </w:p>
    <w:p>
      <w:pPr>
        <w:spacing w:after="0" w:line="13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7"/>
          <w:szCs w:val="17"/>
          <w:color w:val="auto"/>
        </w:rPr>
        <w:t>In monkeys, AUC</w:t>
      </w:r>
      <w:r>
        <w:rPr>
          <w:rFonts w:ascii="Arial" w:cs="Arial" w:eastAsia="Arial" w:hAnsi="Arial"/>
          <w:sz w:val="24"/>
          <w:szCs w:val="24"/>
          <w:color w:val="auto"/>
          <w:vertAlign w:val="subscript"/>
        </w:rPr>
        <w:t>0-∞</w:t>
      </w:r>
      <w:r>
        <w:rPr>
          <w:rFonts w:ascii="Arial" w:cs="Arial" w:eastAsia="Arial" w:hAnsi="Arial"/>
          <w:sz w:val="17"/>
          <w:szCs w:val="17"/>
          <w:color w:val="auto"/>
        </w:rPr>
        <w:t xml:space="preserve"> values were relatively proportional to dose, but Cmax values were not proportional to dose (comparable or lower Cmax with increasing doses). The AUC</w:t>
      </w:r>
      <w:r>
        <w:rPr>
          <w:rFonts w:ascii="Arial" w:cs="Arial" w:eastAsia="Arial" w:hAnsi="Arial"/>
          <w:sz w:val="24"/>
          <w:szCs w:val="24"/>
          <w:color w:val="auto"/>
          <w:vertAlign w:val="subscript"/>
        </w:rPr>
        <w:t>0-∞</w:t>
      </w:r>
      <w:r>
        <w:rPr>
          <w:rFonts w:ascii="Arial" w:cs="Arial" w:eastAsia="Arial" w:hAnsi="Arial"/>
          <w:sz w:val="17"/>
          <w:szCs w:val="17"/>
          <w:color w:val="auto"/>
        </w:rPr>
        <w:t xml:space="preserve"> and Cmax values for 7-Cl-KYNA were less than proportional to dose, and no major sex differences were noted.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Nonclinical Toxicology Studies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safety profile of AV-101 was determined in single-dose, range-finding, and repeated-dose toxicology studies in rats and dogs, and in a single-dose study in monkeys. A GLP CNS safety pharmacology study in rats that included a microscopic evaluation for Olney lesions was also conducted. Additionally, pivotal GLP 14-day repeated-dose toxicology studies in rats and dogs have been conducted. The genotoxic potentials of AV-101 and 7-Cl-KYNA were assessed in multiple in vitro and in vivo genotoxicity studies, including bacterial reverse mutation, chromosomal aberration, mouse lymphoma TK+/-, and micronucleus tests. Neither were determined to be mutagenic.</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Local tolerance studies have not been conducted with AV-101. However, no lesions in the gastrointestinal tract were observed after oral administration of AV-101 in the repeated-dose toxicity studies in the rat and dog.</w:t>
      </w:r>
    </w:p>
    <w:p>
      <w:pPr>
        <w:spacing w:after="0" w:line="17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The results of the pivotal 14-day studies show the dog to be the most sensitive species. The dog NOAEL was determined to be the highest dose level (120 mg/kg/d), and therefore the maximum recommended starting dose (MRSD) would be 6.5 mg/kg (12 mg/kg/d × 0.54 [conversion factor]) or 390 mg per subject for a 60-kg person. As a further added margin of safety for the clinical use of AV-101, VistaGen applied an additional safety factor to the calculated MRSD, and set the starting dose in the proposed Phase 1a clinical trial at 0.5 mg/kg (i.e., 30 mg for 60 kg subjects).</w:t>
      </w:r>
    </w:p>
    <w:p>
      <w:pPr>
        <w:sectPr>
          <w:pgSz w:w="11900" w:h="16838" w:orient="portrait"/>
          <w:cols w:equalWidth="0" w:num="1">
            <w:col w:w="11420"/>
          </w:cols>
          <w:pgMar w:left="240" w:top="130"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45" w:name="page46"/>
    <w:bookmarkEnd w:id="45"/>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AV-101 Phase 1 Clinical Safety Studies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safety data from two NIH-funded AV-101 Phase 1 clinical safety studies indicate that AV-101 was safe and well-tolerated at all three doses tested. Overall, 57 mild to moderate AEs were reported by 34 subjects, with 17 AEs (29.8%) occurring in the placebo group. There was a higher rate of AEs reported from subjects that received placebo than from subjects that received AV-101. A total of 40 AEs were reported by 24 of 37 (64.9%) subjects receiving AV-101, and 17 AEs were reported by 10 of 13 (76.9%) subject receiving placebo. Additionally, 49 of the 57 total AEs (85.9%) were considered mild, and the remaining 8 AEs (14.0%) were considered moderate. Of these AEs, headache was the most commonly reported preferred term. All of the AEs were completely resolved.</w:t>
      </w:r>
    </w:p>
    <w:p>
      <w:pPr>
        <w:spacing w:after="0" w:line="193"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Overall, the safety results indicate AV-101 is safe and well-tolerated in healthy subjects. Subjects receiving AV-101 reported a lower percentage of AEs relative to subjects receiving placebo. Moreover, there were no AEs reported by subjects that received AV-101 that were graded as probably related to study drug. The type and distribution of AEs reported by subjects in this study was considered to be typical for a study in healthy volunteers.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total of 40 AEs were reported by 24 of 37 (64.9%) subjects receiving AV-101, and 17 AEs were reported by 10 of 13 (76.9%) subject receiving placebo.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the Phase 1 safety and pharmacokinetic studies were not designed to measure or evaluate the potential antidepressant effects of AV-101, approximately 9% (5/57) of the subjects receiving AV-101 and 0% of the 31 subjects receiving placebo reported “feelings of well-being” (coded as euphoric mood), similar to the fast-acting antidepressant effects reported in the literature with ketamine.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1 Clinical Safety Trials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Study (VSG-CL-101)</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7"/>
          <w:szCs w:val="17"/>
          <w:color w:val="auto"/>
        </w:rPr>
        <w:t>A phase 1a, randomized, double-blind, placebo-controlled study to evaluate the safety and PK of single doses of AV-101 in healthy volunteers was conducted (VSG-CL-001). Seven cohorts (30, 120, 360, 720, 1,080, 1,440, and 1,800 mg) with six subjects per cohort (1:1, AV-101: placebo) were to be enrolled in the study. For the first five cohorts (30, 120, 360, 710 and 1,080 mg) only two subjects were dosed at a time as a pair (1:1, AV-101: placebo) on Day 1. The safety and tolerability of AV-101 in each pair of subjects was assessed by the investigator before proceeding to the next pair within the dose cohort of the study. If no safety concerns were found after analysis of the laboratory samples, physical assessments, and results of the neurological and ophthalmological examinations, the next two subjects in the cohort were dosed, but no sooner than 48 hours after the previous pair of subjects. The next cohort was dosed when the investigator and medical monitor agreed that it was safe to proceed based on review of the previous dose group’s preliminary safety information. In addition, PK assessments were to be reviewed for each cohort starting with the 720 mg through the 1,800 mg dose cohort. A minimum of four evaluable subjects (two AV-101 and two placebo) were required for determination of tolerability and safety of a dose level. The PK stopping criteria would be reached when the L-4-C1-KYN mean AUC</w:t>
      </w:r>
      <w:r>
        <w:rPr>
          <w:rFonts w:ascii="Arial" w:cs="Arial" w:eastAsia="Arial" w:hAnsi="Arial"/>
          <w:sz w:val="24"/>
          <w:szCs w:val="24"/>
          <w:color w:val="auto"/>
          <w:vertAlign w:val="subscript"/>
        </w:rPr>
        <w:t>0-t</w:t>
      </w:r>
      <w:r>
        <w:rPr>
          <w:rFonts w:ascii="Arial" w:cs="Arial" w:eastAsia="Arial" w:hAnsi="Arial"/>
          <w:sz w:val="17"/>
          <w:szCs w:val="17"/>
          <w:color w:val="auto"/>
        </w:rPr>
        <w:t xml:space="preserve"> reaches 900,486 ng·h/mL, or a mean Cmax of 81,633 ng/mL, or a PK extrapolation predicts exceeding one of these values in the next cohort.</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All the subjects from the 1,440 mg cohort were dosed during a single day (3 subjects receiving active drug and 3 subjects receiving placebo). The safety and tolerability of AV-101 in the 1,440 mg dose cohort was to be assessed by the investigator and medical monitor before proceeding to the 1,800 mg dose cohort. If no safety concerns were found after analysis of the laboratory samples including the PK results, physical assessments, and results of the neurological and ophthalmological examinations for the 1,440 mg cohort, the 1,800-mg cohort was to be dosed. However, the PK stopping criteria were reached at the 1,440-mg cohort, and the study was stopped and did not proceed to the planned 1,800 mg cohort.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Study Pharmacokinetics Summary</w:t>
      </w:r>
    </w:p>
    <w:p>
      <w:pPr>
        <w:spacing w:after="0" w:line="22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Validated bioanalytical methods were used to measure plasma analyte concentrations. These assays had lower limits of quantification of 2 ng/mL for 7-Cl-KYNA and 5 ng/mL for L-4-Cl-KYN and D-4-Cl- KYN. Pharmacokinetic parameters were calculated by using WinNonlin Pro v. 5.2. Parameters calculated included observed maximal concentration (Cmax), observed time to Cmax (Tmax), area under the concentration-time curve to the last sample collected (AUC</w:t>
      </w:r>
      <w:r>
        <w:rPr>
          <w:rFonts w:ascii="Arial" w:cs="Arial" w:eastAsia="Arial" w:hAnsi="Arial"/>
          <w:sz w:val="25"/>
          <w:szCs w:val="25"/>
          <w:color w:val="auto"/>
          <w:vertAlign w:val="subscript"/>
        </w:rPr>
        <w:t>0-t</w:t>
      </w:r>
      <w:r>
        <w:rPr>
          <w:rFonts w:ascii="Arial" w:cs="Arial" w:eastAsia="Arial" w:hAnsi="Arial"/>
          <w:sz w:val="18"/>
          <w:szCs w:val="18"/>
          <w:color w:val="auto"/>
        </w:rPr>
        <w:t>) or extrapolated to infinity (AUC</w:t>
      </w:r>
      <w:r>
        <w:rPr>
          <w:rFonts w:ascii="Arial" w:cs="Arial" w:eastAsia="Arial" w:hAnsi="Arial"/>
          <w:sz w:val="25"/>
          <w:szCs w:val="25"/>
          <w:color w:val="auto"/>
          <w:vertAlign w:val="subscript"/>
        </w:rPr>
        <w:t>0-∞</w:t>
      </w:r>
      <w:r>
        <w:rPr>
          <w:rFonts w:ascii="Arial" w:cs="Arial" w:eastAsia="Arial" w:hAnsi="Arial"/>
          <w:sz w:val="18"/>
          <w:szCs w:val="18"/>
          <w:color w:val="auto"/>
        </w:rPr>
        <w:t>), and half-life (t</w:t>
      </w:r>
      <w:r>
        <w:rPr>
          <w:rFonts w:ascii="Arial" w:cs="Arial" w:eastAsia="Arial" w:hAnsi="Arial"/>
          <w:sz w:val="25"/>
          <w:szCs w:val="25"/>
          <w:color w:val="auto"/>
          <w:vertAlign w:val="subscript"/>
        </w:rPr>
        <w:t>1/2</w:t>
      </w:r>
      <w:r>
        <w:rPr>
          <w:rFonts w:ascii="Arial" w:cs="Arial" w:eastAsia="Arial" w:hAnsi="Arial"/>
          <w:sz w:val="18"/>
          <w:szCs w:val="18"/>
          <w:color w:val="auto"/>
        </w:rPr>
        <w:t>). Concentrations of all three analytes were measurable in both plasma and urine after administration of each of the six dose levels: 30, 120, 360, 720, 1,080 and 1,440 mg.</w:t>
      </w:r>
    </w:p>
    <w:p>
      <w:pPr>
        <w:spacing w:after="0" w:line="2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Concentration-time data were obtained after dosing of the six cohorts. Three subjects received AV-101 and three received placebo in each cohort. Plasma concentrations of 4-Cl-KYN (AV-101) and 7-Cl-KYNA were obtained in addition to urine concentrations of these two analytes. Plasma and urine concentrations of D-4-Cl-KYN also were determined, but will be reported only for the first two cohorts.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study was conducted under dose escalation stopping criteria as determined by the FDA of 4-Cl-KYN mean Cmax and AUC limits of 81,633 ng/mL and 900,486 ng·h/mL, respectively. Although these criteria were not met for the mean data of the 1,440-mg dose, one subject had a Cmax that was slightly greater than the limit of 81,633 ng/mL. Therefore, dose escalation to the planned seventh cohort of 1,800 mg of AV-101 did not occur in this study. However, from a safety perspective, a maximum tolerable dose was not achieved. Also, maximum AUC values at the highest dose level remained substantially lower than the limit.</w:t>
      </w:r>
    </w:p>
    <w:p>
      <w:pPr>
        <w:sectPr>
          <w:pgSz w:w="11900" w:h="16838" w:orient="portrait"/>
          <w:cols w:equalWidth="0" w:num="1">
            <w:col w:w="11420"/>
          </w:cols>
          <w:pgMar w:left="240" w:top="130"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46" w:name="page47"/>
    <w:bookmarkEnd w:id="46"/>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Concentrations of all three analytes were measurable in both plasma and urine after administration of all dose levels, although many of the samples from the 30-mg dose group had concentrations below the limit of quantification for 7-Cl-KYNA. Plasma concentration-time profiles were consistent with rapid absorption of the oral dose and first-order elimination. The plasma concentration-time profiles were well defined for 4-Cl-KYN at all dose levels. Maximum concentrations occurred fairly rapidly, with individual values of Tmax ranging from 0.5 to 2 hours, with greater values tending to be in the higher dose groups. Individual t</w:t>
      </w:r>
      <w:r>
        <w:rPr>
          <w:rFonts w:ascii="Arial" w:cs="Arial" w:eastAsia="Arial" w:hAnsi="Arial"/>
          <w:sz w:val="22"/>
          <w:szCs w:val="22"/>
          <w:color w:val="auto"/>
          <w:vertAlign w:val="subscript"/>
        </w:rPr>
        <w:t>1/2</w:t>
      </w:r>
      <w:r>
        <w:rPr>
          <w:rFonts w:ascii="Arial" w:cs="Arial" w:eastAsia="Arial" w:hAnsi="Arial"/>
          <w:sz w:val="16"/>
          <w:szCs w:val="16"/>
          <w:color w:val="auto"/>
        </w:rPr>
        <w:t xml:space="preserve"> values were fairly consistent within cohorts, and mean values ranged from 1.80 to 3.33 hours. Mean t</w:t>
      </w:r>
      <w:r>
        <w:rPr>
          <w:rFonts w:ascii="Arial" w:cs="Arial" w:eastAsia="Arial" w:hAnsi="Arial"/>
          <w:sz w:val="22"/>
          <w:szCs w:val="22"/>
          <w:color w:val="auto"/>
          <w:vertAlign w:val="subscript"/>
        </w:rPr>
        <w:t>1/2</w:t>
      </w:r>
      <w:r>
        <w:rPr>
          <w:rFonts w:ascii="Arial" w:cs="Arial" w:eastAsia="Arial" w:hAnsi="Arial"/>
          <w:sz w:val="16"/>
          <w:szCs w:val="16"/>
          <w:color w:val="auto"/>
        </w:rPr>
        <w:t xml:space="preserve"> values also tended to increase with increasing dose. Mean Cmax and AUC</w:t>
      </w:r>
      <w:r>
        <w:rPr>
          <w:rFonts w:ascii="Arial" w:cs="Arial" w:eastAsia="Arial" w:hAnsi="Arial"/>
          <w:sz w:val="22"/>
          <w:szCs w:val="22"/>
          <w:color w:val="auto"/>
          <w:vertAlign w:val="subscript"/>
        </w:rPr>
        <w:t>0-∞</w:t>
      </w:r>
      <w:r>
        <w:rPr>
          <w:rFonts w:ascii="Arial" w:cs="Arial" w:eastAsia="Arial" w:hAnsi="Arial"/>
          <w:sz w:val="16"/>
          <w:szCs w:val="16"/>
          <w:color w:val="auto"/>
        </w:rPr>
        <w:t xml:space="preserve"> values appeared to be approximately dose proportional except for those of the highest dose group.</w:t>
      </w:r>
    </w:p>
    <w:p>
      <w:pPr>
        <w:spacing w:after="0" w:line="168"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The 7-Cl-KYNA plasma concentration-time profiles were not well defined for the 30-mg dose. Most samples for the 30-mg dose cohort had concentrations below the lower limits of quantification, and t</w:t>
      </w:r>
      <w:r>
        <w:rPr>
          <w:rFonts w:ascii="Arial" w:cs="Arial" w:eastAsia="Arial" w:hAnsi="Arial"/>
          <w:sz w:val="25"/>
          <w:szCs w:val="25"/>
          <w:color w:val="auto"/>
          <w:vertAlign w:val="subscript"/>
        </w:rPr>
        <w:t>1/2</w:t>
      </w:r>
      <w:r>
        <w:rPr>
          <w:rFonts w:ascii="Arial" w:cs="Arial" w:eastAsia="Arial" w:hAnsi="Arial"/>
          <w:sz w:val="18"/>
          <w:szCs w:val="18"/>
          <w:color w:val="auto"/>
        </w:rPr>
        <w:t xml:space="preserve"> values could not be calculated; however, profiles were sufficient after the 120-mg and greater doses to calculate all parameters.</w:t>
      </w:r>
    </w:p>
    <w:p>
      <w:pPr>
        <w:spacing w:after="0" w:line="203"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In general, 7-Cl-KYNA maximum concentrations occurred at the same time or later than those for 4-Cl-KYN, as may be expected since 7-Cl-KYNA is a metabolite of 4-Cl-KYN. Individual values of Tmax ranged from 0.5 to 2 hours for both analytes. Individual 7-Cl-KYNA t</w:t>
      </w:r>
      <w:r>
        <w:rPr>
          <w:rFonts w:ascii="Arial" w:cs="Arial" w:eastAsia="Arial" w:hAnsi="Arial"/>
          <w:sz w:val="24"/>
          <w:szCs w:val="24"/>
          <w:color w:val="auto"/>
          <w:vertAlign w:val="subscript"/>
        </w:rPr>
        <w:t>1/2</w:t>
      </w:r>
      <w:r>
        <w:rPr>
          <w:rFonts w:ascii="Arial" w:cs="Arial" w:eastAsia="Arial" w:hAnsi="Arial"/>
          <w:sz w:val="17"/>
          <w:szCs w:val="17"/>
          <w:color w:val="auto"/>
        </w:rPr>
        <w:t xml:space="preserve"> values were fairly consistent within cohorts, and mean values ranged from 2.17 to 3.19 hours. Mean t</w:t>
      </w:r>
      <w:r>
        <w:rPr>
          <w:rFonts w:ascii="Arial" w:cs="Arial" w:eastAsia="Arial" w:hAnsi="Arial"/>
          <w:sz w:val="24"/>
          <w:szCs w:val="24"/>
          <w:color w:val="auto"/>
          <w:vertAlign w:val="subscript"/>
        </w:rPr>
        <w:t>1/2</w:t>
      </w:r>
      <w:r>
        <w:rPr>
          <w:rFonts w:ascii="Arial" w:cs="Arial" w:eastAsia="Arial" w:hAnsi="Arial"/>
          <w:sz w:val="17"/>
          <w:szCs w:val="17"/>
          <w:color w:val="auto"/>
        </w:rPr>
        <w:t xml:space="preserve"> values did not appear to be dose-related. Mean 7-Cl-KYNA Cmax values were somewhat dose proportional for the two initial dose groups, but tended to increase in a more than dose-proportional manner. Similarly, mean 7-Cl-KYNA AUC</w:t>
      </w:r>
      <w:r>
        <w:rPr>
          <w:rFonts w:ascii="Arial" w:cs="Arial" w:eastAsia="Arial" w:hAnsi="Arial"/>
          <w:sz w:val="24"/>
          <w:szCs w:val="24"/>
          <w:color w:val="auto"/>
          <w:vertAlign w:val="subscript"/>
        </w:rPr>
        <w:t>0-t</w:t>
      </w:r>
      <w:r>
        <w:rPr>
          <w:rFonts w:ascii="Arial" w:cs="Arial" w:eastAsia="Arial" w:hAnsi="Arial"/>
          <w:sz w:val="17"/>
          <w:szCs w:val="17"/>
          <w:color w:val="auto"/>
        </w:rPr>
        <w:t xml:space="preserve"> values for all dose groups and AUC</w:t>
      </w:r>
      <w:r>
        <w:rPr>
          <w:rFonts w:ascii="Arial" w:cs="Arial" w:eastAsia="Arial" w:hAnsi="Arial"/>
          <w:sz w:val="24"/>
          <w:szCs w:val="24"/>
          <w:color w:val="auto"/>
          <w:vertAlign w:val="subscript"/>
        </w:rPr>
        <w:t>0-∞</w:t>
      </w:r>
      <w:r>
        <w:rPr>
          <w:rFonts w:ascii="Arial" w:cs="Arial" w:eastAsia="Arial" w:hAnsi="Arial"/>
          <w:sz w:val="17"/>
          <w:szCs w:val="17"/>
          <w:color w:val="auto"/>
        </w:rPr>
        <w:t xml:space="preserve"> values for dose groups of 120 mg or greater tended to increase in a more than dose-proportional manner. Mean plasma concentrations of 4-Cl-KYN (Figure 1) and 7-Cl-KYNA (Figure 2) are depicted for all six cohorts.</w:t>
      </w:r>
    </w:p>
    <w:p>
      <w:pPr>
        <w:spacing w:after="0" w:line="20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with the 120-mg dose cohort, the plasma concentration-time profiles were well defined for both 4-Cl-KYN and 7-Cl-KYNA at the four higher dose levels. Interestingly, the mean concentration-time profiles suggest that maximum concentrations were lower than expected, particularly for 7-Cl-KYNA.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3430270" cy="23323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30270"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Figure-1. Mean plasma concentrations of 4-Cl-KYN after oral administration of a single dose of AV-101.</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b w:val="1"/>
          <w:bCs w:val="1"/>
          <w:i w:val="1"/>
          <w:iCs w:val="1"/>
          <w:u w:val="single" w:color="auto"/>
          <w:color w:val="0000EE"/>
        </w:rPr>
      </w:pPr>
      <w:hyperlink w:anchor="page4">
        <w:r>
          <w:rPr>
            <w:rFonts w:ascii="Arial" w:cs="Arial" w:eastAsia="Arial" w:hAnsi="Arial"/>
            <w:sz w:val="16"/>
            <w:szCs w:val="16"/>
            <w:b w:val="1"/>
            <w:bCs w:val="1"/>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3799205" cy="2769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799205"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2. Mean plasma concentrations of 7-Cl-KYNA after oral administration of a single dose of AV-101.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Assessment of Dose Proportionality</w:t>
      </w:r>
    </w:p>
    <w:p>
      <w:pPr>
        <w:spacing w:after="0" w:line="15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For 4-Cl-KYN, mean Cmax and AUC</w:t>
      </w:r>
      <w:r>
        <w:rPr>
          <w:rFonts w:ascii="Arial" w:cs="Arial" w:eastAsia="Arial" w:hAnsi="Arial"/>
          <w:sz w:val="25"/>
          <w:szCs w:val="25"/>
          <w:color w:val="auto"/>
          <w:vertAlign w:val="subscript"/>
        </w:rPr>
        <w:t>0-∞</w:t>
      </w:r>
      <w:r>
        <w:rPr>
          <w:rFonts w:ascii="Arial" w:cs="Arial" w:eastAsia="Arial" w:hAnsi="Arial"/>
          <w:sz w:val="18"/>
          <w:szCs w:val="18"/>
          <w:color w:val="auto"/>
        </w:rPr>
        <w:t xml:space="preserve"> values appeared to be approximately dose proportional except for those of the highest dose group. These values are presented by dose in Figure 3 (Cmax) and in Figure 4 (AUC</w:t>
      </w:r>
      <w:r>
        <w:rPr>
          <w:rFonts w:ascii="Arial" w:cs="Arial" w:eastAsia="Arial" w:hAnsi="Arial"/>
          <w:sz w:val="25"/>
          <w:szCs w:val="25"/>
          <w:color w:val="auto"/>
          <w:vertAlign w:val="subscript"/>
        </w:rPr>
        <w:t>0-∞</w:t>
      </w:r>
      <w:r>
        <w:rPr>
          <w:rFonts w:ascii="Arial" w:cs="Arial" w:eastAsia="Arial" w:hAnsi="Arial"/>
          <w:sz w:val="18"/>
          <w:szCs w:val="18"/>
          <w:color w:val="auto"/>
        </w:rPr>
        <w:t>) below. Figure 3 indicates that for 4-Cl-KYN the mean Cmax values are approximately dose linear and proportional up to a dose of 1,080 mg of AV-101. After a dose of 1,440 mg, the mean Cmax values increased only 8.8% while the dose increased by 33.3%. This is evident in the deviation of the graph from linearity at the highest dose.</w:t>
      </w:r>
    </w:p>
    <w:p>
      <w:pPr>
        <w:spacing w:after="0" w:line="13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Although the 4-Cl-KYN mean Cmax values were not linear after the 1,080-mg dose, AUC</w:t>
      </w:r>
      <w:r>
        <w:rPr>
          <w:rFonts w:ascii="Arial" w:cs="Arial" w:eastAsia="Arial" w:hAnsi="Arial"/>
          <w:sz w:val="25"/>
          <w:szCs w:val="25"/>
          <w:color w:val="auto"/>
          <w:vertAlign w:val="subscript"/>
        </w:rPr>
        <w:t>0-∞</w:t>
      </w:r>
      <w:r>
        <w:rPr>
          <w:rFonts w:ascii="Arial" w:cs="Arial" w:eastAsia="Arial" w:hAnsi="Arial"/>
          <w:sz w:val="18"/>
          <w:szCs w:val="18"/>
          <w:color w:val="auto"/>
        </w:rPr>
        <w:t xml:space="preserve"> values are approximately linear and dose proportional throughout the dose range. The nonlinearity of Cmax values at the highest dose could be a result of an outlier or simply variability in a small number of subjects (Cmax values of 44,600, 54,900, and 89,500 ng/mL were observed after the dose of 1,040-mg AV-101), it suggests that the rate or extent of absorption could be limited. The fact that AUC</w:t>
      </w:r>
      <w:r>
        <w:rPr>
          <w:rFonts w:ascii="Arial" w:cs="Arial" w:eastAsia="Arial" w:hAnsi="Arial"/>
          <w:sz w:val="25"/>
          <w:szCs w:val="25"/>
          <w:color w:val="auto"/>
          <w:vertAlign w:val="subscript"/>
        </w:rPr>
        <w:t>0-∞</w:t>
      </w:r>
      <w:r>
        <w:rPr>
          <w:rFonts w:ascii="Arial" w:cs="Arial" w:eastAsia="Arial" w:hAnsi="Arial"/>
          <w:sz w:val="18"/>
          <w:szCs w:val="18"/>
          <w:color w:val="auto"/>
        </w:rPr>
        <w:t xml:space="preserve"> values were linear throughout the dose range suggests that the extent of absorption was not a limitation, but the rate of absorption may be limited at doses above 1,080 mg.</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lack of linearity of the 4-Cl-KYN mean Cmax values would be expected to have a similar effect on the 7-Cl-KYNA mean Cmax values.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Similarly, because the extent of absorption of 4-Cl-KYN was linear throughout the dose range, exposure to 7-Cl-KYNA would be expected to also be linear.</w:t>
      </w:r>
    </w:p>
    <w:p>
      <w:pPr>
        <w:spacing w:after="0" w:line="227" w:lineRule="auto"/>
        <w:rPr>
          <w:sz w:val="20"/>
          <w:szCs w:val="20"/>
          <w:color w:val="auto"/>
        </w:rPr>
      </w:pPr>
      <w:r>
        <w:rPr>
          <w:rFonts w:ascii="Arial" w:cs="Arial" w:eastAsia="Arial" w:hAnsi="Arial"/>
          <w:sz w:val="18"/>
          <w:szCs w:val="18"/>
          <w:color w:val="auto"/>
        </w:rPr>
        <w:t>Mean values of 7-Cl-KYNA are presented by dose in Figure 5 (Cmax) and in Figure 6 (AUC</w:t>
      </w:r>
      <w:r>
        <w:rPr>
          <w:rFonts w:ascii="Arial" w:cs="Arial" w:eastAsia="Arial" w:hAnsi="Arial"/>
          <w:sz w:val="25"/>
          <w:szCs w:val="25"/>
          <w:color w:val="auto"/>
          <w:vertAlign w:val="subscript"/>
        </w:rPr>
        <w:t>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833495" cy="2280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33495"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3. Mean C</w:t>
      </w:r>
      <w:r>
        <w:rPr>
          <w:rFonts w:ascii="Arial" w:cs="Arial" w:eastAsia="Arial" w:hAnsi="Arial"/>
          <w:sz w:val="25"/>
          <w:szCs w:val="25"/>
          <w:b w:val="1"/>
          <w:bCs w:val="1"/>
          <w:color w:val="auto"/>
          <w:vertAlign w:val="subscript"/>
        </w:rPr>
        <w:t>max</w:t>
      </w:r>
      <w:r>
        <w:rPr>
          <w:rFonts w:ascii="Arial" w:cs="Arial" w:eastAsia="Arial" w:hAnsi="Arial"/>
          <w:sz w:val="18"/>
          <w:szCs w:val="18"/>
          <w:b w:val="1"/>
          <w:bCs w:val="1"/>
          <w:color w:val="auto"/>
        </w:rPr>
        <w:t xml:space="preserve"> values of 4-Cl-KYN by dose of AV-101.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3884930" cy="22898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8493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4. Mean AUC</w:t>
      </w:r>
      <w:r>
        <w:rPr>
          <w:rFonts w:ascii="Arial" w:cs="Arial" w:eastAsia="Arial" w:hAnsi="Arial"/>
          <w:sz w:val="25"/>
          <w:szCs w:val="25"/>
          <w:b w:val="1"/>
          <w:bCs w:val="1"/>
          <w:color w:val="auto"/>
          <w:vertAlign w:val="subscript"/>
        </w:rPr>
        <w:t>0-∞</w:t>
      </w:r>
      <w:r>
        <w:rPr>
          <w:rFonts w:ascii="Arial" w:cs="Arial" w:eastAsia="Arial" w:hAnsi="Arial"/>
          <w:sz w:val="18"/>
          <w:szCs w:val="18"/>
          <w:b w:val="1"/>
          <w:bCs w:val="1"/>
          <w:color w:val="auto"/>
        </w:rPr>
        <w:t xml:space="preserve"> values of 4-Cl-KYN by dose of AV-101.</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3662045" cy="22294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62045"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5. Mean C</w:t>
      </w:r>
      <w:r>
        <w:rPr>
          <w:rFonts w:ascii="Arial" w:cs="Arial" w:eastAsia="Arial" w:hAnsi="Arial"/>
          <w:sz w:val="25"/>
          <w:szCs w:val="25"/>
          <w:b w:val="1"/>
          <w:bCs w:val="1"/>
          <w:color w:val="auto"/>
          <w:vertAlign w:val="subscript"/>
        </w:rPr>
        <w:t>max</w:t>
      </w:r>
      <w:r>
        <w:rPr>
          <w:rFonts w:ascii="Arial" w:cs="Arial" w:eastAsia="Arial" w:hAnsi="Arial"/>
          <w:sz w:val="18"/>
          <w:szCs w:val="18"/>
          <w:b w:val="1"/>
          <w:bCs w:val="1"/>
          <w:color w:val="auto"/>
        </w:rPr>
        <w:t xml:space="preserve"> values of 7-Cl-KYNA by dose of AV-101.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3662045" cy="22040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662045"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6. Mean AUC</w:t>
      </w:r>
      <w:r>
        <w:rPr>
          <w:rFonts w:ascii="Arial" w:cs="Arial" w:eastAsia="Arial" w:hAnsi="Arial"/>
          <w:sz w:val="25"/>
          <w:szCs w:val="25"/>
          <w:b w:val="1"/>
          <w:bCs w:val="1"/>
          <w:color w:val="auto"/>
          <w:vertAlign w:val="subscript"/>
        </w:rPr>
        <w:t>0-∞</w:t>
      </w:r>
      <w:r>
        <w:rPr>
          <w:rFonts w:ascii="Arial" w:cs="Arial" w:eastAsia="Arial" w:hAnsi="Arial"/>
          <w:sz w:val="18"/>
          <w:szCs w:val="18"/>
          <w:b w:val="1"/>
          <w:bCs w:val="1"/>
          <w:color w:val="auto"/>
        </w:rPr>
        <w:t xml:space="preserve"> values of 7-Cl-KYNA by dose of AV-101.</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Safety Summary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Nine subjects experienced 10 AEs, with four of the AEs occurring in subjects in the placebo group and two of the AEs occurring for one subject receiving 30 mg AV-101. For the AEs occurring in the AV-101–treated subjects, there were no meaningful differences in the number of AEs observed at the 30-mg dose (2 AEs) when compared with that at the 120-mg dose (1 AE), 360-mg dose (1 AE), 720-mg dose (0 AEs), 1,080-mg dose (0 AEs), or 1,440-mg dose (2 AEs). Eight of 10 AEs (80%) were considered mild, and two (20%, headache and gastroenteritis) were considered moderate. Four subjects on AV-101, one each in Cohorts 1 through 4 and two subjects on placebo in Cohort 5 reported AEs of headaches. Five headaches were mild with no concomitant treatment, and one was moderate with concomitant drug therapy administered. Most completely resolved the same day as onset and were considered not serious. One headache started the day after dosing and resolved approximately one week later on the same day as the concomitant drug therapy was administered. One case of contact dermatitis bilateral lower extremities was reported in Cohort 2 on placebo that was ongoing. One of the subjects with the headache also reported an AE of gastroenteritis that was unrelated to AV-101. This AE was considered moderate but did not require any drug therapy and was completely resolved within 2 days of onset. This AE was also considered not serious.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Even though these safety studies were not designed to quantitatively assess effects on mood, during the interviews 2 out of 3 subjects who received the highest dose (1440 mg) of AV-101, voluntarily acknowledged positive effects on mood. Similar comments were not made by any of the 18 placebo group subjects. One incident lasted approximately 15 minutes after study drug dosing, and the other event of euphoria lasted approximately 3 hours after study drug dosing. There were no other reported AEs for this cohort. The events resolved and were considered not serious.</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Table 1. Summary of Adverse Events, Phase 1a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2"/>
          </w:tcPr>
          <w:p>
            <w:pPr>
              <w:ind w:left="620"/>
              <w:spacing w:after="0"/>
              <w:rPr>
                <w:sz w:val="20"/>
                <w:szCs w:val="20"/>
                <w:color w:val="auto"/>
              </w:rPr>
            </w:pPr>
            <w:r>
              <w:rPr>
                <w:rFonts w:ascii="Arial" w:cs="Arial" w:eastAsia="Arial" w:hAnsi="Arial"/>
                <w:sz w:val="18"/>
                <w:szCs w:val="18"/>
                <w:b w:val="1"/>
                <w:bCs w:val="1"/>
                <w:color w:val="auto"/>
              </w:rPr>
              <w:t>Cohorts (mg)</w:t>
            </w:r>
          </w:p>
        </w:tc>
        <w:tc>
          <w:tcPr>
            <w:tcW w:w="1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tcPr>
          <w:p>
            <w:pPr>
              <w:spacing w:after="0" w:line="198" w:lineRule="exact"/>
              <w:rPr>
                <w:sz w:val="20"/>
                <w:szCs w:val="20"/>
                <w:color w:val="auto"/>
              </w:rPr>
            </w:pPr>
            <w:r>
              <w:rPr>
                <w:rFonts w:ascii="Arial" w:cs="Arial" w:eastAsia="Arial" w:hAnsi="Arial"/>
                <w:sz w:val="18"/>
                <w:szCs w:val="18"/>
                <w:b w:val="1"/>
                <w:bCs w:val="1"/>
                <w:color w:val="auto"/>
                <w:w w:val="98"/>
              </w:rPr>
              <w:t>MedDRA SOC and Preferred</w:t>
            </w:r>
          </w:p>
        </w:tc>
        <w:tc>
          <w:tcPr>
            <w:tcW w:w="1000" w:type="dxa"/>
            <w:vAlign w:val="bottom"/>
          </w:tcPr>
          <w:p>
            <w:pPr>
              <w:ind w:left="140"/>
              <w:spacing w:after="0" w:line="198" w:lineRule="exact"/>
              <w:rPr>
                <w:sz w:val="20"/>
                <w:szCs w:val="20"/>
                <w:color w:val="auto"/>
              </w:rPr>
            </w:pPr>
            <w:r>
              <w:rPr>
                <w:rFonts w:ascii="Arial" w:cs="Arial" w:eastAsia="Arial" w:hAnsi="Arial"/>
                <w:sz w:val="18"/>
                <w:szCs w:val="18"/>
                <w:b w:val="1"/>
                <w:bCs w:val="1"/>
                <w:color w:val="auto"/>
              </w:rPr>
              <w:t>Placebo</w:t>
            </w: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30</w:t>
            </w:r>
          </w:p>
        </w:tc>
        <w:tc>
          <w:tcPr>
            <w:tcW w:w="11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6"/>
              </w:rPr>
              <w:t>120</w:t>
            </w: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360</w:t>
            </w: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720</w:t>
            </w: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3"/>
              </w:rPr>
              <w:t>1,080</w:t>
            </w:r>
          </w:p>
        </w:tc>
        <w:tc>
          <w:tcPr>
            <w:tcW w:w="11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1,440</w:t>
            </w:r>
          </w:p>
        </w:tc>
        <w:tc>
          <w:tcPr>
            <w:tcW w:w="1140" w:type="dxa"/>
            <w:vAlign w:val="bottom"/>
          </w:tcPr>
          <w:p>
            <w:pPr>
              <w:ind w:left="280"/>
              <w:spacing w:after="0" w:line="198" w:lineRule="exact"/>
              <w:rPr>
                <w:sz w:val="20"/>
                <w:szCs w:val="20"/>
                <w:color w:val="auto"/>
              </w:rPr>
            </w:pPr>
            <w:r>
              <w:rPr>
                <w:rFonts w:ascii="Arial" w:cs="Arial" w:eastAsia="Arial" w:hAnsi="Arial"/>
                <w:sz w:val="18"/>
                <w:szCs w:val="18"/>
                <w:b w:val="1"/>
                <w:bCs w:val="1"/>
                <w:color w:val="auto"/>
              </w:rPr>
              <w:t>Overall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Term</w:t>
            </w:r>
          </w:p>
        </w:tc>
        <w:tc>
          <w:tcPr>
            <w:tcW w:w="10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 = 18)</w:t>
            </w: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(n = 3)</w:t>
            </w:r>
          </w:p>
        </w:tc>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(n = 3)</w:t>
            </w: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(n = 3)</w:t>
            </w: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(n = 3)</w:t>
            </w: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(n = 3)</w:t>
            </w: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(n = 3)</w:t>
            </w: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(n = 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Infections and Infestations</w:t>
            </w:r>
          </w:p>
        </w:tc>
        <w:tc>
          <w:tcPr>
            <w:tcW w:w="1000" w:type="dxa"/>
            <w:vAlign w:val="bottom"/>
            <w:shd w:val="clear" w:color="auto" w:fill="CCEEFF"/>
          </w:tcPr>
          <w:p>
            <w:pPr>
              <w:jc w:val="center"/>
              <w:ind w:right="30"/>
              <w:spacing w:after="0" w:line="195" w:lineRule="exact"/>
              <w:rPr>
                <w:sz w:val="20"/>
                <w:szCs w:val="20"/>
                <w:color w:val="auto"/>
              </w:rPr>
            </w:pPr>
            <w:r>
              <w:rPr>
                <w:rFonts w:ascii="Arial" w:cs="Arial" w:eastAsia="Arial" w:hAnsi="Arial"/>
                <w:sz w:val="18"/>
                <w:szCs w:val="18"/>
                <w:color w:val="auto"/>
                <w:w w:val="79"/>
              </w:rPr>
              <w:t>0</w:t>
            </w:r>
          </w:p>
        </w:tc>
        <w:tc>
          <w:tcPr>
            <w:tcW w:w="11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w:t>
            </w:r>
          </w:p>
        </w:tc>
        <w:tc>
          <w:tcPr>
            <w:tcW w:w="11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0</w:t>
            </w:r>
          </w:p>
        </w:tc>
        <w:tc>
          <w:tcPr>
            <w:tcW w:w="11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0</w:t>
            </w:r>
          </w:p>
        </w:tc>
        <w:tc>
          <w:tcPr>
            <w:tcW w:w="114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0</w:t>
            </w:r>
          </w:p>
        </w:tc>
        <w:tc>
          <w:tcPr>
            <w:tcW w:w="11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0</w:t>
            </w:r>
          </w:p>
        </w:tc>
        <w:tc>
          <w:tcPr>
            <w:tcW w:w="118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79"/>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1 (2.8%)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vMerge w:val="continue"/>
            <w:shd w:val="clear" w:color="auto" w:fill="CCEEFF"/>
          </w:tcPr>
          <w:p>
            <w:pPr>
              <w:spacing w:after="0"/>
              <w:rPr>
                <w:sz w:val="10"/>
                <w:szCs w:val="10"/>
                <w:color w:val="auto"/>
              </w:rPr>
            </w:pPr>
          </w:p>
        </w:tc>
        <w:tc>
          <w:tcPr>
            <w:tcW w:w="1000" w:type="dxa"/>
            <w:vAlign w:val="bottom"/>
            <w:vMerge w:val="restart"/>
            <w:shd w:val="clear" w:color="auto" w:fill="CCEEFF"/>
          </w:tcPr>
          <w:p>
            <w:pPr>
              <w:jc w:val="center"/>
              <w:ind w:right="30"/>
              <w:spacing w:after="0"/>
              <w:rPr>
                <w:sz w:val="20"/>
                <w:szCs w:val="20"/>
                <w:color w:val="auto"/>
              </w:rPr>
            </w:pPr>
            <w:r>
              <w:rPr>
                <w:rFonts w:ascii="Arial" w:cs="Arial" w:eastAsia="Arial" w:hAnsi="Arial"/>
                <w:sz w:val="18"/>
                <w:szCs w:val="18"/>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(33.3%)</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vMerge w:val="continue"/>
            <w:shd w:val="clear" w:color="auto" w:fill="CCEEFF"/>
          </w:tcPr>
          <w:p>
            <w:pPr>
              <w:spacing w:after="0"/>
              <w:rPr>
                <w:sz w:val="10"/>
                <w:szCs w:val="10"/>
                <w:color w:val="auto"/>
              </w:rPr>
            </w:pPr>
          </w:p>
        </w:tc>
        <w:tc>
          <w:tcPr>
            <w:tcW w:w="1140" w:type="dxa"/>
            <w:vAlign w:val="bottom"/>
            <w:tcBorders>
              <w:bottom w:val="single" w:sz="8" w:color="auto"/>
            </w:tcBorders>
            <w:vMerge w:val="continue"/>
            <w:shd w:val="clear" w:color="auto" w:fill="CCEEFF"/>
          </w:tcPr>
          <w:p>
            <w:pPr>
              <w:spacing w:after="0"/>
              <w:rPr>
                <w:sz w:val="10"/>
                <w:szCs w:val="10"/>
                <w:color w:val="auto"/>
              </w:rPr>
            </w:pPr>
          </w:p>
        </w:tc>
        <w:tc>
          <w:tcPr>
            <w:tcW w:w="1160" w:type="dxa"/>
            <w:vAlign w:val="bottom"/>
            <w:tcBorders>
              <w:bottom w:val="single" w:sz="8" w:color="auto"/>
            </w:tcBorders>
            <w:vMerge w:val="continue"/>
            <w:shd w:val="clear" w:color="auto" w:fill="CCEEFF"/>
          </w:tcPr>
          <w:p>
            <w:pPr>
              <w:spacing w:after="0"/>
              <w:rPr>
                <w:sz w:val="10"/>
                <w:szCs w:val="10"/>
                <w:color w:val="auto"/>
              </w:rPr>
            </w:pPr>
          </w:p>
        </w:tc>
        <w:tc>
          <w:tcPr>
            <w:tcW w:w="1120" w:type="dxa"/>
            <w:vAlign w:val="bottom"/>
            <w:tcBorders>
              <w:bottom w:val="single" w:sz="8" w:color="auto"/>
            </w:tcBorders>
            <w:vMerge w:val="continue"/>
            <w:shd w:val="clear" w:color="auto" w:fill="CCEEFF"/>
          </w:tcPr>
          <w:p>
            <w:pPr>
              <w:spacing w:after="0"/>
              <w:rPr>
                <w:sz w:val="10"/>
                <w:szCs w:val="10"/>
                <w:color w:val="auto"/>
              </w:rPr>
            </w:pPr>
          </w:p>
        </w:tc>
        <w:tc>
          <w:tcPr>
            <w:tcW w:w="1140" w:type="dxa"/>
            <w:vAlign w:val="bottom"/>
            <w:tcBorders>
              <w:bottom w:val="single" w:sz="8" w:color="auto"/>
            </w:tcBorders>
            <w:vMerge w:val="continue"/>
            <w:shd w:val="clear" w:color="auto" w:fill="CCEEFF"/>
          </w:tcPr>
          <w:p>
            <w:pPr>
              <w:spacing w:after="0"/>
              <w:rPr>
                <w:sz w:val="10"/>
                <w:szCs w:val="10"/>
                <w:color w:val="auto"/>
              </w:rPr>
            </w:pPr>
          </w:p>
        </w:tc>
        <w:tc>
          <w:tcPr>
            <w:tcW w:w="1120" w:type="dxa"/>
            <w:vAlign w:val="bottom"/>
            <w:tcBorders>
              <w:bottom w:val="single" w:sz="8" w:color="auto"/>
            </w:tcBorders>
            <w:vMerge w:val="continue"/>
            <w:shd w:val="clear" w:color="auto" w:fill="CCEEFF"/>
          </w:tcPr>
          <w:p>
            <w:pPr>
              <w:spacing w:after="0"/>
              <w:rPr>
                <w:sz w:val="10"/>
                <w:szCs w:val="10"/>
                <w:color w:val="auto"/>
              </w:rPr>
            </w:pPr>
          </w:p>
        </w:tc>
        <w:tc>
          <w:tcPr>
            <w:tcW w:w="1180" w:type="dxa"/>
            <w:vAlign w:val="bottom"/>
            <w:tcBorders>
              <w:bottom w:val="single" w:sz="8" w:color="auto"/>
            </w:tcBorders>
            <w:vMerge w:val="continue"/>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vMerge w:val="restart"/>
          </w:tcPr>
          <w:p>
            <w:pPr>
              <w:ind w:left="320"/>
              <w:spacing w:after="0"/>
              <w:rPr>
                <w:sz w:val="20"/>
                <w:szCs w:val="20"/>
                <w:color w:val="auto"/>
              </w:rPr>
            </w:pPr>
            <w:r>
              <w:rPr>
                <w:rFonts w:ascii="Arial" w:cs="Arial" w:eastAsia="Arial" w:hAnsi="Arial"/>
                <w:sz w:val="18"/>
                <w:szCs w:val="18"/>
                <w:color w:val="auto"/>
              </w:rPr>
              <w:t>Gastroenteritis</w:t>
            </w:r>
          </w:p>
        </w:tc>
        <w:tc>
          <w:tcPr>
            <w:tcW w:w="10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79"/>
              </w:rPr>
              <w:t>0</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9"/>
              </w:rPr>
              <w:t>1</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0</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0</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1"/>
              </w:rPr>
              <w:t>1 (2.8%)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1"/>
              </w:rPr>
              <w:t>(33.3%)</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Nervous System Disorders</w:t>
            </w:r>
          </w:p>
        </w:tc>
        <w:tc>
          <w:tcPr>
            <w:tcW w:w="1000" w:type="dxa"/>
            <w:vAlign w:val="bottom"/>
            <w:shd w:val="clear" w:color="auto" w:fill="CCEEFF"/>
          </w:tcPr>
          <w:p>
            <w:pPr>
              <w:jc w:val="center"/>
              <w:ind w:right="30"/>
              <w:spacing w:after="0" w:line="201" w:lineRule="exact"/>
              <w:rPr>
                <w:sz w:val="20"/>
                <w:szCs w:val="20"/>
                <w:color w:val="auto"/>
              </w:rPr>
            </w:pPr>
            <w:r>
              <w:rPr>
                <w:rFonts w:ascii="Arial" w:cs="Arial" w:eastAsia="Arial" w:hAnsi="Arial"/>
                <w:sz w:val="18"/>
                <w:szCs w:val="18"/>
                <w:color w:val="auto"/>
                <w:w w:val="79"/>
              </w:rPr>
              <w:t>1</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1</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0</w:t>
            </w: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3 (8.3%)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vMerge w:val="continue"/>
            <w:shd w:val="clear" w:color="auto" w:fill="CCEEFF"/>
          </w:tcPr>
          <w:p>
            <w:pPr>
              <w:spacing w:after="0"/>
              <w:rPr>
                <w:sz w:val="10"/>
                <w:szCs w:val="10"/>
                <w:color w:val="auto"/>
              </w:rPr>
            </w:pPr>
          </w:p>
        </w:tc>
        <w:tc>
          <w:tcPr>
            <w:tcW w:w="1000" w:type="dxa"/>
            <w:vAlign w:val="bottom"/>
            <w:vMerge w:val="restart"/>
            <w:shd w:val="clear" w:color="auto" w:fill="CCEEFF"/>
          </w:tcPr>
          <w:p>
            <w:pPr>
              <w:jc w:val="center"/>
              <w:ind w:right="30"/>
              <w:spacing w:after="0"/>
              <w:rPr>
                <w:sz w:val="20"/>
                <w:szCs w:val="20"/>
                <w:color w:val="auto"/>
              </w:rPr>
            </w:pPr>
            <w:r>
              <w:rPr>
                <w:rFonts w:ascii="Arial" w:cs="Arial" w:eastAsia="Arial" w:hAnsi="Arial"/>
                <w:sz w:val="18"/>
                <w:szCs w:val="18"/>
                <w:color w:val="auto"/>
                <w:w w:val="90"/>
              </w:rPr>
              <w:t>(5.6%)</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(33.3%)</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(33.3%)</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vMerge w:val="continue"/>
            <w:shd w:val="clear" w:color="auto" w:fill="CCEEFF"/>
          </w:tcPr>
          <w:p>
            <w:pPr>
              <w:spacing w:after="0"/>
              <w:rPr>
                <w:sz w:val="10"/>
                <w:szCs w:val="10"/>
                <w:color w:val="auto"/>
              </w:rPr>
            </w:pPr>
          </w:p>
        </w:tc>
        <w:tc>
          <w:tcPr>
            <w:tcW w:w="1140" w:type="dxa"/>
            <w:vAlign w:val="bottom"/>
            <w:tcBorders>
              <w:bottom w:val="single" w:sz="8" w:color="auto"/>
            </w:tcBorders>
            <w:vMerge w:val="continue"/>
            <w:shd w:val="clear" w:color="auto" w:fill="CCEEFF"/>
          </w:tcPr>
          <w:p>
            <w:pPr>
              <w:spacing w:after="0"/>
              <w:rPr>
                <w:sz w:val="10"/>
                <w:szCs w:val="10"/>
                <w:color w:val="auto"/>
              </w:rPr>
            </w:pPr>
          </w:p>
        </w:tc>
        <w:tc>
          <w:tcPr>
            <w:tcW w:w="1160" w:type="dxa"/>
            <w:vAlign w:val="bottom"/>
            <w:tcBorders>
              <w:bottom w:val="single" w:sz="8" w:color="auto"/>
            </w:tcBorders>
            <w:vMerge w:val="continue"/>
            <w:shd w:val="clear" w:color="auto" w:fill="CCEEFF"/>
          </w:tcPr>
          <w:p>
            <w:pPr>
              <w:spacing w:after="0"/>
              <w:rPr>
                <w:sz w:val="10"/>
                <w:szCs w:val="10"/>
                <w:color w:val="auto"/>
              </w:rPr>
            </w:pPr>
          </w:p>
        </w:tc>
        <w:tc>
          <w:tcPr>
            <w:tcW w:w="1120" w:type="dxa"/>
            <w:vAlign w:val="bottom"/>
            <w:tcBorders>
              <w:bottom w:val="single" w:sz="8" w:color="auto"/>
            </w:tcBorders>
            <w:vMerge w:val="continue"/>
            <w:shd w:val="clear" w:color="auto" w:fill="CCEEFF"/>
          </w:tcPr>
          <w:p>
            <w:pPr>
              <w:spacing w:after="0"/>
              <w:rPr>
                <w:sz w:val="10"/>
                <w:szCs w:val="10"/>
                <w:color w:val="auto"/>
              </w:rPr>
            </w:pPr>
          </w:p>
        </w:tc>
        <w:tc>
          <w:tcPr>
            <w:tcW w:w="1140" w:type="dxa"/>
            <w:vAlign w:val="bottom"/>
            <w:tcBorders>
              <w:bottom w:val="single" w:sz="8" w:color="auto"/>
            </w:tcBorders>
            <w:vMerge w:val="continue"/>
            <w:shd w:val="clear" w:color="auto" w:fill="CCEEFF"/>
          </w:tcPr>
          <w:p>
            <w:pPr>
              <w:spacing w:after="0"/>
              <w:rPr>
                <w:sz w:val="10"/>
                <w:szCs w:val="10"/>
                <w:color w:val="auto"/>
              </w:rPr>
            </w:pPr>
          </w:p>
        </w:tc>
        <w:tc>
          <w:tcPr>
            <w:tcW w:w="1120" w:type="dxa"/>
            <w:vAlign w:val="bottom"/>
            <w:tcBorders>
              <w:bottom w:val="single" w:sz="8" w:color="auto"/>
            </w:tcBorders>
            <w:vMerge w:val="continue"/>
            <w:shd w:val="clear" w:color="auto" w:fill="CCEEFF"/>
          </w:tcPr>
          <w:p>
            <w:pPr>
              <w:spacing w:after="0"/>
              <w:rPr>
                <w:sz w:val="10"/>
                <w:szCs w:val="10"/>
                <w:color w:val="auto"/>
              </w:rPr>
            </w:pPr>
          </w:p>
        </w:tc>
        <w:tc>
          <w:tcPr>
            <w:tcW w:w="1180" w:type="dxa"/>
            <w:vAlign w:val="bottom"/>
            <w:tcBorders>
              <w:bottom w:val="single" w:sz="8" w:color="auto"/>
            </w:tcBorders>
            <w:vMerge w:val="continue"/>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vMerge w:val="restart"/>
          </w:tcPr>
          <w:p>
            <w:pPr>
              <w:ind w:left="320"/>
              <w:spacing w:after="0"/>
              <w:rPr>
                <w:sz w:val="20"/>
                <w:szCs w:val="20"/>
                <w:color w:val="auto"/>
              </w:rPr>
            </w:pPr>
            <w:r>
              <w:rPr>
                <w:rFonts w:ascii="Arial" w:cs="Arial" w:eastAsia="Arial" w:hAnsi="Arial"/>
                <w:sz w:val="18"/>
                <w:szCs w:val="18"/>
                <w:color w:val="auto"/>
              </w:rPr>
              <w:t>Headache</w:t>
            </w:r>
          </w:p>
        </w:tc>
        <w:tc>
          <w:tcPr>
            <w:tcW w:w="10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79"/>
              </w:rPr>
              <w:t>1</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9"/>
              </w:rPr>
              <w:t>1</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1</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0</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1"/>
              </w:rPr>
              <w:t>3 (8.3%)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0"/>
              </w:rPr>
              <w:t>(5.6%)</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1"/>
              </w:rPr>
              <w:t>(33.3%)</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1"/>
              </w:rPr>
              <w:t>(33.3%)</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Psychiatric Disorder</w:t>
            </w:r>
          </w:p>
        </w:tc>
        <w:tc>
          <w:tcPr>
            <w:tcW w:w="1000" w:type="dxa"/>
            <w:vAlign w:val="bottom"/>
            <w:shd w:val="clear" w:color="auto" w:fill="CCEEFF"/>
          </w:tcPr>
          <w:p>
            <w:pPr>
              <w:jc w:val="center"/>
              <w:ind w:right="30"/>
              <w:spacing w:after="0" w:line="201" w:lineRule="exact"/>
              <w:rPr>
                <w:sz w:val="20"/>
                <w:szCs w:val="20"/>
                <w:color w:val="auto"/>
              </w:rPr>
            </w:pPr>
            <w:r>
              <w:rPr>
                <w:rFonts w:ascii="Arial" w:cs="Arial" w:eastAsia="Arial" w:hAnsi="Arial"/>
                <w:sz w:val="18"/>
                <w:szCs w:val="18"/>
                <w:color w:val="auto"/>
                <w:w w:val="79"/>
              </w:rPr>
              <w:t>0</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0</w:t>
            </w: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0</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1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0</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0</w:t>
            </w: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79"/>
              </w:rPr>
              <w:t>2</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2 (5.6%)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vMerge w:val="continue"/>
            <w:shd w:val="clear" w:color="auto" w:fill="CCEEFF"/>
          </w:tcPr>
          <w:p>
            <w:pPr>
              <w:spacing w:after="0"/>
              <w:rPr>
                <w:sz w:val="10"/>
                <w:szCs w:val="10"/>
                <w:color w:val="auto"/>
              </w:rPr>
            </w:pPr>
          </w:p>
        </w:tc>
        <w:tc>
          <w:tcPr>
            <w:tcW w:w="1000" w:type="dxa"/>
            <w:vAlign w:val="bottom"/>
            <w:vMerge w:val="restart"/>
            <w:shd w:val="clear" w:color="auto" w:fill="CCEEFF"/>
          </w:tcPr>
          <w:p>
            <w:pPr>
              <w:jc w:val="center"/>
              <w:ind w:right="30"/>
              <w:spacing w:after="0"/>
              <w:rPr>
                <w:sz w:val="20"/>
                <w:szCs w:val="20"/>
                <w:color w:val="auto"/>
              </w:rPr>
            </w:pPr>
            <w:r>
              <w:rPr>
                <w:rFonts w:ascii="Arial" w:cs="Arial" w:eastAsia="Arial" w:hAnsi="Arial"/>
                <w:sz w:val="18"/>
                <w:szCs w:val="18"/>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(66.7%)</w:t>
            </w: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vMerge w:val="continue"/>
            <w:shd w:val="clear" w:color="auto" w:fill="CCEEFF"/>
          </w:tcPr>
          <w:p>
            <w:pPr>
              <w:spacing w:after="0"/>
              <w:rPr>
                <w:sz w:val="10"/>
                <w:szCs w:val="10"/>
                <w:color w:val="auto"/>
              </w:rPr>
            </w:pPr>
          </w:p>
        </w:tc>
        <w:tc>
          <w:tcPr>
            <w:tcW w:w="1140" w:type="dxa"/>
            <w:vAlign w:val="bottom"/>
            <w:tcBorders>
              <w:bottom w:val="single" w:sz="8" w:color="auto"/>
            </w:tcBorders>
            <w:vMerge w:val="continue"/>
            <w:shd w:val="clear" w:color="auto" w:fill="CCEEFF"/>
          </w:tcPr>
          <w:p>
            <w:pPr>
              <w:spacing w:after="0"/>
              <w:rPr>
                <w:sz w:val="10"/>
                <w:szCs w:val="10"/>
                <w:color w:val="auto"/>
              </w:rPr>
            </w:pPr>
          </w:p>
        </w:tc>
        <w:tc>
          <w:tcPr>
            <w:tcW w:w="1160" w:type="dxa"/>
            <w:vAlign w:val="bottom"/>
            <w:tcBorders>
              <w:bottom w:val="single" w:sz="8" w:color="auto"/>
            </w:tcBorders>
            <w:vMerge w:val="continue"/>
            <w:shd w:val="clear" w:color="auto" w:fill="CCEEFF"/>
          </w:tcPr>
          <w:p>
            <w:pPr>
              <w:spacing w:after="0"/>
              <w:rPr>
                <w:sz w:val="10"/>
                <w:szCs w:val="10"/>
                <w:color w:val="auto"/>
              </w:rPr>
            </w:pPr>
          </w:p>
        </w:tc>
        <w:tc>
          <w:tcPr>
            <w:tcW w:w="1120" w:type="dxa"/>
            <w:vAlign w:val="bottom"/>
            <w:tcBorders>
              <w:bottom w:val="single" w:sz="8" w:color="auto"/>
            </w:tcBorders>
            <w:vMerge w:val="continue"/>
            <w:shd w:val="clear" w:color="auto" w:fill="CCEEFF"/>
          </w:tcPr>
          <w:p>
            <w:pPr>
              <w:spacing w:after="0"/>
              <w:rPr>
                <w:sz w:val="10"/>
                <w:szCs w:val="10"/>
                <w:color w:val="auto"/>
              </w:rPr>
            </w:pPr>
          </w:p>
        </w:tc>
        <w:tc>
          <w:tcPr>
            <w:tcW w:w="1140" w:type="dxa"/>
            <w:vAlign w:val="bottom"/>
            <w:tcBorders>
              <w:bottom w:val="single" w:sz="8" w:color="auto"/>
            </w:tcBorders>
            <w:vMerge w:val="continue"/>
            <w:shd w:val="clear" w:color="auto" w:fill="CCEEFF"/>
          </w:tcPr>
          <w:p>
            <w:pPr>
              <w:spacing w:after="0"/>
              <w:rPr>
                <w:sz w:val="10"/>
                <w:szCs w:val="10"/>
                <w:color w:val="auto"/>
              </w:rPr>
            </w:pPr>
          </w:p>
        </w:tc>
        <w:tc>
          <w:tcPr>
            <w:tcW w:w="1120" w:type="dxa"/>
            <w:vAlign w:val="bottom"/>
            <w:tcBorders>
              <w:bottom w:val="single" w:sz="8" w:color="auto"/>
            </w:tcBorders>
            <w:vMerge w:val="continue"/>
            <w:shd w:val="clear" w:color="auto" w:fill="CCEEFF"/>
          </w:tcPr>
          <w:p>
            <w:pPr>
              <w:spacing w:after="0"/>
              <w:rPr>
                <w:sz w:val="10"/>
                <w:szCs w:val="10"/>
                <w:color w:val="auto"/>
              </w:rPr>
            </w:pPr>
          </w:p>
        </w:tc>
        <w:tc>
          <w:tcPr>
            <w:tcW w:w="1180" w:type="dxa"/>
            <w:vAlign w:val="bottom"/>
            <w:tcBorders>
              <w:bottom w:val="single" w:sz="8" w:color="auto"/>
            </w:tcBorders>
            <w:vMerge w:val="continue"/>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vMerge w:val="restart"/>
          </w:tcPr>
          <w:p>
            <w:pPr>
              <w:ind w:left="320"/>
              <w:spacing w:after="0"/>
              <w:rPr>
                <w:sz w:val="20"/>
                <w:szCs w:val="20"/>
                <w:color w:val="auto"/>
              </w:rPr>
            </w:pPr>
            <w:r>
              <w:rPr>
                <w:rFonts w:ascii="Arial" w:cs="Arial" w:eastAsia="Arial" w:hAnsi="Arial"/>
                <w:sz w:val="18"/>
                <w:szCs w:val="18"/>
                <w:color w:val="auto"/>
              </w:rPr>
              <w:t>Euphoric mood</w:t>
            </w:r>
          </w:p>
        </w:tc>
        <w:tc>
          <w:tcPr>
            <w:tcW w:w="10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79"/>
              </w:rPr>
              <w:t>0</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9"/>
              </w:rPr>
              <w:t>0</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0</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0</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79"/>
              </w:rPr>
              <w:t>2</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1"/>
              </w:rPr>
              <w:t>2 (5.6%)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5"/>
              </w:rPr>
              <w:t>(66.7%)</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1160" w:type="dxa"/>
            <w:vAlign w:val="bottom"/>
            <w:tcBorders>
              <w:bottom w:val="single" w:sz="8" w:color="auto"/>
            </w:tcBorders>
            <w:vMerge w:val="continue"/>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1120" w:type="dxa"/>
            <w:vAlign w:val="bottom"/>
            <w:tcBorders>
              <w:bottom w:val="single" w:sz="8" w:color="auto"/>
            </w:tcBorders>
            <w:vMerge w:val="continue"/>
          </w:tcPr>
          <w:p>
            <w:pPr>
              <w:spacing w:after="0"/>
              <w:rPr>
                <w:sz w:val="10"/>
                <w:szCs w:val="10"/>
                <w:color w:val="auto"/>
              </w:rPr>
            </w:pPr>
          </w:p>
        </w:tc>
        <w:tc>
          <w:tcPr>
            <w:tcW w:w="1180" w:type="dxa"/>
            <w:vAlign w:val="bottom"/>
            <w:tcBorders>
              <w:bottom w:val="single" w:sz="8" w:color="auto"/>
            </w:tcBorders>
            <w:vMerge w:val="continue"/>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Skin and Subcutaneous</w:t>
            </w:r>
          </w:p>
        </w:tc>
        <w:tc>
          <w:tcPr>
            <w:tcW w:w="1000" w:type="dxa"/>
            <w:vAlign w:val="bottom"/>
            <w:shd w:val="clear" w:color="auto" w:fill="CCEEFF"/>
          </w:tcPr>
          <w:p>
            <w:pPr>
              <w:jc w:val="center"/>
              <w:ind w:right="30"/>
              <w:spacing w:after="0" w:line="198" w:lineRule="exact"/>
              <w:rPr>
                <w:sz w:val="20"/>
                <w:szCs w:val="20"/>
                <w:color w:val="auto"/>
              </w:rPr>
            </w:pPr>
            <w:r>
              <w:rPr>
                <w:rFonts w:ascii="Arial" w:cs="Arial" w:eastAsia="Arial" w:hAnsi="Arial"/>
                <w:sz w:val="18"/>
                <w:szCs w:val="18"/>
                <w:color w:val="auto"/>
                <w:w w:val="79"/>
              </w:rPr>
              <w:t>0</w:t>
            </w:r>
          </w:p>
        </w:tc>
        <w:tc>
          <w:tcPr>
            <w:tcW w:w="114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99"/>
              </w:rPr>
              <w:t>0</w:t>
            </w:r>
          </w:p>
        </w:tc>
        <w:tc>
          <w:tcPr>
            <w:tcW w:w="116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99"/>
              </w:rPr>
              <w:t>0</w:t>
            </w:r>
          </w:p>
        </w:tc>
        <w:tc>
          <w:tcPr>
            <w:tcW w:w="112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79"/>
              </w:rPr>
              <w:t>0</w:t>
            </w:r>
          </w:p>
        </w:tc>
        <w:tc>
          <w:tcPr>
            <w:tcW w:w="114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79"/>
              </w:rPr>
              <w:t>0</w:t>
            </w:r>
          </w:p>
        </w:tc>
        <w:tc>
          <w:tcPr>
            <w:tcW w:w="112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99"/>
              </w:rPr>
              <w:t>0</w:t>
            </w:r>
          </w:p>
        </w:tc>
        <w:tc>
          <w:tcPr>
            <w:tcW w:w="118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color w:val="auto"/>
                <w:w w:val="79"/>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 (0%)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Tissue Disorder</w:t>
            </w:r>
          </w:p>
        </w:tc>
        <w:tc>
          <w:tcPr>
            <w:tcW w:w="1000" w:type="dxa"/>
            <w:vAlign w:val="bottom"/>
            <w:vMerge w:val="restart"/>
            <w:shd w:val="clear" w:color="auto" w:fill="CCEEFF"/>
          </w:tcPr>
          <w:p>
            <w:pPr>
              <w:jc w:val="center"/>
              <w:ind w:right="30"/>
              <w:spacing w:after="0"/>
              <w:rPr>
                <w:sz w:val="20"/>
                <w:szCs w:val="20"/>
                <w:color w:val="auto"/>
              </w:rPr>
            </w:pPr>
            <w:r>
              <w:rPr>
                <w:rFonts w:ascii="Arial" w:cs="Arial" w:eastAsia="Arial" w:hAnsi="Arial"/>
                <w:sz w:val="18"/>
                <w:szCs w:val="18"/>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(0%)</w:t>
            </w:r>
          </w:p>
        </w:tc>
        <w:tc>
          <w:tcPr>
            <w:tcW w:w="11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00" w:type="dxa"/>
            <w:vAlign w:val="bottom"/>
            <w:tcBorders>
              <w:bottom w:val="single" w:sz="8" w:color="auto"/>
            </w:tcBorders>
            <w:vMerge w:val="continue"/>
            <w:shd w:val="clear" w:color="auto" w:fill="CCEEFF"/>
          </w:tcPr>
          <w:p>
            <w:pPr>
              <w:spacing w:after="0"/>
              <w:rPr>
                <w:sz w:val="10"/>
                <w:szCs w:val="10"/>
                <w:color w:val="auto"/>
              </w:rPr>
            </w:pPr>
          </w:p>
        </w:tc>
        <w:tc>
          <w:tcPr>
            <w:tcW w:w="1000" w:type="dxa"/>
            <w:vAlign w:val="bottom"/>
            <w:tcBorders>
              <w:bottom w:val="single" w:sz="8" w:color="auto"/>
            </w:tcBorders>
            <w:vMerge w:val="continue"/>
            <w:shd w:val="clear" w:color="auto" w:fill="CCEEFF"/>
          </w:tcPr>
          <w:p>
            <w:pPr>
              <w:spacing w:after="0"/>
              <w:rPr>
                <w:sz w:val="10"/>
                <w:szCs w:val="10"/>
                <w:color w:val="auto"/>
              </w:rPr>
            </w:pPr>
          </w:p>
        </w:tc>
        <w:tc>
          <w:tcPr>
            <w:tcW w:w="1140" w:type="dxa"/>
            <w:vAlign w:val="bottom"/>
            <w:tcBorders>
              <w:bottom w:val="single" w:sz="8" w:color="auto"/>
            </w:tcBorders>
            <w:vMerge w:val="continue"/>
            <w:shd w:val="clear" w:color="auto" w:fill="CCEEFF"/>
          </w:tcPr>
          <w:p>
            <w:pPr>
              <w:spacing w:after="0"/>
              <w:rPr>
                <w:sz w:val="10"/>
                <w:szCs w:val="10"/>
                <w:color w:val="auto"/>
              </w:rPr>
            </w:pPr>
          </w:p>
        </w:tc>
        <w:tc>
          <w:tcPr>
            <w:tcW w:w="1160" w:type="dxa"/>
            <w:vAlign w:val="bottom"/>
            <w:tcBorders>
              <w:bottom w:val="single" w:sz="8" w:color="auto"/>
            </w:tcBorders>
            <w:vMerge w:val="continue"/>
            <w:shd w:val="clear" w:color="auto" w:fill="CCEEFF"/>
          </w:tcPr>
          <w:p>
            <w:pPr>
              <w:spacing w:after="0"/>
              <w:rPr>
                <w:sz w:val="10"/>
                <w:szCs w:val="10"/>
                <w:color w:val="auto"/>
              </w:rPr>
            </w:pPr>
          </w:p>
        </w:tc>
        <w:tc>
          <w:tcPr>
            <w:tcW w:w="1120" w:type="dxa"/>
            <w:vAlign w:val="bottom"/>
            <w:tcBorders>
              <w:bottom w:val="single" w:sz="8" w:color="auto"/>
            </w:tcBorders>
            <w:vMerge w:val="continue"/>
            <w:shd w:val="clear" w:color="auto" w:fill="CCEEFF"/>
          </w:tcPr>
          <w:p>
            <w:pPr>
              <w:spacing w:after="0"/>
              <w:rPr>
                <w:sz w:val="10"/>
                <w:szCs w:val="10"/>
                <w:color w:val="auto"/>
              </w:rPr>
            </w:pPr>
          </w:p>
        </w:tc>
        <w:tc>
          <w:tcPr>
            <w:tcW w:w="1140" w:type="dxa"/>
            <w:vAlign w:val="bottom"/>
            <w:tcBorders>
              <w:bottom w:val="single" w:sz="8" w:color="auto"/>
            </w:tcBorders>
            <w:vMerge w:val="continue"/>
            <w:shd w:val="clear" w:color="auto" w:fill="CCEEFF"/>
          </w:tcPr>
          <w:p>
            <w:pPr>
              <w:spacing w:after="0"/>
              <w:rPr>
                <w:sz w:val="10"/>
                <w:szCs w:val="10"/>
                <w:color w:val="auto"/>
              </w:rPr>
            </w:pPr>
          </w:p>
        </w:tc>
        <w:tc>
          <w:tcPr>
            <w:tcW w:w="1120" w:type="dxa"/>
            <w:vAlign w:val="bottom"/>
            <w:tcBorders>
              <w:bottom w:val="single" w:sz="8" w:color="auto"/>
            </w:tcBorders>
            <w:vMerge w:val="continue"/>
            <w:shd w:val="clear" w:color="auto" w:fill="CCEEFF"/>
          </w:tcPr>
          <w:p>
            <w:pPr>
              <w:spacing w:after="0"/>
              <w:rPr>
                <w:sz w:val="10"/>
                <w:szCs w:val="10"/>
                <w:color w:val="auto"/>
              </w:rPr>
            </w:pPr>
          </w:p>
        </w:tc>
        <w:tc>
          <w:tcPr>
            <w:tcW w:w="1180" w:type="dxa"/>
            <w:vAlign w:val="bottom"/>
            <w:tcBorders>
              <w:bottom w:val="single" w:sz="8" w:color="auto"/>
            </w:tcBorders>
            <w:vMerge w:val="continue"/>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vMerge w:val="restart"/>
          </w:tcPr>
          <w:p>
            <w:pPr>
              <w:ind w:left="320"/>
              <w:spacing w:after="0"/>
              <w:rPr>
                <w:sz w:val="20"/>
                <w:szCs w:val="20"/>
                <w:color w:val="auto"/>
              </w:rPr>
            </w:pPr>
            <w:r>
              <w:rPr>
                <w:rFonts w:ascii="Arial" w:cs="Arial" w:eastAsia="Arial" w:hAnsi="Arial"/>
                <w:sz w:val="18"/>
                <w:szCs w:val="18"/>
                <w:color w:val="auto"/>
              </w:rPr>
              <w:t>Dermatitis contact</w:t>
            </w:r>
          </w:p>
        </w:tc>
        <w:tc>
          <w:tcPr>
            <w:tcW w:w="100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79"/>
              </w:rPr>
              <w:t>0</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9"/>
              </w:rPr>
              <w:t>0</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0</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0</w:t>
            </w: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4"/>
              </w:rPr>
              <w:t>0 (0%)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000" w:type="dxa"/>
            <w:vAlign w:val="bottom"/>
            <w:vMerge w:val="restart"/>
          </w:tcPr>
          <w:p>
            <w:pPr>
              <w:jc w:val="center"/>
              <w:ind w:right="30"/>
              <w:spacing w:after="0"/>
              <w:rPr>
                <w:sz w:val="20"/>
                <w:szCs w:val="20"/>
                <w:color w:val="auto"/>
              </w:rPr>
            </w:pPr>
            <w:r>
              <w:rPr>
                <w:rFonts w:ascii="Arial" w:cs="Arial" w:eastAsia="Arial" w:hAnsi="Arial"/>
                <w:sz w:val="18"/>
                <w:szCs w:val="18"/>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4"/>
              </w:rPr>
              <w:t>(0%)</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vMerge w:val="continue"/>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Arial" w:cs="Arial" w:eastAsia="Arial" w:hAnsi="Arial"/>
          <w:sz w:val="18"/>
          <w:szCs w:val="18"/>
          <w:color w:val="auto"/>
        </w:rPr>
        <w:t>MedDRA = Medical Dictionary for Regulatory Activities; SOC = system organ class.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1b Study (VSG-CL-102)</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Phase 1b clinical study was conducted as a single-site, dose-escalating study to evaluate the safety, tolerability, and PK of multiple doses of AV-101 administered daily in healthy volunteers. The antihyperalgesic effect of AV-101 on capsaicin-induced hyperalgesia was also assessed. Subjects were sequentially enrolled into one of three cohorts (360 mg, 1,080 mg, and 1,440 mg) and were randomized to AV-101 or placebo at a 12:4 (AV-101 to placebo) ratio. Subjects were to have been dosed for 14 consecutive days. Each subject was given a paper diary and instructed to record daily dose administration, concomitant medications, and AEs during the 14-day treatment period.</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safety and tolerability of AV-101 were assessed by evaluating AEs and by physical examinations, vital signs, and clinical laboratory tests (chemistry and hematology assessments) that were performed on Days 1, 7 (±1 day), and 14. Blood sampling for PK was performed on Days 1, 2, 14, and 15. Additionally, ophthalmological examinations were performed at screening and Day 15. Physical examinations, including vital signs, 12-lead electrocardiograms (ECGs), neurocognitive tests, and ataxia tests were performed on Day 1 and Day 14. Before proceeding to the next higher dose, the following criteria were met:</w:t>
      </w:r>
    </w:p>
    <w:p>
      <w:pPr>
        <w:spacing w:after="0" w:line="188" w:lineRule="exact"/>
        <w:rPr>
          <w:sz w:val="20"/>
          <w:szCs w:val="20"/>
          <w:color w:val="auto"/>
        </w:rPr>
      </w:pPr>
    </w:p>
    <w:p>
      <w:pPr>
        <w:ind w:left="800" w:hanging="143"/>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Blinded safety and tolerability data were reviewed and assessed as being satisfactory by the investigator and medical monitor.</w:t>
      </w:r>
    </w:p>
    <w:p>
      <w:pPr>
        <w:spacing w:after="0" w:line="225" w:lineRule="exact"/>
        <w:rPr>
          <w:rFonts w:ascii="Arial" w:cs="Arial" w:eastAsia="Arial" w:hAnsi="Arial"/>
          <w:sz w:val="18"/>
          <w:szCs w:val="18"/>
          <w:color w:val="auto"/>
        </w:rPr>
      </w:pPr>
    </w:p>
    <w:p>
      <w:pPr>
        <w:ind w:left="800" w:hanging="143"/>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PK assessments were reviewed by the blinded Cato Research PK specialist to determine if the PK stopping criteria were reached.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doses evaluated in this Phase 1b multi-dose study of AV-101 were based on results obtained in a previously conducted Phase 1a single-dose study of AV-101 in healthy adults. The dose-escalation design was consistent with a standard scheme, and careful monitoring occurred to ensure the safety of all subjects.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minimum toxic dose was defined as the dose at which the stopping criteria were reached. For this study, the minimum toxic dose was to be (1) the dose at which a drug-related serious adverse event (“</w:t>
      </w:r>
      <w:r>
        <w:rPr>
          <w:rFonts w:ascii="Arial" w:cs="Arial" w:eastAsia="Arial" w:hAnsi="Arial"/>
          <w:sz w:val="18"/>
          <w:szCs w:val="18"/>
          <w:i w:val="1"/>
          <w:iCs w:val="1"/>
          <w:color w:val="auto"/>
        </w:rPr>
        <w:t>SAE</w:t>
      </w:r>
      <w:r>
        <w:rPr>
          <w:rFonts w:ascii="Arial" w:cs="Arial" w:eastAsia="Arial" w:hAnsi="Arial"/>
          <w:sz w:val="18"/>
          <w:szCs w:val="18"/>
          <w:color w:val="auto"/>
        </w:rPr>
        <w:t>”) occurred in an AV-101–treated subject, or (2) the dose at which a severe AE that warranted stopping the study, as determined by the investigator and medical monitor, occurred in an AV-101–treated subject within a cohort. The minimum toxic dose was not reached in this study.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total of 40 AEs were reported by 24 of 37 (64.9%) subjects receiving AV-101, and 17 AEs were reported by 10 of 13 (76.9%) subject receiving placebo (Table 2).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Table 2. Summary of Adverse Events, Phase-1b</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Dose Cohorts</w:t>
            </w:r>
          </w:p>
        </w:tc>
        <w:tc>
          <w:tcPr>
            <w:tcW w:w="5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80" w:type="dxa"/>
            <w:vAlign w:val="bottom"/>
            <w:gridSpan w:val="2"/>
          </w:tcPr>
          <w:p>
            <w:pPr>
              <w:ind w:left="800"/>
              <w:spacing w:after="0" w:line="198" w:lineRule="exact"/>
              <w:rPr>
                <w:sz w:val="20"/>
                <w:szCs w:val="20"/>
                <w:color w:val="auto"/>
              </w:rPr>
            </w:pPr>
            <w:r>
              <w:rPr>
                <w:rFonts w:ascii="Arial" w:cs="Arial" w:eastAsia="Arial" w:hAnsi="Arial"/>
                <w:sz w:val="18"/>
                <w:szCs w:val="18"/>
                <w:b w:val="1"/>
                <w:bCs w:val="1"/>
                <w:color w:val="auto"/>
              </w:rPr>
              <w:t>·360 mg</w:t>
            </w:r>
          </w:p>
        </w:tc>
        <w:tc>
          <w:tcPr>
            <w:tcW w:w="10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60" w:type="dxa"/>
            <w:vAlign w:val="bottom"/>
            <w:gridSpan w:val="2"/>
          </w:tcPr>
          <w:p>
            <w:pPr>
              <w:ind w:left="580"/>
              <w:spacing w:after="0" w:line="198" w:lineRule="exact"/>
              <w:rPr>
                <w:sz w:val="20"/>
                <w:szCs w:val="20"/>
                <w:color w:val="auto"/>
              </w:rPr>
            </w:pPr>
            <w:r>
              <w:rPr>
                <w:rFonts w:ascii="Arial" w:cs="Arial" w:eastAsia="Arial" w:hAnsi="Arial"/>
                <w:sz w:val="18"/>
                <w:szCs w:val="18"/>
                <w:b w:val="1"/>
                <w:bCs w:val="1"/>
                <w:color w:val="auto"/>
              </w:rPr>
              <w:t>·Pooled</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80" w:type="dxa"/>
            <w:vAlign w:val="bottom"/>
            <w:gridSpan w:val="2"/>
          </w:tcPr>
          <w:p>
            <w:pPr>
              <w:ind w:left="800"/>
              <w:spacing w:after="0"/>
              <w:rPr>
                <w:sz w:val="20"/>
                <w:szCs w:val="20"/>
                <w:color w:val="auto"/>
              </w:rPr>
            </w:pPr>
            <w:r>
              <w:rPr>
                <w:rFonts w:ascii="Arial" w:cs="Arial" w:eastAsia="Arial" w:hAnsi="Arial"/>
                <w:sz w:val="18"/>
                <w:szCs w:val="18"/>
                <w:b w:val="1"/>
                <w:bCs w:val="1"/>
                <w:color w:val="auto"/>
              </w:rPr>
              <w:t>AV-101</w:t>
            </w:r>
          </w:p>
        </w:tc>
        <w:tc>
          <w:tcPr>
            <w:tcW w:w="2740" w:type="dxa"/>
            <w:vAlign w:val="bottom"/>
            <w:gridSpan w:val="2"/>
          </w:tcPr>
          <w:p>
            <w:pPr>
              <w:ind w:left="740"/>
              <w:spacing w:after="0"/>
              <w:rPr>
                <w:sz w:val="20"/>
                <w:szCs w:val="20"/>
                <w:color w:val="auto"/>
              </w:rPr>
            </w:pPr>
            <w:r>
              <w:rPr>
                <w:rFonts w:ascii="Arial" w:cs="Arial" w:eastAsia="Arial" w:hAnsi="Arial"/>
                <w:sz w:val="18"/>
                <w:szCs w:val="18"/>
                <w:b w:val="1"/>
                <w:bCs w:val="1"/>
                <w:color w:val="auto"/>
              </w:rPr>
              <w:t>·1,080 mg AV-101</w:t>
            </w:r>
          </w:p>
        </w:tc>
        <w:tc>
          <w:tcPr>
            <w:tcW w:w="2120" w:type="dxa"/>
            <w:vAlign w:val="bottom"/>
            <w:gridSpan w:val="2"/>
          </w:tcPr>
          <w:p>
            <w:pPr>
              <w:ind w:left="180"/>
              <w:spacing w:after="0"/>
              <w:rPr>
                <w:sz w:val="20"/>
                <w:szCs w:val="20"/>
                <w:color w:val="auto"/>
              </w:rPr>
            </w:pPr>
            <w:r>
              <w:rPr>
                <w:rFonts w:ascii="Arial" w:cs="Arial" w:eastAsia="Arial" w:hAnsi="Arial"/>
                <w:sz w:val="18"/>
                <w:szCs w:val="18"/>
                <w:b w:val="1"/>
                <w:bCs w:val="1"/>
                <w:color w:val="auto"/>
              </w:rPr>
              <w:t>·1,440 mg AV-101</w:t>
            </w:r>
          </w:p>
        </w:tc>
        <w:tc>
          <w:tcPr>
            <w:tcW w:w="1660" w:type="dxa"/>
            <w:vAlign w:val="bottom"/>
            <w:gridSpan w:val="2"/>
          </w:tcPr>
          <w:p>
            <w:pPr>
              <w:ind w:left="780"/>
              <w:spacing w:after="0"/>
              <w:rPr>
                <w:sz w:val="20"/>
                <w:szCs w:val="20"/>
                <w:color w:val="auto"/>
              </w:rPr>
            </w:pPr>
            <w:r>
              <w:rPr>
                <w:rFonts w:ascii="Arial" w:cs="Arial" w:eastAsia="Arial" w:hAnsi="Arial"/>
                <w:sz w:val="18"/>
                <w:szCs w:val="18"/>
                <w:b w:val="1"/>
                <w:bCs w:val="1"/>
                <w:color w:val="auto"/>
              </w:rPr>
              <w:t>Placebo</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480" w:type="dxa"/>
            <w:vAlign w:val="bottom"/>
            <w:gridSpan w:val="2"/>
          </w:tcPr>
          <w:p>
            <w:pPr>
              <w:ind w:left="800"/>
              <w:spacing w:after="0"/>
              <w:rPr>
                <w:sz w:val="20"/>
                <w:szCs w:val="20"/>
                <w:color w:val="auto"/>
              </w:rPr>
            </w:pPr>
            <w:r>
              <w:rPr>
                <w:rFonts w:ascii="Arial" w:cs="Arial" w:eastAsia="Arial" w:hAnsi="Arial"/>
                <w:sz w:val="18"/>
                <w:szCs w:val="18"/>
                <w:b w:val="1"/>
                <w:bCs w:val="1"/>
                <w:color w:val="auto"/>
              </w:rPr>
              <w:t>·(N = 12)</w:t>
            </w:r>
          </w:p>
        </w:tc>
        <w:tc>
          <w:tcPr>
            <w:tcW w:w="2740" w:type="dxa"/>
            <w:vAlign w:val="bottom"/>
            <w:gridSpan w:val="2"/>
          </w:tcPr>
          <w:p>
            <w:pPr>
              <w:ind w:left="740"/>
              <w:spacing w:after="0"/>
              <w:rPr>
                <w:sz w:val="20"/>
                <w:szCs w:val="20"/>
                <w:color w:val="auto"/>
              </w:rPr>
            </w:pPr>
            <w:r>
              <w:rPr>
                <w:rFonts w:ascii="Arial" w:cs="Arial" w:eastAsia="Arial" w:hAnsi="Arial"/>
                <w:sz w:val="18"/>
                <w:szCs w:val="18"/>
                <w:b w:val="1"/>
                <w:bCs w:val="1"/>
                <w:color w:val="auto"/>
              </w:rPr>
              <w:t>·(N = 13)</w:t>
            </w:r>
          </w:p>
        </w:tc>
        <w:tc>
          <w:tcPr>
            <w:tcW w:w="2120" w:type="dxa"/>
            <w:vAlign w:val="bottom"/>
            <w:gridSpan w:val="2"/>
          </w:tcPr>
          <w:p>
            <w:pPr>
              <w:ind w:left="180"/>
              <w:spacing w:after="0"/>
              <w:rPr>
                <w:sz w:val="20"/>
                <w:szCs w:val="20"/>
                <w:color w:val="auto"/>
              </w:rPr>
            </w:pPr>
            <w:r>
              <w:rPr>
                <w:rFonts w:ascii="Arial" w:cs="Arial" w:eastAsia="Arial" w:hAnsi="Arial"/>
                <w:sz w:val="18"/>
                <w:szCs w:val="18"/>
                <w:b w:val="1"/>
                <w:bCs w:val="1"/>
                <w:color w:val="auto"/>
              </w:rPr>
              <w:t>·(N = 12)</w:t>
            </w:r>
          </w:p>
        </w:tc>
        <w:tc>
          <w:tcPr>
            <w:tcW w:w="1660" w:type="dxa"/>
            <w:vAlign w:val="bottom"/>
            <w:gridSpan w:val="2"/>
          </w:tcPr>
          <w:p>
            <w:pPr>
              <w:ind w:left="580"/>
              <w:spacing w:after="0"/>
              <w:rPr>
                <w:sz w:val="20"/>
                <w:szCs w:val="20"/>
                <w:color w:val="auto"/>
              </w:rPr>
            </w:pPr>
            <w:r>
              <w:rPr>
                <w:rFonts w:ascii="Arial" w:cs="Arial" w:eastAsia="Arial" w:hAnsi="Arial"/>
                <w:sz w:val="18"/>
                <w:szCs w:val="18"/>
                <w:b w:val="1"/>
                <w:bCs w:val="1"/>
                <w:color w:val="auto"/>
              </w:rPr>
              <w:t>·(N = 13)</w:t>
            </w:r>
          </w:p>
        </w:tc>
      </w:tr>
      <w:tr>
        <w:trPr>
          <w:trHeight w:val="234"/>
        </w:trPr>
        <w:tc>
          <w:tcPr>
            <w:tcW w:w="20" w:type="dxa"/>
            <w:vAlign w:val="bottom"/>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ind w:left="800"/>
              <w:spacing w:after="0"/>
              <w:rPr>
                <w:sz w:val="20"/>
                <w:szCs w:val="20"/>
                <w:color w:val="auto"/>
              </w:rPr>
            </w:pPr>
            <w:r>
              <w:rPr>
                <w:rFonts w:ascii="Arial" w:cs="Arial" w:eastAsia="Arial" w:hAnsi="Arial"/>
                <w:sz w:val="18"/>
                <w:szCs w:val="18"/>
                <w:b w:val="1"/>
                <w:bCs w:val="1"/>
                <w:color w:val="auto"/>
              </w:rPr>
              <w:t>[n (%)]</w:t>
            </w:r>
          </w:p>
        </w:tc>
        <w:tc>
          <w:tcPr>
            <w:tcW w:w="274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[n (%)]</w:t>
            </w:r>
          </w:p>
        </w:tc>
        <w:tc>
          <w:tcPr>
            <w:tcW w:w="21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[n (%)]</w:t>
            </w:r>
          </w:p>
        </w:tc>
        <w:tc>
          <w:tcPr>
            <w:tcW w:w="166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[n (%)]</w:t>
            </w:r>
          </w:p>
        </w:tc>
      </w:tr>
      <w:tr>
        <w:trPr>
          <w:trHeight w:val="21"/>
        </w:trPr>
        <w:tc>
          <w:tcPr>
            <w:tcW w:w="2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Number of AEs</w:t>
            </w:r>
          </w:p>
        </w:tc>
        <w:tc>
          <w:tcPr>
            <w:tcW w:w="2480" w:type="dxa"/>
            <w:vAlign w:val="bottom"/>
            <w:tcBorders>
              <w:bottom w:val="single" w:sz="8" w:color="auto"/>
            </w:tcBorders>
            <w:gridSpan w:val="2"/>
            <w:shd w:val="clear" w:color="auto" w:fill="CCEEFF"/>
          </w:tcPr>
          <w:p>
            <w:pPr>
              <w:ind w:left="860"/>
              <w:spacing w:after="0"/>
              <w:rPr>
                <w:sz w:val="20"/>
                <w:szCs w:val="20"/>
                <w:color w:val="auto"/>
              </w:rPr>
            </w:pPr>
            <w:r>
              <w:rPr>
                <w:rFonts w:ascii="Arial" w:cs="Arial" w:eastAsia="Arial" w:hAnsi="Arial"/>
                <w:sz w:val="18"/>
                <w:szCs w:val="18"/>
                <w:color w:val="auto"/>
              </w:rPr>
              <w:t>● 16</w:t>
            </w:r>
          </w:p>
        </w:tc>
        <w:tc>
          <w:tcPr>
            <w:tcW w:w="2740" w:type="dxa"/>
            <w:vAlign w:val="bottom"/>
            <w:tcBorders>
              <w:bottom w:val="single" w:sz="8" w:color="auto"/>
            </w:tcBorders>
            <w:gridSpan w:val="2"/>
            <w:shd w:val="clear" w:color="auto" w:fill="CCEEFF"/>
          </w:tcPr>
          <w:p>
            <w:pPr>
              <w:ind w:left="800"/>
              <w:spacing w:after="0"/>
              <w:rPr>
                <w:sz w:val="20"/>
                <w:szCs w:val="20"/>
                <w:color w:val="auto"/>
              </w:rPr>
            </w:pPr>
            <w:r>
              <w:rPr>
                <w:rFonts w:ascii="Arial" w:cs="Arial" w:eastAsia="Arial" w:hAnsi="Arial"/>
                <w:sz w:val="18"/>
                <w:szCs w:val="18"/>
                <w:color w:val="auto"/>
              </w:rPr>
              <w:t>● 14</w:t>
            </w:r>
          </w:p>
        </w:tc>
        <w:tc>
          <w:tcPr>
            <w:tcW w:w="212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 10</w:t>
            </w:r>
          </w:p>
        </w:tc>
        <w:tc>
          <w:tcPr>
            <w:tcW w:w="166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 17</w:t>
            </w:r>
          </w:p>
        </w:tc>
      </w:tr>
      <w:tr>
        <w:trPr>
          <w:trHeight w:val="202"/>
        </w:trPr>
        <w:tc>
          <w:tcPr>
            <w:tcW w:w="2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w w:val="98"/>
              </w:rPr>
              <w:t>● Number of subjects with any</w:t>
            </w:r>
          </w:p>
        </w:tc>
        <w:tc>
          <w:tcPr>
            <w:tcW w:w="1140" w:type="dxa"/>
            <w:vAlign w:val="bottom"/>
          </w:tcPr>
          <w:p>
            <w:pPr>
              <w:ind w:left="860"/>
              <w:spacing w:after="0" w:line="201" w:lineRule="exact"/>
              <w:rPr>
                <w:sz w:val="20"/>
                <w:szCs w:val="20"/>
                <w:color w:val="auto"/>
              </w:rPr>
            </w:pPr>
            <w:r>
              <w:rPr>
                <w:rFonts w:ascii="Arial" w:cs="Arial" w:eastAsia="Arial" w:hAnsi="Arial"/>
                <w:sz w:val="18"/>
                <w:szCs w:val="18"/>
                <w:color w:val="auto"/>
              </w:rPr>
              <w:t>● 9</w:t>
            </w:r>
          </w:p>
        </w:tc>
        <w:tc>
          <w:tcPr>
            <w:tcW w:w="1340" w:type="dxa"/>
            <w:vAlign w:val="bottom"/>
          </w:tcPr>
          <w:p>
            <w:pPr>
              <w:ind w:left="20"/>
              <w:spacing w:after="0" w:line="201" w:lineRule="exact"/>
              <w:rPr>
                <w:sz w:val="20"/>
                <w:szCs w:val="20"/>
                <w:color w:val="auto"/>
              </w:rPr>
            </w:pPr>
            <w:r>
              <w:rPr>
                <w:rFonts w:ascii="Arial" w:cs="Arial" w:eastAsia="Arial" w:hAnsi="Arial"/>
                <w:sz w:val="18"/>
                <w:szCs w:val="18"/>
                <w:color w:val="auto"/>
              </w:rPr>
              <w:t>(75.0%)</w:t>
            </w:r>
          </w:p>
        </w:tc>
        <w:tc>
          <w:tcPr>
            <w:tcW w:w="1080" w:type="dxa"/>
            <w:vAlign w:val="bottom"/>
          </w:tcPr>
          <w:p>
            <w:pPr>
              <w:ind w:left="800"/>
              <w:spacing w:after="0" w:line="201" w:lineRule="exact"/>
              <w:rPr>
                <w:sz w:val="20"/>
                <w:szCs w:val="20"/>
                <w:color w:val="auto"/>
              </w:rPr>
            </w:pPr>
            <w:r>
              <w:rPr>
                <w:rFonts w:ascii="Arial" w:cs="Arial" w:eastAsia="Arial" w:hAnsi="Arial"/>
                <w:sz w:val="18"/>
                <w:szCs w:val="18"/>
                <w:color w:val="auto"/>
              </w:rPr>
              <w:t>● 8</w:t>
            </w:r>
          </w:p>
        </w:tc>
        <w:tc>
          <w:tcPr>
            <w:tcW w:w="1660" w:type="dxa"/>
            <w:vAlign w:val="bottom"/>
          </w:tcPr>
          <w:p>
            <w:pPr>
              <w:ind w:left="20"/>
              <w:spacing w:after="0" w:line="201" w:lineRule="exact"/>
              <w:rPr>
                <w:sz w:val="20"/>
                <w:szCs w:val="20"/>
                <w:color w:val="auto"/>
              </w:rPr>
            </w:pPr>
            <w:r>
              <w:rPr>
                <w:rFonts w:ascii="Arial" w:cs="Arial" w:eastAsia="Arial" w:hAnsi="Arial"/>
                <w:sz w:val="18"/>
                <w:szCs w:val="18"/>
                <w:color w:val="auto"/>
              </w:rPr>
              <w:t>(61.5%)</w:t>
            </w:r>
          </w:p>
        </w:tc>
        <w:tc>
          <w:tcPr>
            <w:tcW w:w="520" w:type="dxa"/>
            <w:vAlign w:val="bottom"/>
          </w:tcPr>
          <w:p>
            <w:pPr>
              <w:ind w:left="260"/>
              <w:spacing w:after="0" w:line="201" w:lineRule="exact"/>
              <w:rPr>
                <w:sz w:val="20"/>
                <w:szCs w:val="20"/>
                <w:color w:val="auto"/>
              </w:rPr>
            </w:pPr>
            <w:r>
              <w:rPr>
                <w:rFonts w:ascii="Arial" w:cs="Arial" w:eastAsia="Arial" w:hAnsi="Arial"/>
                <w:sz w:val="18"/>
                <w:szCs w:val="18"/>
                <w:color w:val="auto"/>
                <w:w w:val="92"/>
              </w:rPr>
              <w:t>● 7</w:t>
            </w:r>
          </w:p>
        </w:tc>
        <w:tc>
          <w:tcPr>
            <w:tcW w:w="1600" w:type="dxa"/>
            <w:vAlign w:val="bottom"/>
          </w:tcPr>
          <w:p>
            <w:pPr>
              <w:ind w:left="20"/>
              <w:spacing w:after="0" w:line="201" w:lineRule="exact"/>
              <w:rPr>
                <w:sz w:val="20"/>
                <w:szCs w:val="20"/>
                <w:color w:val="auto"/>
              </w:rPr>
            </w:pPr>
            <w:r>
              <w:rPr>
                <w:rFonts w:ascii="Arial" w:cs="Arial" w:eastAsia="Arial" w:hAnsi="Arial"/>
                <w:sz w:val="18"/>
                <w:szCs w:val="18"/>
                <w:color w:val="auto"/>
              </w:rPr>
              <w:t>(58.3%)</w:t>
            </w:r>
          </w:p>
        </w:tc>
        <w:tc>
          <w:tcPr>
            <w:tcW w:w="1660" w:type="dxa"/>
            <w:vAlign w:val="bottom"/>
            <w:gridSpan w:val="2"/>
          </w:tcPr>
          <w:p>
            <w:pPr>
              <w:ind w:left="660"/>
              <w:spacing w:after="0" w:line="201" w:lineRule="exact"/>
              <w:rPr>
                <w:sz w:val="20"/>
                <w:szCs w:val="20"/>
                <w:color w:val="auto"/>
              </w:rPr>
            </w:pPr>
            <w:r>
              <w:rPr>
                <w:rFonts w:ascii="Arial" w:cs="Arial" w:eastAsia="Arial" w:hAnsi="Arial"/>
                <w:sz w:val="18"/>
                <w:szCs w:val="18"/>
                <w:color w:val="auto"/>
                <w:w w:val="94"/>
              </w:rPr>
              <w:t>● 10 (76.9%)</w:t>
            </w:r>
          </w:p>
        </w:tc>
      </w:tr>
      <w:tr>
        <w:trPr>
          <w:trHeight w:val="237"/>
        </w:trPr>
        <w:tc>
          <w:tcPr>
            <w:tcW w:w="2420" w:type="dxa"/>
            <w:vAlign w:val="bottom"/>
            <w:gridSpan w:val="2"/>
          </w:tcPr>
          <w:p>
            <w:pPr>
              <w:spacing w:after="0"/>
              <w:rPr>
                <w:sz w:val="20"/>
                <w:szCs w:val="20"/>
                <w:color w:val="auto"/>
              </w:rPr>
            </w:pPr>
            <w:r>
              <w:rPr>
                <w:rFonts w:ascii="Arial" w:cs="Arial" w:eastAsia="Arial" w:hAnsi="Arial"/>
                <w:sz w:val="18"/>
                <w:szCs w:val="18"/>
                <w:color w:val="auto"/>
              </w:rPr>
              <w:t>AE</w:t>
            </w: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Number of SAEs</w:t>
            </w:r>
          </w:p>
        </w:tc>
        <w:tc>
          <w:tcPr>
            <w:tcW w:w="11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 0</w:t>
            </w:r>
          </w:p>
        </w:tc>
        <w:tc>
          <w:tcPr>
            <w:tcW w:w="1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w:t>
            </w:r>
          </w:p>
        </w:tc>
        <w:tc>
          <w:tcPr>
            <w:tcW w:w="10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 0</w:t>
            </w:r>
          </w:p>
        </w:tc>
        <w:tc>
          <w:tcPr>
            <w:tcW w:w="16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2"/>
              </w:rPr>
              <w:t>● 0</w:t>
            </w:r>
          </w:p>
        </w:tc>
        <w:tc>
          <w:tcPr>
            <w:tcW w:w="1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92"/>
              </w:rPr>
              <w:t>● 0</w:t>
            </w:r>
          </w:p>
        </w:tc>
        <w:tc>
          <w:tcPr>
            <w:tcW w:w="7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 Number of AEs resulting in</w:t>
            </w:r>
          </w:p>
        </w:tc>
        <w:tc>
          <w:tcPr>
            <w:tcW w:w="1140" w:type="dxa"/>
            <w:vAlign w:val="bottom"/>
          </w:tcPr>
          <w:p>
            <w:pPr>
              <w:ind w:left="860"/>
              <w:spacing w:after="0" w:line="201" w:lineRule="exact"/>
              <w:rPr>
                <w:sz w:val="20"/>
                <w:szCs w:val="20"/>
                <w:color w:val="auto"/>
              </w:rPr>
            </w:pPr>
            <w:r>
              <w:rPr>
                <w:rFonts w:ascii="Arial" w:cs="Arial" w:eastAsia="Arial" w:hAnsi="Arial"/>
                <w:sz w:val="18"/>
                <w:szCs w:val="18"/>
                <w:color w:val="auto"/>
              </w:rPr>
              <w:t>● 0</w:t>
            </w:r>
          </w:p>
        </w:tc>
        <w:tc>
          <w:tcPr>
            <w:tcW w:w="1340" w:type="dxa"/>
            <w:vAlign w:val="bottom"/>
          </w:tcPr>
          <w:p>
            <w:pPr>
              <w:ind w:left="20"/>
              <w:spacing w:after="0" w:line="201" w:lineRule="exact"/>
              <w:rPr>
                <w:sz w:val="20"/>
                <w:szCs w:val="20"/>
                <w:color w:val="auto"/>
              </w:rPr>
            </w:pPr>
            <w:r>
              <w:rPr>
                <w:rFonts w:ascii="Arial" w:cs="Arial" w:eastAsia="Arial" w:hAnsi="Arial"/>
                <w:sz w:val="18"/>
                <w:szCs w:val="18"/>
                <w:color w:val="auto"/>
              </w:rPr>
              <w:t>(0%)</w:t>
            </w:r>
          </w:p>
        </w:tc>
        <w:tc>
          <w:tcPr>
            <w:tcW w:w="1080" w:type="dxa"/>
            <w:vAlign w:val="bottom"/>
          </w:tcPr>
          <w:p>
            <w:pPr>
              <w:ind w:left="800"/>
              <w:spacing w:after="0" w:line="201" w:lineRule="exact"/>
              <w:rPr>
                <w:sz w:val="20"/>
                <w:szCs w:val="20"/>
                <w:color w:val="auto"/>
              </w:rPr>
            </w:pPr>
            <w:r>
              <w:rPr>
                <w:rFonts w:ascii="Arial" w:cs="Arial" w:eastAsia="Arial" w:hAnsi="Arial"/>
                <w:sz w:val="18"/>
                <w:szCs w:val="18"/>
                <w:color w:val="auto"/>
              </w:rPr>
              <w:t>● 0</w:t>
            </w:r>
          </w:p>
        </w:tc>
        <w:tc>
          <w:tcPr>
            <w:tcW w:w="1660" w:type="dxa"/>
            <w:vAlign w:val="bottom"/>
          </w:tcPr>
          <w:p>
            <w:pPr>
              <w:ind w:left="20"/>
              <w:spacing w:after="0" w:line="201" w:lineRule="exact"/>
              <w:rPr>
                <w:sz w:val="20"/>
                <w:szCs w:val="20"/>
                <w:color w:val="auto"/>
              </w:rPr>
            </w:pPr>
            <w:r>
              <w:rPr>
                <w:rFonts w:ascii="Arial" w:cs="Arial" w:eastAsia="Arial" w:hAnsi="Arial"/>
                <w:sz w:val="18"/>
                <w:szCs w:val="18"/>
                <w:color w:val="auto"/>
              </w:rPr>
              <w:t>(0%)</w:t>
            </w:r>
          </w:p>
        </w:tc>
        <w:tc>
          <w:tcPr>
            <w:tcW w:w="520" w:type="dxa"/>
            <w:vAlign w:val="bottom"/>
          </w:tcPr>
          <w:p>
            <w:pPr>
              <w:ind w:left="260"/>
              <w:spacing w:after="0" w:line="201" w:lineRule="exact"/>
              <w:rPr>
                <w:sz w:val="20"/>
                <w:szCs w:val="20"/>
                <w:color w:val="auto"/>
              </w:rPr>
            </w:pPr>
            <w:r>
              <w:rPr>
                <w:rFonts w:ascii="Arial" w:cs="Arial" w:eastAsia="Arial" w:hAnsi="Arial"/>
                <w:sz w:val="18"/>
                <w:szCs w:val="18"/>
                <w:color w:val="auto"/>
                <w:w w:val="92"/>
              </w:rPr>
              <w:t>● 0</w:t>
            </w:r>
          </w:p>
        </w:tc>
        <w:tc>
          <w:tcPr>
            <w:tcW w:w="1600" w:type="dxa"/>
            <w:vAlign w:val="bottom"/>
          </w:tcPr>
          <w:p>
            <w:pPr>
              <w:ind w:left="20"/>
              <w:spacing w:after="0" w:line="201" w:lineRule="exact"/>
              <w:rPr>
                <w:sz w:val="20"/>
                <w:szCs w:val="20"/>
                <w:color w:val="auto"/>
              </w:rPr>
            </w:pPr>
            <w:r>
              <w:rPr>
                <w:rFonts w:ascii="Arial" w:cs="Arial" w:eastAsia="Arial" w:hAnsi="Arial"/>
                <w:sz w:val="18"/>
                <w:szCs w:val="18"/>
                <w:color w:val="auto"/>
              </w:rPr>
              <w:t>(0%)</w:t>
            </w:r>
          </w:p>
        </w:tc>
        <w:tc>
          <w:tcPr>
            <w:tcW w:w="920" w:type="dxa"/>
            <w:vAlign w:val="bottom"/>
          </w:tcPr>
          <w:p>
            <w:pPr>
              <w:ind w:left="660"/>
              <w:spacing w:after="0" w:line="201" w:lineRule="exact"/>
              <w:rPr>
                <w:sz w:val="20"/>
                <w:szCs w:val="20"/>
                <w:color w:val="auto"/>
              </w:rPr>
            </w:pPr>
            <w:r>
              <w:rPr>
                <w:rFonts w:ascii="Arial" w:cs="Arial" w:eastAsia="Arial" w:hAnsi="Arial"/>
                <w:sz w:val="18"/>
                <w:szCs w:val="18"/>
                <w:color w:val="auto"/>
                <w:w w:val="92"/>
              </w:rPr>
              <w:t>● 0</w:t>
            </w:r>
          </w:p>
        </w:tc>
        <w:tc>
          <w:tcPr>
            <w:tcW w:w="740" w:type="dxa"/>
            <w:vAlign w:val="bottom"/>
          </w:tcPr>
          <w:p>
            <w:pPr>
              <w:ind w:left="20"/>
              <w:spacing w:after="0" w:line="201" w:lineRule="exact"/>
              <w:rPr>
                <w:sz w:val="20"/>
                <w:szCs w:val="20"/>
                <w:color w:val="auto"/>
              </w:rPr>
            </w:pPr>
            <w:r>
              <w:rPr>
                <w:rFonts w:ascii="Arial" w:cs="Arial" w:eastAsia="Arial" w:hAnsi="Arial"/>
                <w:sz w:val="18"/>
                <w:szCs w:val="18"/>
                <w:color w:val="auto"/>
              </w:rPr>
              <w:t>(0%)</w:t>
            </w:r>
          </w:p>
        </w:tc>
      </w:tr>
      <w:tr>
        <w:trPr>
          <w:trHeight w:val="237"/>
        </w:trPr>
        <w:tc>
          <w:tcPr>
            <w:tcW w:w="2420" w:type="dxa"/>
            <w:vAlign w:val="bottom"/>
            <w:gridSpan w:val="2"/>
          </w:tcPr>
          <w:p>
            <w:pPr>
              <w:spacing w:after="0"/>
              <w:rPr>
                <w:sz w:val="20"/>
                <w:szCs w:val="20"/>
                <w:color w:val="auto"/>
              </w:rPr>
            </w:pPr>
            <w:r>
              <w:rPr>
                <w:rFonts w:ascii="Arial" w:cs="Arial" w:eastAsia="Arial" w:hAnsi="Arial"/>
                <w:sz w:val="18"/>
                <w:szCs w:val="18"/>
                <w:color w:val="auto"/>
              </w:rPr>
              <w:t>death</w:t>
            </w: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4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Number of AEs leading to</w:t>
            </w:r>
          </w:p>
        </w:tc>
        <w:tc>
          <w:tcPr>
            <w:tcW w:w="1140" w:type="dxa"/>
            <w:vAlign w:val="bottom"/>
            <w:tcBorders>
              <w:top w:val="single" w:sz="8" w:color="auto"/>
            </w:tcBorders>
            <w:shd w:val="clear" w:color="auto" w:fill="CCEEFF"/>
          </w:tcPr>
          <w:p>
            <w:pPr>
              <w:ind w:left="860"/>
              <w:spacing w:after="0" w:line="201" w:lineRule="exact"/>
              <w:rPr>
                <w:sz w:val="20"/>
                <w:szCs w:val="20"/>
                <w:color w:val="auto"/>
              </w:rPr>
            </w:pPr>
            <w:r>
              <w:rPr>
                <w:rFonts w:ascii="Arial" w:cs="Arial" w:eastAsia="Arial" w:hAnsi="Arial"/>
                <w:sz w:val="18"/>
                <w:szCs w:val="18"/>
                <w:color w:val="auto"/>
              </w:rPr>
              <w:t>● 0</w:t>
            </w:r>
          </w:p>
        </w:tc>
        <w:tc>
          <w:tcPr>
            <w:tcW w:w="134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(0%)</w:t>
            </w:r>
          </w:p>
        </w:tc>
        <w:tc>
          <w:tcPr>
            <w:tcW w:w="1080" w:type="dxa"/>
            <w:vAlign w:val="bottom"/>
            <w:tcBorders>
              <w:top w:val="single" w:sz="8" w:color="auto"/>
            </w:tcBorders>
            <w:shd w:val="clear" w:color="auto" w:fill="CCEEFF"/>
          </w:tcPr>
          <w:p>
            <w:pPr>
              <w:ind w:left="800"/>
              <w:spacing w:after="0" w:line="201" w:lineRule="exact"/>
              <w:rPr>
                <w:sz w:val="20"/>
                <w:szCs w:val="20"/>
                <w:color w:val="auto"/>
              </w:rPr>
            </w:pPr>
            <w:r>
              <w:rPr>
                <w:rFonts w:ascii="Arial" w:cs="Arial" w:eastAsia="Arial" w:hAnsi="Arial"/>
                <w:sz w:val="18"/>
                <w:szCs w:val="18"/>
                <w:color w:val="auto"/>
              </w:rPr>
              <w:t>● 0</w:t>
            </w:r>
          </w:p>
        </w:tc>
        <w:tc>
          <w:tcPr>
            <w:tcW w:w="166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(0%)</w:t>
            </w:r>
          </w:p>
        </w:tc>
        <w:tc>
          <w:tcPr>
            <w:tcW w:w="520" w:type="dxa"/>
            <w:vAlign w:val="bottom"/>
            <w:tcBorders>
              <w:top w:val="single" w:sz="8" w:color="auto"/>
            </w:tcBorders>
            <w:shd w:val="clear" w:color="auto" w:fill="CCEEFF"/>
          </w:tcPr>
          <w:p>
            <w:pPr>
              <w:ind w:left="260"/>
              <w:spacing w:after="0" w:line="201" w:lineRule="exact"/>
              <w:rPr>
                <w:sz w:val="20"/>
                <w:szCs w:val="20"/>
                <w:color w:val="auto"/>
              </w:rPr>
            </w:pPr>
            <w:r>
              <w:rPr>
                <w:rFonts w:ascii="Arial" w:cs="Arial" w:eastAsia="Arial" w:hAnsi="Arial"/>
                <w:sz w:val="18"/>
                <w:szCs w:val="18"/>
                <w:color w:val="auto"/>
                <w:w w:val="92"/>
              </w:rPr>
              <w:t>● 0</w:t>
            </w:r>
          </w:p>
        </w:tc>
        <w:tc>
          <w:tcPr>
            <w:tcW w:w="160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(0%)</w:t>
            </w:r>
          </w:p>
        </w:tc>
        <w:tc>
          <w:tcPr>
            <w:tcW w:w="920" w:type="dxa"/>
            <w:vAlign w:val="bottom"/>
            <w:tcBorders>
              <w:top w:val="single" w:sz="8" w:color="auto"/>
            </w:tcBorders>
            <w:shd w:val="clear" w:color="auto" w:fill="CCEEFF"/>
          </w:tcPr>
          <w:p>
            <w:pPr>
              <w:ind w:left="660"/>
              <w:spacing w:after="0" w:line="201" w:lineRule="exact"/>
              <w:rPr>
                <w:sz w:val="20"/>
                <w:szCs w:val="20"/>
                <w:color w:val="auto"/>
              </w:rPr>
            </w:pPr>
            <w:r>
              <w:rPr>
                <w:rFonts w:ascii="Arial" w:cs="Arial" w:eastAsia="Arial" w:hAnsi="Arial"/>
                <w:sz w:val="18"/>
                <w:szCs w:val="18"/>
                <w:color w:val="auto"/>
                <w:w w:val="92"/>
              </w:rPr>
              <w:t>● 1</w:t>
            </w:r>
          </w:p>
        </w:tc>
        <w:tc>
          <w:tcPr>
            <w:tcW w:w="74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rPr>
              <w:t>(7.7%)</w:t>
            </w:r>
          </w:p>
        </w:tc>
      </w:tr>
      <w:tr>
        <w:trPr>
          <w:trHeight w:val="271"/>
        </w:trPr>
        <w:tc>
          <w:tcPr>
            <w:tcW w:w="20" w:type="dxa"/>
            <w:vAlign w:val="bottom"/>
          </w:tcPr>
          <w:p>
            <w:pPr>
              <w:spacing w:after="0"/>
              <w:rPr>
                <w:sz w:val="23"/>
                <w:szCs w:val="23"/>
                <w:color w:val="auto"/>
              </w:rPr>
            </w:pPr>
          </w:p>
        </w:tc>
        <w:tc>
          <w:tcPr>
            <w:tcW w:w="2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discontinuation of study drug</w:t>
            </w:r>
          </w:p>
        </w:tc>
        <w:tc>
          <w:tcPr>
            <w:tcW w:w="1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r>
    </w:tbl>
    <w:p>
      <w:pPr>
        <w:ind w:left="500"/>
        <w:spacing w:after="0"/>
        <w:rPr>
          <w:sz w:val="20"/>
          <w:szCs w:val="20"/>
          <w:color w:val="auto"/>
        </w:rPr>
      </w:pPr>
      <w:r>
        <w:rPr>
          <w:rFonts w:ascii="Arial" w:cs="Arial" w:eastAsia="Arial" w:hAnsi="Arial"/>
          <w:sz w:val="18"/>
          <w:szCs w:val="18"/>
          <w:color w:val="auto"/>
        </w:rPr>
        <w:t>AE = adverse event; SAE = serious adverse event.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the reported AEs were nervous system disorders (23 subjects, 46% of subjects) and gastrointestinal disorders (7 subjects, 14.0%). The remaining AEs were classified as eye disorders (3 subjects, 6.0%); psychiatric disorders (3 subjects, 6.0%); respiratory, thoracic, and mediastinal disorders (3, 6.0%); skin and subcutaneous tissue disorders (3 subjects, 6.0%); general disorders and administration site conditions (2 subjects, 4.0%); cardiac disorders (1 subject, 2.0%); infections and infestations (1 subject, 2.0%); musculoskeletal and connective tissue disorders (1 subject, 2.0%); and renal disorders (1 subject, 2.0%).</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distribution of AEs by System Organ Class was similar among the cohorts with the exception of headaches and gastrointestinal disorders. Eight of the 18 (44.4%) reported headaches were in the placebo group, 6 (33.3%) were in the 1,080-mg group, 3 (16.7%) were in the 1,440-mg group, and 1 (5.6%) was in the 360-mg group. Three (42.9%) of the 7 reported gastrointestinal disorders were in the 360-mg group, 2 (28.6%) were in the placebo group, 1 (14.3%) was in the 1,080-mg group, and 1 (14.3%) was in the 1,440-mg group.</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determination of the relationship of the AE to the study drug was made when the data were blinded. Ten of the 15 AEs (66.7%) that occurred in the 360-mg AV-101 group, 10 of the 14 AEs (71.4%) that occurred in the 1,040-mg AV-101 group, 7 of the 10 AEs (70.0%) that occurred in the 1,440-mg AV-101 group, and 13 of the 17 AEs (76.5%) that occurred in the placebo group were determined to be possibly related to study drug. One (5.9%) AE in the placebo group was probably related to study drug (rash around neck). Of the 57 reported AEs, 49 (85.9%) were of mild intensity and 8 (14.0%) were of moderate intensity. There were 2 moderate intensity AEs in the 360-mg AV-101 group; 1 was unrelated pain in the right foot, and 1 was a possibly related headache. All other moderate AEs occurred in the placebo group and included nausea or vomiting (2 AEs), headache (2 AEs), and rash around the neck (1 AE). No severe AEs were reported.</w:t>
      </w:r>
    </w:p>
    <w:p>
      <w:pPr>
        <w:spacing w:after="0" w:line="18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Even though these safety studies were not designed to quantitatively assess effects on mood, during the interviews certain subjects who received 360, 1080, and 1440 mg of AV-101, voluntarily acknowledged positive effects on mood. Similar comments were not made by any of the placebo-group subjects.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1b Pharmacokinetics Summary</w:t>
      </w:r>
    </w:p>
    <w:p>
      <w:pPr>
        <w:spacing w:after="0" w:line="22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Concentration-time data were obtained after dosing of the three cohorts. Plasma concentrations of 4-Cl-KYN (AV-101) and the metabolite, 7-Cl-KYNA, were obtained from subjects that received AV-101. PK parameters were calculated by using WinNonlin Pro Version 5.3. Parameters calculated included Cmax, Tmax, AUC</w:t>
      </w:r>
      <w:r>
        <w:rPr>
          <w:rFonts w:ascii="Arial" w:cs="Arial" w:eastAsia="Arial" w:hAnsi="Arial"/>
          <w:sz w:val="25"/>
          <w:szCs w:val="25"/>
          <w:color w:val="auto"/>
          <w:vertAlign w:val="subscript"/>
        </w:rPr>
        <w:t>0-t</w:t>
      </w:r>
      <w:r>
        <w:rPr>
          <w:rFonts w:ascii="Arial" w:cs="Arial" w:eastAsia="Arial" w:hAnsi="Arial"/>
          <w:sz w:val="18"/>
          <w:szCs w:val="18"/>
          <w:color w:val="auto"/>
        </w:rPr>
        <w:t>, AUC</w:t>
      </w:r>
      <w:r>
        <w:rPr>
          <w:rFonts w:ascii="Arial" w:cs="Arial" w:eastAsia="Arial" w:hAnsi="Arial"/>
          <w:sz w:val="25"/>
          <w:szCs w:val="25"/>
          <w:color w:val="auto"/>
          <w:vertAlign w:val="subscript"/>
        </w:rPr>
        <w:t>0-∞</w:t>
      </w:r>
      <w:r>
        <w:rPr>
          <w:rFonts w:ascii="Arial" w:cs="Arial" w:eastAsia="Arial" w:hAnsi="Arial"/>
          <w:sz w:val="18"/>
          <w:szCs w:val="18"/>
          <w:color w:val="auto"/>
        </w:rPr>
        <w:t>, and t</w:t>
      </w:r>
      <w:r>
        <w:rPr>
          <w:rFonts w:ascii="Arial" w:cs="Arial" w:eastAsia="Arial" w:hAnsi="Arial"/>
          <w:sz w:val="25"/>
          <w:szCs w:val="25"/>
          <w:color w:val="auto"/>
          <w:vertAlign w:val="subscript"/>
        </w:rPr>
        <w:t>1/2</w:t>
      </w:r>
      <w:r>
        <w:rPr>
          <w:rFonts w:ascii="Arial" w:cs="Arial" w:eastAsia="Arial" w:hAnsi="Arial"/>
          <w:sz w:val="18"/>
          <w:szCs w:val="18"/>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7"/>
          <w:szCs w:val="17"/>
          <w:color w:val="auto"/>
        </w:rPr>
        <w:t>Plasma concentration-time profiles obtained for 4-Cl-KYN after administration of once-daily oral doses of 360, 1,080, or 1,440 mg AV-101 were consistent with rapid absorption of the oral dose and first-order elimination of both 4-Cl-KYN and 7-Cl-KYNA, with evidence of multicompartment kinetics, particularly for the metabolite 7-Cl-KYNA. Several subjects had plasma concentration-time profiles with a last measurable sample that appeared to be an outlier or suggested multicompartment kinetics, making it challenging to identify a terminal log-linear elimination phase. Particularly for 7-Cl-KYNA, using the last two measurable samples to calculate t</w:t>
      </w:r>
      <w:r>
        <w:rPr>
          <w:rFonts w:ascii="Arial" w:cs="Arial" w:eastAsia="Arial" w:hAnsi="Arial"/>
          <w:sz w:val="24"/>
          <w:szCs w:val="24"/>
          <w:color w:val="auto"/>
          <w:vertAlign w:val="subscript"/>
        </w:rPr>
        <w:t>1/2</w:t>
      </w:r>
      <w:r>
        <w:rPr>
          <w:rFonts w:ascii="Arial" w:cs="Arial" w:eastAsia="Arial" w:hAnsi="Arial"/>
          <w:sz w:val="17"/>
          <w:szCs w:val="17"/>
          <w:color w:val="auto"/>
        </w:rPr>
        <w:t xml:space="preserve"> resulted in unrealistic values for some subjects.</w:t>
      </w:r>
    </w:p>
    <w:p>
      <w:pPr>
        <w:spacing w:after="0" w:line="177" w:lineRule="exact"/>
        <w:rPr>
          <w:sz w:val="20"/>
          <w:szCs w:val="20"/>
          <w:color w:val="auto"/>
        </w:rPr>
      </w:pPr>
    </w:p>
    <w:p>
      <w:pPr>
        <w:jc w:val="both"/>
        <w:ind w:firstLine="810"/>
        <w:spacing w:after="0" w:line="214" w:lineRule="auto"/>
        <w:rPr>
          <w:sz w:val="20"/>
          <w:szCs w:val="20"/>
          <w:color w:val="auto"/>
        </w:rPr>
      </w:pPr>
      <w:r>
        <w:rPr>
          <w:rFonts w:ascii="Arial" w:cs="Arial" w:eastAsia="Arial" w:hAnsi="Arial"/>
          <w:sz w:val="17"/>
          <w:szCs w:val="17"/>
          <w:color w:val="auto"/>
        </w:rPr>
        <w:t>Plasma concentration-time profiles for 4-Cl-KYN were more consistently single compartment, but several had a subtle multicompartment appearance. To be consistent in the calculation of t</w:t>
      </w:r>
      <w:r>
        <w:rPr>
          <w:rFonts w:ascii="Arial" w:cs="Arial" w:eastAsia="Arial" w:hAnsi="Arial"/>
          <w:sz w:val="24"/>
          <w:szCs w:val="24"/>
          <w:color w:val="auto"/>
          <w:vertAlign w:val="subscript"/>
        </w:rPr>
        <w:t>1/2</w:t>
      </w:r>
      <w:r>
        <w:rPr>
          <w:rFonts w:ascii="Arial" w:cs="Arial" w:eastAsia="Arial" w:hAnsi="Arial"/>
          <w:sz w:val="17"/>
          <w:szCs w:val="17"/>
          <w:color w:val="auto"/>
        </w:rPr>
        <w:t xml:space="preserve"> and to report a meaningful value, the final three samples with measurable concentrations were used to calculate t</w:t>
      </w:r>
      <w:r>
        <w:rPr>
          <w:rFonts w:ascii="Arial" w:cs="Arial" w:eastAsia="Arial" w:hAnsi="Arial"/>
          <w:sz w:val="24"/>
          <w:szCs w:val="24"/>
          <w:color w:val="auto"/>
          <w:vertAlign w:val="subscript"/>
        </w:rPr>
        <w:t>1/2</w:t>
      </w:r>
      <w:r>
        <w:rPr>
          <w:rFonts w:ascii="Arial" w:cs="Arial" w:eastAsia="Arial" w:hAnsi="Arial"/>
          <w:sz w:val="17"/>
          <w:szCs w:val="17"/>
          <w:color w:val="auto"/>
        </w:rPr>
        <w:t xml:space="preserve"> for subjects for whom those samples appeared to be log-linear. Otherwise, the last sample was essentially treated as an outlier, and the prior samples in the log-linear phase were used to calculate t</w:t>
      </w:r>
      <w:r>
        <w:rPr>
          <w:rFonts w:ascii="Arial" w:cs="Arial" w:eastAsia="Arial" w:hAnsi="Arial"/>
          <w:sz w:val="24"/>
          <w:szCs w:val="24"/>
          <w:color w:val="auto"/>
          <w:vertAlign w:val="subscript"/>
        </w:rPr>
        <w:t>1/2</w:t>
      </w:r>
      <w:r>
        <w:rPr>
          <w:rFonts w:ascii="Arial" w:cs="Arial" w:eastAsia="Arial" w:hAnsi="Arial"/>
          <w:sz w:val="17"/>
          <w:szCs w:val="17"/>
          <w:color w:val="auto"/>
        </w:rPr>
        <w:t xml:space="preserve"> (these samples had a higher coefficient of determination value than the last three samples). In addition, the AUC</w:t>
      </w:r>
      <w:r>
        <w:rPr>
          <w:rFonts w:ascii="Arial" w:cs="Arial" w:eastAsia="Arial" w:hAnsi="Arial"/>
          <w:sz w:val="24"/>
          <w:szCs w:val="24"/>
          <w:color w:val="auto"/>
          <w:vertAlign w:val="subscript"/>
        </w:rPr>
        <w:t>0-∞</w:t>
      </w:r>
      <w:r>
        <w:rPr>
          <w:rFonts w:ascii="Arial" w:cs="Arial" w:eastAsia="Arial" w:hAnsi="Arial"/>
          <w:sz w:val="17"/>
          <w:szCs w:val="17"/>
          <w:color w:val="auto"/>
        </w:rPr>
        <w:t xml:space="preserve"> values reported are calculated using the predicted last value rather than observed.</w:t>
      </w:r>
    </w:p>
    <w:p>
      <w:pPr>
        <w:spacing w:after="0" w:line="192" w:lineRule="exact"/>
        <w:rPr>
          <w:sz w:val="20"/>
          <w:szCs w:val="20"/>
          <w:color w:val="auto"/>
        </w:rPr>
      </w:pPr>
    </w:p>
    <w:p>
      <w:pPr>
        <w:jc w:val="both"/>
        <w:ind w:firstLine="810"/>
        <w:spacing w:after="0" w:line="231" w:lineRule="auto"/>
        <w:rPr>
          <w:sz w:val="20"/>
          <w:szCs w:val="20"/>
          <w:color w:val="auto"/>
        </w:rPr>
      </w:pPr>
      <w:r>
        <w:rPr>
          <w:rFonts w:ascii="Arial" w:cs="Arial" w:eastAsia="Arial" w:hAnsi="Arial"/>
          <w:sz w:val="18"/>
          <w:szCs w:val="18"/>
          <w:color w:val="auto"/>
        </w:rPr>
        <w:t>An absolute bioavailability evaluation is not possible from the data; however, an estimate of exposure can be done by comparing the AUC at the same doses. The mean AUC</w:t>
      </w:r>
      <w:r>
        <w:rPr>
          <w:rFonts w:ascii="Arial" w:cs="Arial" w:eastAsia="Arial" w:hAnsi="Arial"/>
          <w:sz w:val="25"/>
          <w:szCs w:val="25"/>
          <w:color w:val="auto"/>
          <w:vertAlign w:val="subscript"/>
        </w:rPr>
        <w:t>0-∞</w:t>
      </w:r>
      <w:r>
        <w:rPr>
          <w:rFonts w:ascii="Arial" w:cs="Arial" w:eastAsia="Arial" w:hAnsi="Arial"/>
          <w:sz w:val="18"/>
          <w:szCs w:val="18"/>
          <w:color w:val="auto"/>
        </w:rPr>
        <w:t>values in the Phase 1b study were higher at all three doses than seen in Phase 1a study, suggesting similar or even higher bioavailability than that in the Phase 1a study, i.e ≥ 31%.</w:t>
      </w:r>
    </w:p>
    <w:p>
      <w:pPr>
        <w:spacing w:after="0" w:line="203"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In conclusion, the PK of AV-101 was fully characterized across the range of doses in this study. Plasma concentration-time profiles obtained for 4-Cl-KYN (AV-101) and 7-Cl-KYNA after administration of a single and multiple, once daily oral doses of 360, 1,080, or 1,440 mg were consistent with rapid absorption of the oral dose and first-order elimination of both analytes, with evidence of multi-compartment kinetics, particularly for the metabolite 7-Cl-KYNA.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1 - Overall Safety Conclusions</w:t>
      </w:r>
    </w:p>
    <w:p>
      <w:pPr>
        <w:spacing w:after="0" w:line="225" w:lineRule="exact"/>
        <w:rPr>
          <w:sz w:val="20"/>
          <w:szCs w:val="20"/>
          <w:color w:val="auto"/>
        </w:rPr>
      </w:pPr>
    </w:p>
    <w:p>
      <w:pPr>
        <w:jc w:val="both"/>
        <w:ind w:firstLine="810"/>
        <w:spacing w:after="0" w:line="297" w:lineRule="auto"/>
        <w:rPr>
          <w:sz w:val="20"/>
          <w:szCs w:val="20"/>
          <w:color w:val="auto"/>
        </w:rPr>
      </w:pPr>
      <w:r>
        <w:rPr>
          <w:rFonts w:ascii="Arial" w:cs="Arial" w:eastAsia="Arial" w:hAnsi="Arial"/>
          <w:sz w:val="16"/>
          <w:szCs w:val="16"/>
          <w:color w:val="auto"/>
        </w:rPr>
        <w:t>The Phase 1a and Phase 1b safety data indicate that AV-101 was safe and well tolerated at all three doses tested. Overall, 57 AEs were reported by 34 subjects, with 17 AEs (29.8%) occurring in the placebo group. There was a higher rate of AEs reported from subjects that received placebo than from subjects that received AV-101. A total of 40 AEs were reported by 24 of 37 (64.9%) subjects receiving AV-101, and 17 AEs were reported by 10 of 13 (76.9%) subject receiving placebo. Additionally, 49 of the 57 total AEs (85.9%) were considered mild, and the remaining 8 AEs (14.0%) were considered moderate. Of these AEs, headache (nervous system disorder) was the most commonly reported preferred term. All of the AEs were completely resolved.</w:t>
      </w:r>
    </w:p>
    <w:p>
      <w:pPr>
        <w:spacing w:after="0" w:line="158" w:lineRule="exact"/>
        <w:rPr>
          <w:sz w:val="20"/>
          <w:szCs w:val="20"/>
          <w:color w:val="auto"/>
        </w:rPr>
      </w:pPr>
    </w:p>
    <w:p>
      <w:pPr>
        <w:jc w:val="both"/>
        <w:ind w:right="20" w:firstLine="810"/>
        <w:spacing w:after="0" w:line="312" w:lineRule="auto"/>
        <w:rPr>
          <w:sz w:val="20"/>
          <w:szCs w:val="20"/>
          <w:color w:val="auto"/>
        </w:rPr>
      </w:pPr>
      <w:r>
        <w:rPr>
          <w:rFonts w:ascii="Arial" w:cs="Arial" w:eastAsia="Arial" w:hAnsi="Arial"/>
          <w:sz w:val="16"/>
          <w:szCs w:val="16"/>
          <w:color w:val="auto"/>
        </w:rPr>
        <w:t>Overall, the safety results indicate AV-101 is safe and well tolerated in healthy subjects. Subjects receiving AV-101 reported a lower percentage of AEs relative to subjects receiving placebo. Moreover, there were no AEs reported by subjects that received AV-101 that were graded as probably related to study drug. The type and distribution of AEs reported by subjects in this study was considered to be typical for a study in healthy volunteers.</w:t>
      </w:r>
    </w:p>
    <w:p>
      <w:pPr>
        <w:spacing w:after="0" w:line="147"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A total of 40 AEs were reported by 24 of 37 (64.9%) subjects receiving AV-101, and 17 AEs were reported by 10 of 13 (76.9%) subject receiving placebo (Table 2). The frequency of AEs was similar among the treatment groups. Thirty-four subjects experienced a total of 57 AEs, with 16 (28.1% of the total AEs) in the 360-mg group, 14 (24.6% of the total AEs) in the 1,040-mg group, 10 (17.5% of the total AEs) in the 1,440-mg group, and 17 (29.8% of the total AEs) in the placebo group. All of the AEs were completely resolved.</w:t>
      </w:r>
    </w:p>
    <w:p>
      <w:pPr>
        <w:spacing w:after="0" w:line="214" w:lineRule="exact"/>
        <w:rPr>
          <w:sz w:val="20"/>
          <w:szCs w:val="20"/>
          <w:color w:val="auto"/>
        </w:rPr>
      </w:pPr>
    </w:p>
    <w:p>
      <w:pPr>
        <w:jc w:val="both"/>
        <w:ind w:firstLine="810"/>
        <w:spacing w:after="0" w:line="257" w:lineRule="auto"/>
        <w:rPr>
          <w:sz w:val="20"/>
          <w:szCs w:val="20"/>
          <w:color w:val="auto"/>
        </w:rPr>
      </w:pPr>
      <w:r>
        <w:rPr>
          <w:rFonts w:ascii="Arial" w:cs="Arial" w:eastAsia="Arial" w:hAnsi="Arial"/>
          <w:sz w:val="18"/>
          <w:szCs w:val="18"/>
          <w:color w:val="auto"/>
        </w:rPr>
        <w:t>Although the Phase 1 safety and pharmacokinetic studies were not designed to measure or evaluate the potential antidepressant effects of AV-101, approximately 9% (5/57) of the healthy volunteer subjects receiving AV-101 and 0% of the 31 subjects receiving placebo reported “feelings of wellbeing” (coded as euphoric mood), similar to the rapid-onset antidepressant effects reported in the literature with ketamine. Table 3 lists the percent of adverse events reported by the subjects in each of the two Phase 1 studies and the number of events reported as euphoric mood per number of subjects on placebo and AV-101.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Table 1. Reports of Well-Being (coded as Euphoric Mood) in Phase 1 Clinical Studies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520" w:type="dxa"/>
            <w:vAlign w:val="bottom"/>
          </w:tcPr>
          <w:p>
            <w:pPr>
              <w:ind w:left="1480"/>
              <w:spacing w:after="0"/>
              <w:rPr>
                <w:sz w:val="20"/>
                <w:szCs w:val="20"/>
                <w:color w:val="auto"/>
              </w:rPr>
            </w:pPr>
            <w:r>
              <w:rPr>
                <w:rFonts w:ascii="Arial" w:cs="Arial" w:eastAsia="Arial" w:hAnsi="Arial"/>
                <w:sz w:val="18"/>
                <w:szCs w:val="18"/>
                <w:color w:val="auto"/>
              </w:rPr>
              <w:t>Placebo</w:t>
            </w:r>
          </w:p>
        </w:tc>
        <w:tc>
          <w:tcPr>
            <w:tcW w:w="2420" w:type="dxa"/>
            <w:vAlign w:val="bottom"/>
          </w:tcPr>
          <w:p>
            <w:pPr>
              <w:ind w:left="320"/>
              <w:spacing w:after="0"/>
              <w:rPr>
                <w:sz w:val="20"/>
                <w:szCs w:val="20"/>
                <w:color w:val="auto"/>
              </w:rPr>
            </w:pPr>
            <w:r>
              <w:rPr>
                <w:rFonts w:ascii="Arial" w:cs="Arial" w:eastAsia="Arial" w:hAnsi="Arial"/>
                <w:sz w:val="18"/>
                <w:szCs w:val="18"/>
                <w:color w:val="auto"/>
              </w:rPr>
              <w:t>AV-101</w:t>
            </w:r>
          </w:p>
        </w:tc>
      </w:tr>
      <w:tr>
        <w:trPr>
          <w:trHeight w:val="237"/>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 of Adverse Events/N</w:t>
            </w:r>
          </w:p>
        </w:tc>
        <w:tc>
          <w:tcPr>
            <w:tcW w:w="2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 of Adverse Events/N</w:t>
            </w: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Phase 1a</w:t>
            </w:r>
          </w:p>
        </w:tc>
        <w:tc>
          <w:tcPr>
            <w:tcW w:w="352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52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Nonserious Adverse Events</w:t>
            </w: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22% (4/18)</w:t>
            </w:r>
          </w:p>
        </w:tc>
        <w:tc>
          <w:tcPr>
            <w:tcW w:w="2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28% (5/18)</w:t>
            </w: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52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Feelings of Well-being (coded as euphoric mood)</w:t>
            </w: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0% (0/18)</w:t>
            </w:r>
          </w:p>
        </w:tc>
        <w:tc>
          <w:tcPr>
            <w:tcW w:w="2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11% (2/18)</w:t>
            </w: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Phase 1b</w:t>
            </w:r>
          </w:p>
        </w:tc>
        <w:tc>
          <w:tcPr>
            <w:tcW w:w="352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52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Nonserious Adverse Events</w:t>
            </w: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77% (10/13)</w:t>
            </w:r>
          </w:p>
        </w:tc>
        <w:tc>
          <w:tcPr>
            <w:tcW w:w="2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65% (24/37)</w:t>
            </w: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52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Feelings of Well-being (coded as euphoric mood)</w:t>
            </w: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0% (0/13)</w:t>
            </w:r>
          </w:p>
        </w:tc>
        <w:tc>
          <w:tcPr>
            <w:tcW w:w="2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8% (3/37)</w:t>
            </w:r>
          </w:p>
        </w:tc>
      </w:tr>
      <w:tr>
        <w:trPr>
          <w:trHeight w:val="223"/>
        </w:trPr>
        <w:tc>
          <w:tcPr>
            <w:tcW w:w="20" w:type="dxa"/>
            <w:vAlign w:val="bottom"/>
          </w:tcPr>
          <w:p>
            <w:pPr>
              <w:spacing w:after="0"/>
              <w:rPr>
                <w:sz w:val="19"/>
                <w:szCs w:val="19"/>
                <w:color w:val="auto"/>
              </w:rPr>
            </w:pPr>
          </w:p>
        </w:tc>
        <w:tc>
          <w:tcPr>
            <w:tcW w:w="54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Phase 1a and 1b (combined)</w:t>
            </w:r>
          </w:p>
        </w:tc>
        <w:tc>
          <w:tcPr>
            <w:tcW w:w="352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52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Feelings of Well-being (coded as euphoric mood)</w:t>
            </w:r>
          </w:p>
        </w:tc>
        <w:tc>
          <w:tcPr>
            <w:tcW w:w="352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0% (0/31)</w:t>
            </w:r>
          </w:p>
        </w:tc>
        <w:tc>
          <w:tcPr>
            <w:tcW w:w="2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9% (5/55)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 = number of subjects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53" w:name="page54"/>
    <w:bookmarkEnd w:id="53"/>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810"/>
        <w:spacing w:after="0" w:line="259" w:lineRule="auto"/>
        <w:rPr>
          <w:sz w:val="20"/>
          <w:szCs w:val="20"/>
          <w:color w:val="auto"/>
        </w:rPr>
      </w:pPr>
      <w:r>
        <w:rPr>
          <w:rFonts w:ascii="Arial" w:cs="Arial" w:eastAsia="Arial" w:hAnsi="Arial"/>
          <w:sz w:val="18"/>
          <w:szCs w:val="18"/>
          <w:color w:val="auto"/>
        </w:rPr>
        <w:t>The five events of feeling of well-being (coded as euphoric mood) occurred in one subject each at 360 (7%, 1 of 15 subjects) and 1,080 mg (6%, 1 of 16 subjects), and three subjects at 1,440 mg (20%, 3 of 15 subjects) in the Phase 1a and Phase 1b clinical studies. Four of the five subjects reporting well-being/euphoric mood did not have any other adverse experiences, and one subject (1,080 mg) also reported a mild headache. These results suggest a dose response and that AV-101 at the higher doses may lead to an increased positive mood.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Stem Cell Technology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945"/>
        <w:spacing w:after="0" w:line="257" w:lineRule="auto"/>
        <w:rPr>
          <w:sz w:val="20"/>
          <w:szCs w:val="20"/>
          <w:color w:val="auto"/>
        </w:rPr>
      </w:pPr>
      <w:r>
        <w:rPr>
          <w:rFonts w:ascii="Arial" w:cs="Arial" w:eastAsia="Arial" w:hAnsi="Arial"/>
          <w:sz w:val="18"/>
          <w:szCs w:val="18"/>
          <w:color w:val="auto"/>
        </w:rPr>
        <w:t xml:space="preserve">We believe </w:t>
      </w:r>
      <w:r>
        <w:rPr>
          <w:rFonts w:ascii="Arial" w:cs="Arial" w:eastAsia="Arial" w:hAnsi="Arial"/>
          <w:sz w:val="18"/>
          <w:szCs w:val="18"/>
          <w:i w:val="1"/>
          <w:iCs w:val="1"/>
          <w:color w:val="auto"/>
        </w:rPr>
        <w:t>better cells lead to better medicines</w:t>
      </w:r>
      <w:r>
        <w:rPr>
          <w:rFonts w:ascii="Arial" w:cs="Arial" w:eastAsia="Arial" w:hAnsi="Arial"/>
          <w:sz w:val="18"/>
          <w:szCs w:val="18"/>
          <w:color w:val="auto"/>
        </w:rPr>
        <w:t>™ and that the key to making better cells is precisely controlling the differentiation of human pluripotent stem cells (“</w:t>
      </w:r>
      <w:r>
        <w:rPr>
          <w:rFonts w:ascii="Arial" w:cs="Arial" w:eastAsia="Arial" w:hAnsi="Arial"/>
          <w:sz w:val="18"/>
          <w:szCs w:val="18"/>
          <w:i w:val="1"/>
          <w:iCs w:val="1"/>
          <w:color w:val="auto"/>
        </w:rPr>
        <w:t>hPSCs</w:t>
      </w:r>
      <w:r>
        <w:rPr>
          <w:rFonts w:ascii="Arial" w:cs="Arial" w:eastAsia="Arial" w:hAnsi="Arial"/>
          <w:sz w:val="18"/>
          <w:szCs w:val="18"/>
          <w:color w:val="auto"/>
        </w:rPr>
        <w:t xml:space="preserve">”), which are the building blocks of all cells of the human body. Our stem cell technology platform is based on proprietary and licensed technologies for controlling the differentiation of hPSCs and producing the multiple types of mature, non-transformed, functional, adult human cells that we use, or plan to use, to reproduce complex human biology and disease and assess, </w:t>
      </w:r>
      <w:r>
        <w:rPr>
          <w:rFonts w:ascii="Arial" w:cs="Arial" w:eastAsia="Arial" w:hAnsi="Arial"/>
          <w:sz w:val="18"/>
          <w:szCs w:val="18"/>
          <w:i w:val="1"/>
          <w:iCs w:val="1"/>
          <w:color w:val="auto"/>
        </w:rPr>
        <w:t>in vitro</w:t>
      </w:r>
      <w:r>
        <w:rPr>
          <w:rFonts w:ascii="Arial" w:cs="Arial" w:eastAsia="Arial" w:hAnsi="Arial"/>
          <w:sz w:val="18"/>
          <w:szCs w:val="18"/>
          <w:color w:val="auto"/>
        </w:rPr>
        <w:t>, the potential therapeutic benefits and safety risks of new chemical entities (“</w:t>
      </w:r>
      <w:r>
        <w:rPr>
          <w:rFonts w:ascii="Arial" w:cs="Arial" w:eastAsia="Arial" w:hAnsi="Arial"/>
          <w:sz w:val="18"/>
          <w:szCs w:val="18"/>
          <w:i w:val="1"/>
          <w:iCs w:val="1"/>
          <w:color w:val="auto"/>
        </w:rPr>
        <w:t>NCEs</w:t>
      </w:r>
      <w:r>
        <w:rPr>
          <w:rFonts w:ascii="Arial" w:cs="Arial" w:eastAsia="Arial" w:hAnsi="Arial"/>
          <w:sz w:val="18"/>
          <w:szCs w:val="18"/>
          <w:color w:val="auto"/>
        </w:rPr>
        <w:t>”).</w:t>
      </w:r>
    </w:p>
    <w:p>
      <w:pPr>
        <w:spacing w:after="0" w:line="188" w:lineRule="exact"/>
        <w:rPr>
          <w:sz w:val="20"/>
          <w:szCs w:val="20"/>
          <w:color w:val="auto"/>
        </w:rPr>
      </w:pPr>
    </w:p>
    <w:p>
      <w:pPr>
        <w:jc w:val="both"/>
        <w:ind w:firstLine="927"/>
        <w:spacing w:after="0" w:line="269" w:lineRule="auto"/>
        <w:rPr>
          <w:sz w:val="20"/>
          <w:szCs w:val="20"/>
          <w:color w:val="auto"/>
        </w:rPr>
      </w:pPr>
      <w:r>
        <w:rPr>
          <w:rFonts w:ascii="Arial" w:cs="Arial" w:eastAsia="Arial" w:hAnsi="Arial"/>
          <w:sz w:val="17"/>
          <w:szCs w:val="17"/>
          <w:color w:val="auto"/>
        </w:rPr>
        <w:t xml:space="preserve">We have used our hPSC-derived cardiomyocytes (human heart cells we refer to as </w:t>
      </w:r>
      <w:r>
        <w:rPr>
          <w:rFonts w:ascii="Arial" w:cs="Arial" w:eastAsia="Arial" w:hAnsi="Arial"/>
          <w:sz w:val="17"/>
          <w:szCs w:val="17"/>
          <w:i w:val="1"/>
          <w:iCs w:val="1"/>
          <w:color w:val="auto"/>
        </w:rPr>
        <w:t>VSTA-CMs</w:t>
      </w:r>
      <w:r>
        <w:rPr>
          <w:rFonts w:ascii="Arial" w:cs="Arial" w:eastAsia="Arial" w:hAnsi="Arial"/>
          <w:sz w:val="17"/>
          <w:szCs w:val="17"/>
          <w:color w:val="auto"/>
        </w:rPr>
        <w:t xml:space="preserve">™) to design and develop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our novel, customized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bioassay system for predicting potential cardiotoxicity of NCEs, including drug rescue NCEs. We believe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is more comprehensive and clinically predictive than the hERG assay, currently the only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cardiac safety assay required by FDA guidelines. We use our stem cell-derived hepatocytes (human liver cells we refer to as </w:t>
      </w:r>
      <w:r>
        <w:rPr>
          <w:rFonts w:ascii="Arial" w:cs="Arial" w:eastAsia="Arial" w:hAnsi="Arial"/>
          <w:sz w:val="17"/>
          <w:szCs w:val="17"/>
          <w:i w:val="1"/>
          <w:iCs w:val="1"/>
          <w:color w:val="auto"/>
        </w:rPr>
        <w:t>VSTA-heps™)</w:t>
      </w:r>
      <w:r>
        <w:rPr>
          <w:rFonts w:ascii="Arial" w:cs="Arial" w:eastAsia="Arial" w:hAnsi="Arial"/>
          <w:sz w:val="17"/>
          <w:szCs w:val="17"/>
          <w:color w:val="auto"/>
        </w:rPr>
        <w:t xml:space="preserve"> as the foundation of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our second novel, customized bioassay system for predicting potential liver toxicity of new drug candidates, including potential drug metabolism issues and adverse drug-drug interactions. VSTA-heps are highly-functional, non-transformed, and have the majority of the functional properties of mature human hepatocytes. We believe our </w:t>
      </w:r>
      <w:r>
        <w:rPr>
          <w:rFonts w:ascii="Arial" w:cs="Arial" w:eastAsia="Arial" w:hAnsi="Arial"/>
          <w:sz w:val="17"/>
          <w:szCs w:val="17"/>
          <w:i w:val="1"/>
          <w:iCs w:val="1"/>
          <w:color w:val="auto"/>
        </w:rPr>
        <w:t>VSTA-heps</w:t>
      </w:r>
      <w:r>
        <w:rPr>
          <w:rFonts w:ascii="Arial" w:cs="Arial" w:eastAsia="Arial" w:hAnsi="Arial"/>
          <w:sz w:val="17"/>
          <w:szCs w:val="17"/>
          <w:color w:val="auto"/>
        </w:rPr>
        <w:t xml:space="preserve"> have more functionally useful life-span in culture, and overcome numerous problems related to commercially-available primary (cadaver) hepatocytes currently used in FDA-required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hepatocyte assays for drug metabolism. These commercially-available primary hepatocytes are generally in limited supply and the health status and genetic differences of the donor are unknown. We believe our </w:t>
      </w:r>
      <w:r>
        <w:rPr>
          <w:rFonts w:ascii="Arial" w:cs="Arial" w:eastAsia="Arial" w:hAnsi="Arial"/>
          <w:sz w:val="17"/>
          <w:szCs w:val="17"/>
          <w:i w:val="1"/>
          <w:iCs w:val="1"/>
          <w:color w:val="auto"/>
        </w:rPr>
        <w:t>VSTA-CMs</w:t>
      </w:r>
      <w:r>
        <w:rPr>
          <w:rFonts w:ascii="Arial" w:cs="Arial" w:eastAsia="Arial" w:hAnsi="Arial"/>
          <w:sz w:val="17"/>
          <w:szCs w:val="17"/>
          <w:color w:val="auto"/>
        </w:rPr>
        <w:t xml:space="preserve">, </w:t>
      </w:r>
      <w:r>
        <w:rPr>
          <w:rFonts w:ascii="Arial" w:cs="Arial" w:eastAsia="Arial" w:hAnsi="Arial"/>
          <w:sz w:val="17"/>
          <w:szCs w:val="17"/>
          <w:i w:val="1"/>
          <w:iCs w:val="1"/>
          <w:color w:val="auto"/>
        </w:rPr>
        <w:t>VSTA-heps</w:t>
      </w:r>
      <w:r>
        <w:rPr>
          <w:rFonts w:ascii="Arial" w:cs="Arial" w:eastAsia="Arial" w:hAnsi="Arial"/>
          <w:sz w:val="17"/>
          <w:szCs w:val="17"/>
          <w:color w:val="auto"/>
        </w:rPr>
        <w:t xml:space="preserve">,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and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offer a new paradigm for evaluating and predicting potential heart and liver toxicity of NCEs, including drug rescue NCEs, early in development, long before costly, high risk human clinical trials.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Background</w:t>
      </w:r>
    </w:p>
    <w:p>
      <w:pPr>
        <w:spacing w:after="0" w:line="256" w:lineRule="exact"/>
        <w:rPr>
          <w:sz w:val="20"/>
          <w:szCs w:val="20"/>
          <w:color w:val="auto"/>
        </w:rPr>
      </w:pPr>
    </w:p>
    <w:p>
      <w:pPr>
        <w:jc w:val="both"/>
        <w:ind w:firstLine="872"/>
        <w:spacing w:after="0" w:line="297" w:lineRule="auto"/>
        <w:rPr>
          <w:sz w:val="20"/>
          <w:szCs w:val="20"/>
          <w:color w:val="auto"/>
        </w:rPr>
      </w:pPr>
      <w:r>
        <w:rPr>
          <w:rFonts w:ascii="Arial" w:cs="Arial" w:eastAsia="Arial" w:hAnsi="Arial"/>
          <w:sz w:val="16"/>
          <w:szCs w:val="16"/>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185" w:lineRule="exact"/>
        <w:rPr>
          <w:sz w:val="20"/>
          <w:szCs w:val="20"/>
          <w:color w:val="auto"/>
        </w:rPr>
      </w:pPr>
    </w:p>
    <w:p>
      <w:pPr>
        <w:jc w:val="both"/>
        <w:ind w:firstLine="926"/>
        <w:spacing w:after="0" w:line="312" w:lineRule="auto"/>
        <w:rPr>
          <w:sz w:val="20"/>
          <w:szCs w:val="20"/>
          <w:color w:val="auto"/>
        </w:rPr>
      </w:pPr>
      <w:r>
        <w:rPr>
          <w:rFonts w:ascii="Arial" w:cs="Arial" w:eastAsia="Arial" w:hAnsi="Arial"/>
          <w:sz w:val="16"/>
          <w:szCs w:val="16"/>
          <w:color w:val="auto"/>
        </w:rPr>
        <w:t>Human pluripotent stem cells (“</w:t>
      </w:r>
      <w:r>
        <w:rPr>
          <w:rFonts w:ascii="Arial" w:cs="Arial" w:eastAsia="Arial" w:hAnsi="Arial"/>
          <w:sz w:val="16"/>
          <w:szCs w:val="16"/>
          <w:i w:val="1"/>
          <w:iCs w:val="1"/>
          <w:color w:val="auto"/>
        </w:rPr>
        <w:t>hPSCs</w:t>
      </w:r>
      <w:r>
        <w:rPr>
          <w:rFonts w:ascii="Arial" w:cs="Arial" w:eastAsia="Arial" w:hAnsi="Arial"/>
          <w:sz w:val="16"/>
          <w:szCs w:val="16"/>
          <w:color w:val="auto"/>
        </w:rPr>
        <w:t>”)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147" w:lineRule="exact"/>
        <w:rPr>
          <w:sz w:val="20"/>
          <w:szCs w:val="20"/>
          <w:color w:val="auto"/>
        </w:rPr>
      </w:pPr>
    </w:p>
    <w:p>
      <w:pPr>
        <w:jc w:val="both"/>
        <w:ind w:firstLine="878"/>
        <w:spacing w:after="0" w:line="257" w:lineRule="auto"/>
        <w:rPr>
          <w:sz w:val="20"/>
          <w:szCs w:val="20"/>
          <w:color w:val="auto"/>
        </w:rPr>
      </w:pPr>
      <w:r>
        <w:rPr>
          <w:rFonts w:ascii="Arial" w:cs="Arial" w:eastAsia="Arial" w:hAnsi="Arial"/>
          <w:sz w:val="18"/>
          <w:szCs w:val="18"/>
          <w:color w:val="auto"/>
        </w:rPr>
        <w:t>Human pluripotent stem cells are either embryonic stem cells (</w:t>
      </w:r>
      <w:r>
        <w:rPr>
          <w:rFonts w:ascii="Arial" w:cs="Arial" w:eastAsia="Arial" w:hAnsi="Arial"/>
          <w:sz w:val="18"/>
          <w:szCs w:val="18"/>
          <w:i w:val="1"/>
          <w:iCs w:val="1"/>
          <w:color w:val="auto"/>
        </w:rPr>
        <w:t>hESCs</w:t>
      </w:r>
      <w:r>
        <w:rPr>
          <w:rFonts w:ascii="Arial" w:cs="Arial" w:eastAsia="Arial" w:hAnsi="Arial"/>
          <w:sz w:val="18"/>
          <w:szCs w:val="18"/>
          <w:color w:val="auto"/>
        </w:rPr>
        <w:t>) or induced pluripotent stem cells (“</w:t>
      </w:r>
      <w:r>
        <w:rPr>
          <w:rFonts w:ascii="Arial" w:cs="Arial" w:eastAsia="Arial" w:hAnsi="Arial"/>
          <w:sz w:val="18"/>
          <w:szCs w:val="18"/>
          <w:i w:val="1"/>
          <w:iCs w:val="1"/>
          <w:color w:val="auto"/>
        </w:rPr>
        <w:t>iPSCs</w:t>
      </w:r>
      <w:r>
        <w:rPr>
          <w:rFonts w:ascii="Arial" w:cs="Arial" w:eastAsia="Arial" w:hAnsi="Arial"/>
          <w:sz w:val="18"/>
          <w:szCs w:val="18"/>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multiple types of these mature cells as the foundation of to design and develop novel, customized bioassay systems to test the safety and efficacy of NCEs </w:t>
      </w:r>
      <w:r>
        <w:rPr>
          <w:rFonts w:ascii="Arial" w:cs="Arial" w:eastAsia="Arial" w:hAnsi="Arial"/>
          <w:sz w:val="18"/>
          <w:szCs w:val="18"/>
          <w:i w:val="1"/>
          <w:iCs w:val="1"/>
          <w:color w:val="auto"/>
        </w:rPr>
        <w:t>in vitro</w:t>
      </w:r>
      <w:r>
        <w:rPr>
          <w:rFonts w:ascii="Arial" w:cs="Arial" w:eastAsia="Arial" w:hAnsi="Arial"/>
          <w:sz w:val="18"/>
          <w:szCs w:val="18"/>
          <w:color w:val="auto"/>
        </w:rPr>
        <w:t>. These cells also have potential for diverse regenerative medicine applications.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Embryonic Stem Cells</w:t>
      </w:r>
    </w:p>
    <w:p>
      <w:pPr>
        <w:spacing w:after="0" w:line="252" w:lineRule="exact"/>
        <w:rPr>
          <w:sz w:val="20"/>
          <w:szCs w:val="20"/>
          <w:color w:val="auto"/>
        </w:rPr>
      </w:pPr>
    </w:p>
    <w:p>
      <w:pPr>
        <w:jc w:val="both"/>
        <w:ind w:firstLine="868"/>
        <w:spacing w:after="0" w:line="259" w:lineRule="auto"/>
        <w:rPr>
          <w:sz w:val="20"/>
          <w:szCs w:val="20"/>
          <w:color w:val="auto"/>
        </w:rPr>
      </w:pPr>
      <w:r>
        <w:rPr>
          <w:rFonts w:ascii="Arial" w:cs="Arial" w:eastAsia="Arial" w:hAnsi="Arial"/>
          <w:sz w:val="18"/>
          <w:szCs w:val="18"/>
          <w:color w:val="auto"/>
        </w:rPr>
        <w:t xml:space="preserve">According to the NIH, hESCs are derived from excess embryos that develop from eggs that have been fertilized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fertilization (“</w:t>
      </w:r>
      <w:r>
        <w:rPr>
          <w:rFonts w:ascii="Arial" w:cs="Arial" w:eastAsia="Arial" w:hAnsi="Arial"/>
          <w:sz w:val="18"/>
          <w:szCs w:val="18"/>
          <w:i w:val="1"/>
          <w:iCs w:val="1"/>
          <w:color w:val="auto"/>
        </w:rPr>
        <w:t>IVF</w:t>
      </w:r>
      <w:r>
        <w:rPr>
          <w:rFonts w:ascii="Arial" w:cs="Arial" w:eastAsia="Arial" w:hAnsi="Arial"/>
          <w:sz w:val="18"/>
          <w:szCs w:val="18"/>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877"/>
        <w:spacing w:after="0" w:line="270" w:lineRule="auto"/>
        <w:rPr>
          <w:sz w:val="20"/>
          <w:szCs w:val="20"/>
          <w:color w:val="auto"/>
        </w:rPr>
      </w:pPr>
      <w:r>
        <w:rPr>
          <w:rFonts w:ascii="Arial" w:cs="Arial" w:eastAsia="Arial" w:hAnsi="Arial"/>
          <w:sz w:val="17"/>
          <w:szCs w:val="17"/>
          <w:color w:val="auto"/>
        </w:rPr>
        <w:t>Human ESCs have the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Induced Pluripotent Stem Cells</w:t>
      </w:r>
    </w:p>
    <w:p>
      <w:pPr>
        <w:spacing w:after="0" w:line="252" w:lineRule="exact"/>
        <w:rPr>
          <w:sz w:val="20"/>
          <w:szCs w:val="20"/>
          <w:color w:val="auto"/>
        </w:rPr>
      </w:pPr>
    </w:p>
    <w:p>
      <w:pPr>
        <w:jc w:val="both"/>
        <w:ind w:firstLine="927"/>
        <w:spacing w:after="0" w:line="255" w:lineRule="auto"/>
        <w:rPr>
          <w:sz w:val="20"/>
          <w:szCs w:val="20"/>
          <w:color w:val="auto"/>
        </w:rPr>
      </w:pPr>
      <w:r>
        <w:rPr>
          <w:rFonts w:ascii="Arial" w:cs="Arial" w:eastAsia="Arial" w:hAnsi="Arial"/>
          <w:sz w:val="18"/>
          <w:szCs w:val="18"/>
          <w:color w:val="auto"/>
        </w:rPr>
        <w:t>It is also possible to obtain hPSC lines from individuals without the use of embryos. Induced PSCs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189" w:lineRule="exact"/>
        <w:rPr>
          <w:sz w:val="20"/>
          <w:szCs w:val="20"/>
          <w:color w:val="auto"/>
        </w:rPr>
      </w:pPr>
    </w:p>
    <w:p>
      <w:pPr>
        <w:jc w:val="both"/>
        <w:ind w:firstLine="924"/>
        <w:spacing w:after="0" w:line="264" w:lineRule="auto"/>
        <w:rPr>
          <w:sz w:val="20"/>
          <w:szCs w:val="20"/>
          <w:color w:val="auto"/>
        </w:rPr>
      </w:pPr>
      <w:r>
        <w:rPr>
          <w:rFonts w:ascii="Arial" w:cs="Arial" w:eastAsia="Arial" w:hAnsi="Arial"/>
          <w:sz w:val="18"/>
          <w:szCs w:val="18"/>
          <w:color w:val="auto"/>
        </w:rPr>
        <w:t>We believe the biology and differentiation capabilities of hESCs and iPSCs are likely to be comparable for most if not all purposes. There are, however, specific situations in which we may prefer to use one or the other type of hPSC. For example, we may prefer to use iPSCs for potential drug discovery applications based on the relative ease of generating iPSCs from:</w:t>
      </w:r>
    </w:p>
    <w:p>
      <w:pPr>
        <w:spacing w:after="0" w:line="181" w:lineRule="exact"/>
        <w:rPr>
          <w:sz w:val="20"/>
          <w:szCs w:val="20"/>
          <w:color w:val="auto"/>
        </w:rPr>
      </w:pPr>
    </w:p>
    <w:p>
      <w:pPr>
        <w:ind w:left="820" w:hanging="213"/>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individuals with specific inheritable diseases and conditions that predispose the individual to respond differently to drugs; or</w:t>
      </w:r>
    </w:p>
    <w:p>
      <w:pPr>
        <w:spacing w:after="0" w:line="225" w:lineRule="exact"/>
        <w:rPr>
          <w:rFonts w:ascii="Arial" w:cs="Arial" w:eastAsia="Arial" w:hAnsi="Arial"/>
          <w:sz w:val="18"/>
          <w:szCs w:val="18"/>
          <w:color w:val="auto"/>
        </w:rPr>
      </w:pPr>
    </w:p>
    <w:p>
      <w:pPr>
        <w:ind w:left="820" w:hanging="213"/>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individuals with specific variations in genes that directly affect drug levels in the body or alter the manner or efficiency of their metabolism, breakdown and/or elimination of drugs.</w:t>
      </w:r>
    </w:p>
    <w:p>
      <w:pPr>
        <w:spacing w:after="0" w:line="170" w:lineRule="exact"/>
        <w:rPr>
          <w:sz w:val="20"/>
          <w:szCs w:val="20"/>
          <w:color w:val="auto"/>
        </w:rPr>
      </w:pPr>
    </w:p>
    <w:p>
      <w:pPr>
        <w:jc w:val="both"/>
        <w:ind w:firstLine="930"/>
        <w:spacing w:after="0" w:line="312" w:lineRule="auto"/>
        <w:rPr>
          <w:sz w:val="20"/>
          <w:szCs w:val="20"/>
          <w:color w:val="auto"/>
        </w:rPr>
      </w:pPr>
      <w:r>
        <w:rPr>
          <w:rFonts w:ascii="Arial" w:cs="Arial" w:eastAsia="Arial" w:hAnsi="Arial"/>
          <w:sz w:val="16"/>
          <w:szCs w:val="16"/>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Stem Cell Differentiation Protocols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Proprietary differentiation protocols cover key conditions involved in the differentiation of hPSCs into multiple types of mature human cells. The human cells generated by following these proprietary differentiation protocols are integral to our stem cell technology platform. We believe they support more clinically-predictive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bioassay systems than animal testing or cellular assays currently used in drug discovery and development. Our strategic technology licenses from National Jewish Health in Denver, the Icahn School of Medicine at Mount Sinai in New York and the University Health Network in Toronto relate, among other things, to proprietary stem cell differentiation protocols involving precisely-coordinated temporal and quantitative conditions and interaction of biological molecules.</w:t>
      </w:r>
    </w:p>
    <w:p>
      <w:pPr>
        <w:spacing w:after="0" w:line="22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believe our bioassay systems will allow us to assess the toxicity profile of NCEs for a wide range of diseases and conditions with greater speed and precision than nonclinical surrogate safety models most often currently used in drug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3D “Micro-Organ” Culture Systems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standard two-dimensional (“</w:t>
      </w:r>
      <w:r>
        <w:rPr>
          <w:rFonts w:ascii="Arial" w:cs="Arial" w:eastAsia="Arial" w:hAnsi="Arial"/>
          <w:sz w:val="17"/>
          <w:szCs w:val="17"/>
          <w:i w:val="1"/>
          <w:iCs w:val="1"/>
          <w:color w:val="auto"/>
        </w:rPr>
        <w:t>2D</w:t>
      </w:r>
      <w:r>
        <w:rPr>
          <w:rFonts w:ascii="Arial" w:cs="Arial" w:eastAsia="Arial" w:hAnsi="Arial"/>
          <w:sz w:val="17"/>
          <w:szCs w:val="17"/>
          <w:color w:val="auto"/>
        </w:rPr>
        <w:t xml:space="preserve">”) cultures which work well for some cell types and cellular assays, the proprietary hPSC technologies underlying our stem cell technology platform enable us to grow large numbers of normal, non-transformed, mature human cells to produce novel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3D “micro-organ” culture systems. For example, for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we grow large numbers of normal, non-transformed, human heart cells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in 3D micro-organ culture systems. The 3D micro-organ cultures induce the cells to grow, mature, and develop 3D cell networks and tissue structures. We believe these 3D cell networks and structures more accurately reflect the structures and biology inside the human body than traditional flat, 2D, single cell layers grown on plastic, that are widely used by pharmaceutical companies today. We believe that the more representative human biology afforded by the 3D system will yield responses to drug candidates that are more predictive of human drug responses.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Medicinal Chemistry</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Medicinal chemistry involves designing, synthesizing, or modifying a small molecule compound or drug suitable for clinical development. It is a highly interdisciplinary science combining organic chemistry, biochemistry, physical chemistry, computational chemistry, pharmacology, and statistics. The combination of medicinal chemistry with the proprietary and licensed hPSC technologies underlying our stem cell technology platform are core components of our drug rescue business model.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The limitations of current preclinical drug testing systems used by pharmaceutical companies and others contribute to the high failure rate of NCEs. According to articles published in the Journal of Applied Toxicology, Stem Cell Research and Current Opinion in Cardiology, unexpected cardiotoxicity is one of the top two major safety-related reasons for failure of both drugs and drug candidates. Incorporating novel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using hPSC-derived cardiomyocytes (“</w:t>
      </w:r>
      <w:r>
        <w:rPr>
          <w:rFonts w:ascii="Arial" w:cs="Arial" w:eastAsia="Arial" w:hAnsi="Arial"/>
          <w:sz w:val="17"/>
          <w:szCs w:val="17"/>
          <w:i w:val="1"/>
          <w:iCs w:val="1"/>
          <w:color w:val="auto"/>
        </w:rPr>
        <w:t>hPSC-CMs</w:t>
      </w:r>
      <w:r>
        <w:rPr>
          <w:rFonts w:ascii="Arial" w:cs="Arial" w:eastAsia="Arial" w:hAnsi="Arial"/>
          <w:sz w:val="17"/>
          <w:szCs w:val="17"/>
          <w:color w:val="auto"/>
        </w:rPr>
        <w:t>”) early in preclinical development offers the potential to improve clinical predictability, decrease development costs, and avoid adverse patient effects, late-stage clinical termination, and product recall from the market.</w:t>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With our proprietary stem cell differentiation technology, we produce fully functional, non-transformed hPSC-CMs, which we refer to as </w:t>
      </w:r>
      <w:r>
        <w:rPr>
          <w:rFonts w:ascii="Arial" w:cs="Arial" w:eastAsia="Arial" w:hAnsi="Arial"/>
          <w:sz w:val="18"/>
          <w:szCs w:val="18"/>
          <w:i w:val="1"/>
          <w:iCs w:val="1"/>
          <w:color w:val="auto"/>
        </w:rPr>
        <w:t>VSTA-CMs</w:t>
      </w:r>
      <w:r>
        <w:rPr>
          <w:rFonts w:ascii="Arial" w:cs="Arial" w:eastAsia="Arial" w:hAnsi="Arial"/>
          <w:sz w:val="18"/>
          <w:szCs w:val="18"/>
          <w:color w:val="auto"/>
        </w:rPr>
        <w:t>™, at a level of purity greater than 95% and with normal ratios of all important cardiac cell types. Importantly, our hPSC-CM differentiation protocols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In addition to normal expression all of the key ion channels of the human heart (calcium, potassium and sodium) and various cardiomyocytic markers of the human heart, our </w:t>
      </w:r>
      <w:r>
        <w:rPr>
          <w:rFonts w:ascii="Arial" w:cs="Arial" w:eastAsia="Arial" w:hAnsi="Arial"/>
          <w:sz w:val="18"/>
          <w:szCs w:val="18"/>
          <w:i w:val="1"/>
          <w:iCs w:val="1"/>
          <w:color w:val="auto"/>
        </w:rPr>
        <w:t>VSTA-CMs</w:t>
      </w:r>
      <w:r>
        <w:rPr>
          <w:rFonts w:ascii="Arial" w:cs="Arial" w:eastAsia="Arial" w:hAnsi="Arial"/>
          <w:sz w:val="18"/>
          <w:szCs w:val="18"/>
          <w:color w:val="auto"/>
        </w:rPr>
        <w:t xml:space="preserve"> function reliably in all of our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cardiac toxicity assays, screening for both direct cardiomyocyte cytotoxicity and arrhythmogenesis (or development of irregular beating patterns). We believe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sensitive, stable, reproducible and capable of generating data enabling a more accurate prediction of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cardiac effects of NCEs than is possible with existing preclinical testing systems, particularly the hERG assay.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Clinical Predictivity of the FDA-Required hERG Assay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hERG assay, which uses either transformed hamster ovary cells or human kidney cells, is currently the only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cardiac safety assay required by FDA Guidelines (“</w:t>
      </w:r>
      <w:r>
        <w:rPr>
          <w:rFonts w:ascii="Arial" w:cs="Arial" w:eastAsia="Arial" w:hAnsi="Arial"/>
          <w:sz w:val="17"/>
          <w:szCs w:val="17"/>
          <w:i w:val="1"/>
          <w:iCs w:val="1"/>
          <w:color w:val="auto"/>
        </w:rPr>
        <w:t>ICH57B</w:t>
      </w:r>
      <w:r>
        <w:rPr>
          <w:rFonts w:ascii="Arial" w:cs="Arial" w:eastAsia="Arial" w:hAnsi="Arial"/>
          <w:sz w:val="17"/>
          <w:szCs w:val="17"/>
          <w:color w:val="auto"/>
        </w:rPr>
        <w:t>”). We believe the clinical predictivity of the hERG assay is limited because it assesses only a single cardiac ion channel - the hERG potassium ion channel. It does not assess any other clinically relevant cardiac ion channels, including calcium, non-hERG potassium and sodium ion channels. Also, importantly, the hERG assay does not assess the normal interaction between these ion channels and their regulators. In addition, the hERG assay does not assess clinically-relevant cardiac biological effects associated with cardiomyocyte viability,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Broad Clinical Predictivity of CardioSafe </w:t>
      </w:r>
      <w:r>
        <w:rPr>
          <w:rFonts w:ascii="Arial" w:cs="Arial" w:eastAsia="Arial" w:hAnsi="Arial"/>
          <w:sz w:val="18"/>
          <w:szCs w:val="18"/>
          <w:b w:val="1"/>
          <w:bCs w:val="1"/>
          <w:color w:val="auto"/>
        </w:rPr>
        <w:t>3D</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As noted above, we have developed and validated two clinically-relevant functional components of our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screening system to assess multiple categories of cardiac toxicities, including both direct cardiomyocyte cytotoxicity and arrhythmogenesis (or development of irregular beating patterns). The first functional component of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consists of a suite of five fluorescence or luminescence based high-throughput hPSC-CM assays. These five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assays measure the following important drug-induced cardiac biological effects:</w:t>
      </w:r>
    </w:p>
    <w:p>
      <w:pPr>
        <w:spacing w:after="0" w:line="171" w:lineRule="exact"/>
        <w:rPr>
          <w:sz w:val="20"/>
          <w:szCs w:val="20"/>
          <w:color w:val="auto"/>
        </w:rPr>
      </w:pPr>
    </w:p>
    <w:p>
      <w:pPr>
        <w:ind w:left="1160" w:hanging="234"/>
        <w:spacing w:after="0"/>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cell viability;</w:t>
      </w:r>
    </w:p>
    <w:p>
      <w:pPr>
        <w:spacing w:after="0" w:line="23" w:lineRule="exact"/>
        <w:rPr>
          <w:rFonts w:ascii="Arial" w:cs="Arial" w:eastAsia="Arial" w:hAnsi="Arial"/>
          <w:sz w:val="18"/>
          <w:szCs w:val="18"/>
          <w:color w:val="auto"/>
        </w:rPr>
      </w:pPr>
    </w:p>
    <w:p>
      <w:pPr>
        <w:ind w:left="1160" w:hanging="234"/>
        <w:spacing w:after="0"/>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apoptosis;</w:t>
      </w:r>
    </w:p>
    <w:p>
      <w:pPr>
        <w:spacing w:after="0" w:line="9" w:lineRule="exact"/>
        <w:rPr>
          <w:rFonts w:ascii="Arial" w:cs="Arial" w:eastAsia="Arial" w:hAnsi="Arial"/>
          <w:sz w:val="18"/>
          <w:szCs w:val="18"/>
          <w:color w:val="auto"/>
        </w:rPr>
      </w:pPr>
    </w:p>
    <w:p>
      <w:pPr>
        <w:ind w:left="1120" w:hanging="221"/>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mitochondrial membrane depolarization;</w:t>
      </w:r>
    </w:p>
    <w:p>
      <w:pPr>
        <w:spacing w:after="0" w:line="9" w:lineRule="exact"/>
        <w:rPr>
          <w:rFonts w:ascii="Arial" w:cs="Arial" w:eastAsia="Arial" w:hAnsi="Arial"/>
          <w:sz w:val="18"/>
          <w:szCs w:val="18"/>
          <w:color w:val="auto"/>
        </w:rPr>
      </w:pPr>
    </w:p>
    <w:p>
      <w:pPr>
        <w:ind w:left="1120" w:hanging="221"/>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oxidative stress; and</w:t>
      </w:r>
    </w:p>
    <w:p>
      <w:pPr>
        <w:spacing w:after="0" w:line="9" w:lineRule="exact"/>
        <w:rPr>
          <w:rFonts w:ascii="Arial" w:cs="Arial" w:eastAsia="Arial" w:hAnsi="Arial"/>
          <w:sz w:val="18"/>
          <w:szCs w:val="18"/>
          <w:color w:val="auto"/>
        </w:rPr>
      </w:pPr>
    </w:p>
    <w:p>
      <w:pPr>
        <w:ind w:left="1120" w:hanging="221"/>
        <w:spacing w:after="0"/>
        <w:tabs>
          <w:tab w:leader="none" w:pos="1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energy metabolism disruption.</w:t>
      </w:r>
    </w:p>
    <w:p>
      <w:pPr>
        <w:spacing w:after="0" w:line="21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 xml:space="preserve">These five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biological assays were correlated to reported clinical results using reference compounds known to be cardiotoxic in humans versus compounds known to be safe in humans. These reference compounds were representative of eight different drug classes, including:</w:t>
      </w:r>
    </w:p>
    <w:p>
      <w:pPr>
        <w:spacing w:after="0" w:line="174" w:lineRule="exact"/>
        <w:rPr>
          <w:sz w:val="20"/>
          <w:szCs w:val="20"/>
          <w:color w:val="auto"/>
        </w:rPr>
      </w:pPr>
    </w:p>
    <w:p>
      <w:pPr>
        <w:ind w:left="1160" w:hanging="216"/>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ion channel blockers: amiodarone, nifedipine;</w:t>
      </w:r>
    </w:p>
    <w:p>
      <w:pPr>
        <w:spacing w:after="0" w:line="23" w:lineRule="exact"/>
        <w:rPr>
          <w:rFonts w:ascii="Arial" w:cs="Arial" w:eastAsia="Arial" w:hAnsi="Arial"/>
          <w:sz w:val="18"/>
          <w:szCs w:val="18"/>
          <w:color w:val="auto"/>
        </w:rPr>
      </w:pPr>
    </w:p>
    <w:p>
      <w:pPr>
        <w:ind w:left="1160" w:hanging="216"/>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hERG trafficking blockers: pentamidine, amoxapine;</w:t>
      </w:r>
    </w:p>
    <w:p>
      <w:pPr>
        <w:spacing w:after="0" w:line="9" w:lineRule="exact"/>
        <w:rPr>
          <w:rFonts w:ascii="Arial" w:cs="Arial" w:eastAsia="Arial" w:hAnsi="Arial"/>
          <w:sz w:val="18"/>
          <w:szCs w:val="18"/>
          <w:color w:val="auto"/>
        </w:rPr>
      </w:pPr>
    </w:p>
    <w:p>
      <w:pPr>
        <w:ind w:left="1160" w:hanging="216"/>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α-1 adrenoreceptors: doxazosin;</w:t>
      </w:r>
    </w:p>
    <w:p>
      <w:pPr>
        <w:spacing w:after="0" w:line="9" w:lineRule="exact"/>
        <w:rPr>
          <w:rFonts w:ascii="Arial" w:cs="Arial" w:eastAsia="Arial" w:hAnsi="Arial"/>
          <w:sz w:val="18"/>
          <w:szCs w:val="18"/>
          <w:color w:val="auto"/>
        </w:rPr>
      </w:pPr>
    </w:p>
    <w:p>
      <w:pPr>
        <w:ind w:left="1160" w:hanging="216"/>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protein and DNA synthesis inhibitors: emetine;</w:t>
      </w:r>
    </w:p>
    <w:p>
      <w:pPr>
        <w:spacing w:after="0" w:line="9" w:lineRule="exact"/>
        <w:rPr>
          <w:rFonts w:ascii="Arial" w:cs="Arial" w:eastAsia="Arial" w:hAnsi="Arial"/>
          <w:sz w:val="18"/>
          <w:szCs w:val="18"/>
          <w:color w:val="auto"/>
        </w:rPr>
      </w:pPr>
    </w:p>
    <w:p>
      <w:pPr>
        <w:ind w:left="1160" w:hanging="216"/>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DNA intercalating agents: doxorubicin;</w:t>
      </w:r>
    </w:p>
    <w:p>
      <w:pPr>
        <w:spacing w:after="0" w:line="9" w:lineRule="exact"/>
        <w:rPr>
          <w:rFonts w:ascii="Arial" w:cs="Arial" w:eastAsia="Arial" w:hAnsi="Arial"/>
          <w:sz w:val="18"/>
          <w:szCs w:val="18"/>
          <w:color w:val="auto"/>
        </w:rPr>
      </w:pPr>
    </w:p>
    <w:p>
      <w:pPr>
        <w:ind w:left="1160" w:hanging="216"/>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antibiotics: ampicillin, cefazolin;</w:t>
      </w:r>
    </w:p>
    <w:p>
      <w:pPr>
        <w:spacing w:after="0" w:line="9" w:lineRule="exact"/>
        <w:rPr>
          <w:rFonts w:ascii="Arial" w:cs="Arial" w:eastAsia="Arial" w:hAnsi="Arial"/>
          <w:sz w:val="18"/>
          <w:szCs w:val="18"/>
          <w:color w:val="auto"/>
        </w:rPr>
      </w:pPr>
    </w:p>
    <w:p>
      <w:pPr>
        <w:ind w:left="1160" w:hanging="216"/>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NSAID: aspirin; and</w:t>
      </w:r>
    </w:p>
    <w:p>
      <w:pPr>
        <w:spacing w:after="0" w:line="9" w:lineRule="exact"/>
        <w:rPr>
          <w:rFonts w:ascii="Arial" w:cs="Arial" w:eastAsia="Arial" w:hAnsi="Arial"/>
          <w:sz w:val="18"/>
          <w:szCs w:val="18"/>
          <w:color w:val="auto"/>
        </w:rPr>
      </w:pPr>
    </w:p>
    <w:p>
      <w:pPr>
        <w:ind w:left="1160" w:hanging="216"/>
        <w:spacing w:after="0"/>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kinase inhibitors: staurosporine.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56" w:name="page57"/>
    <w:bookmarkEnd w:id="56"/>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This suite of five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cytotoxicity assays provided measurement of cardiac drug effects with high sensitivity that are consistent with the expected cardiac responses to each of these compounds. Based on our results, we believe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provides valuable and far more comprehensive bioanalytical tools for both assessing the effects of pharmaceutical compounds on cardiac cytotoxicity than the hERG assay and can elucidate for us and our medicinal chemistry partner specific mechanisms of cardiac toxicity, thereby laying what we believe is a novel and advantageous foundation for our drug rescue programs.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other component of our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assay system is a sensitive and reliable medium throughput multi-electrode array (“</w:t>
      </w:r>
      <w:r>
        <w:rPr>
          <w:rFonts w:ascii="Arial" w:cs="Arial" w:eastAsia="Arial" w:hAnsi="Arial"/>
          <w:sz w:val="18"/>
          <w:szCs w:val="18"/>
          <w:i w:val="1"/>
          <w:iCs w:val="1"/>
          <w:color w:val="auto"/>
        </w:rPr>
        <w:t>MEA</w:t>
      </w:r>
      <w:r>
        <w:rPr>
          <w:rFonts w:ascii="Arial" w:cs="Arial" w:eastAsia="Arial" w:hAnsi="Arial"/>
          <w:sz w:val="18"/>
          <w:szCs w:val="18"/>
          <w:color w:val="auto"/>
        </w:rPr>
        <w:t xml:space="preserve">”) assay developed to predict drug-induced alterations of electrophysiological function of the human heart, representing an integrated assessment of not only hERG potassium ion channel activity analogous to the FDA-mandated hERG assay but, in addition, non-hERG potassium channels, and calcium channels and sodium channels, which are well beyond the scope of the hERG assay. Functional electrophysiological assessment is a key component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has been validated with reported clinical results involving twelve drugs, each with known toxic or non-toxic cardiac effects in humans. The twelve clinical correlation study compounds are as follows:</w:t>
      </w:r>
    </w:p>
    <w:p>
      <w:pPr>
        <w:spacing w:after="0" w:line="220" w:lineRule="exact"/>
        <w:rPr>
          <w:sz w:val="20"/>
          <w:szCs w:val="20"/>
          <w:color w:val="auto"/>
        </w:rPr>
      </w:pPr>
    </w:p>
    <w:p>
      <w:pPr>
        <w:ind w:left="1160" w:hanging="229"/>
        <w:spacing w:after="0"/>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One FDA-approved drug (aspirin) without cardiac liability to serve as a negative control;</w:t>
      </w:r>
    </w:p>
    <w:p>
      <w:pPr>
        <w:spacing w:after="0" w:line="23" w:lineRule="exact"/>
        <w:rPr>
          <w:rFonts w:ascii="Arial" w:cs="Arial" w:eastAsia="Arial" w:hAnsi="Arial"/>
          <w:sz w:val="18"/>
          <w:szCs w:val="18"/>
          <w:color w:val="auto"/>
        </w:rPr>
      </w:pPr>
    </w:p>
    <w:p>
      <w:pPr>
        <w:ind w:left="1160" w:right="540" w:hanging="229"/>
        <w:spacing w:after="0" w:line="250" w:lineRule="auto"/>
        <w:tabs>
          <w:tab w:leader="none" w:pos="11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Five FDA-approved drugs (astemizole, sotalol, cisapride, terfenadine and sertindole) that were withdrawn from the market due to heart toxicity concerns;</w:t>
      </w:r>
    </w:p>
    <w:p>
      <w:pPr>
        <w:ind w:left="1160" w:hanging="229"/>
        <w:spacing w:after="0" w:line="281" w:lineRule="auto"/>
        <w:tabs>
          <w:tab w:leader="none" w:pos="11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Five FDA-approved drugs (fexofenadine, nifedipine, verapamil, lidocaine and propranolol) that have certain measurable non-toxic cardiac effects consistent with clinical experience with such compounds. Note: fexofenadine is a non-cardiotoxic drug variant of terfenadine; and</w:t>
      </w:r>
    </w:p>
    <w:p>
      <w:pPr>
        <w:spacing w:after="0" w:line="1" w:lineRule="exact"/>
        <w:rPr>
          <w:rFonts w:ascii="Arial" w:cs="Arial" w:eastAsia="Arial" w:hAnsi="Arial"/>
          <w:sz w:val="16"/>
          <w:szCs w:val="16"/>
          <w:color w:val="auto"/>
        </w:rPr>
      </w:pPr>
    </w:p>
    <w:p>
      <w:pPr>
        <w:ind w:left="1160" w:hanging="229"/>
        <w:spacing w:after="0"/>
        <w:tabs>
          <w:tab w:leader="none" w:pos="11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One research compound (E-4031) failed in Phase 1 human clinical study before being discontinued due to inducing heart arrhythmias.</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have validated that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is capable of assessing important electrophysiological activity of drugs or new drug candidates, including spike amplitude, beat period and field potential duration. Our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MEA assay, which we refer to as </w:t>
      </w:r>
      <w:r>
        <w:rPr>
          <w:rFonts w:ascii="Arial" w:cs="Arial" w:eastAsia="Arial" w:hAnsi="Arial"/>
          <w:sz w:val="17"/>
          <w:szCs w:val="17"/>
          <w:i w:val="1"/>
          <w:iCs w:val="1"/>
          <w:color w:val="auto"/>
        </w:rPr>
        <w:t>ECG in a test tube</w:t>
      </w:r>
      <w:r>
        <w:rPr>
          <w:rFonts w:ascii="Arial" w:cs="Arial" w:eastAsia="Arial" w:hAnsi="Arial"/>
          <w:sz w:val="17"/>
          <w:szCs w:val="17"/>
          <w:color w:val="auto"/>
        </w:rPr>
        <w:t xml:space="preserve">™, was reproducible and consistent with the known human cardiac effects of all twelve compounds studied, based on the mechanisms of action and dosage of the compounds. For instance, by using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we were able to distinguish between the arrhythmogenic cardiac effects of terfenadine (Seldane™), withdrawn by the FDA due to cardiotoxicity, and the cardiac effects of the closely structurally-related compound, fexofenadine (Allegra™), a safe variant of terfenadine, which remains on the market. We believe our correlation data demonstrate that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3Dprovides valuable and more comprehensive bioanalytical tools for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cardiac safety screening than the hERG assay. We believe</w:t>
      </w:r>
      <w:r>
        <w:rPr>
          <w:rFonts w:ascii="Arial" w:cs="Arial" w:eastAsia="Arial" w:hAnsi="Arial"/>
          <w:sz w:val="17"/>
          <w:szCs w:val="17"/>
          <w:i w:val="1"/>
          <w:iCs w:val="1"/>
          <w:color w:val="auto"/>
        </w:rPr>
        <w:t xml:space="preserve"> CardioSafe </w:t>
      </w:r>
      <w:r>
        <w:rPr>
          <w:rFonts w:ascii="Arial" w:cs="Arial" w:eastAsia="Arial" w:hAnsi="Arial"/>
          <w:sz w:val="17"/>
          <w:szCs w:val="17"/>
          <w:color w:val="auto"/>
        </w:rPr>
        <w:t>3D will contribute to our efficient and rapid identification of novel, potentially</w:t>
      </w:r>
      <w:r>
        <w:rPr>
          <w:rFonts w:ascii="Arial" w:cs="Arial" w:eastAsia="Arial" w:hAnsi="Arial"/>
          <w:sz w:val="17"/>
          <w:szCs w:val="17"/>
          <w:i w:val="1"/>
          <w:iCs w:val="1"/>
          <w:color w:val="auto"/>
        </w:rPr>
        <w:t xml:space="preserve"> </w:t>
      </w:r>
      <w:r>
        <w:rPr>
          <w:rFonts w:ascii="Arial" w:cs="Arial" w:eastAsia="Arial" w:hAnsi="Arial"/>
          <w:sz w:val="17"/>
          <w:szCs w:val="17"/>
          <w:color w:val="auto"/>
        </w:rPr>
        <w:t>safer proprietary NCEs in our drug rescue programs.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Going Far Beyond the hERG Assay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table below reflects the broad cardiotoxicity screening capabilities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which we believe go far beyond what is possible to assess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using the FDA-required hERG assay: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440" w:type="dxa"/>
            <w:vAlign w:val="bottom"/>
            <w:gridSpan w:val="3"/>
          </w:tcPr>
          <w:p>
            <w:pPr>
              <w:spacing w:after="0"/>
              <w:rPr>
                <w:sz w:val="20"/>
                <w:szCs w:val="20"/>
                <w:color w:val="auto"/>
              </w:rPr>
            </w:pPr>
            <w:r>
              <w:rPr>
                <w:rFonts w:ascii="Arial" w:cs="Arial" w:eastAsia="Arial" w:hAnsi="Arial"/>
                <w:sz w:val="18"/>
                <w:szCs w:val="18"/>
                <w:color w:val="auto"/>
              </w:rPr>
              <w:t>Detects cardiac effects mediated by:</w:t>
            </w:r>
          </w:p>
        </w:tc>
        <w:tc>
          <w:tcPr>
            <w:tcW w:w="368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89"/>
              </w:rPr>
              <w:t>hERG assay</w:t>
            </w:r>
          </w:p>
        </w:tc>
        <w:tc>
          <w:tcPr>
            <w:tcW w:w="3300" w:type="dxa"/>
            <w:vAlign w:val="bottom"/>
            <w:gridSpan w:val="3"/>
          </w:tcPr>
          <w:p>
            <w:pPr>
              <w:jc w:val="center"/>
              <w:ind w:right="140"/>
              <w:spacing w:after="0"/>
              <w:rPr>
                <w:sz w:val="20"/>
                <w:szCs w:val="20"/>
                <w:color w:val="auto"/>
              </w:rPr>
            </w:pPr>
            <w:r>
              <w:rPr>
                <w:rFonts w:ascii="Arial" w:cs="Arial" w:eastAsia="Arial" w:hAnsi="Arial"/>
                <w:sz w:val="18"/>
                <w:szCs w:val="18"/>
                <w:b w:val="1"/>
                <w:bCs w:val="1"/>
                <w:i w:val="1"/>
                <w:iCs w:val="1"/>
                <w:color w:val="auto"/>
                <w:w w:val="90"/>
              </w:rPr>
              <w:t xml:space="preserve">CardioSafe </w:t>
            </w:r>
            <w:r>
              <w:rPr>
                <w:rFonts w:ascii="Arial" w:cs="Arial" w:eastAsia="Arial" w:hAnsi="Arial"/>
                <w:sz w:val="18"/>
                <w:szCs w:val="18"/>
                <w:b w:val="1"/>
                <w:bCs w:val="1"/>
                <w:color w:val="auto"/>
                <w:w w:val="90"/>
              </w:rPr>
              <w:t>3D™</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600" w:type="dxa"/>
            <w:vAlign w:val="bottom"/>
            <w:tcBorders>
              <w:top w:val="single" w:sz="8" w:color="auto"/>
            </w:tcBorders>
          </w:tcPr>
          <w:p>
            <w:pPr>
              <w:spacing w:after="0"/>
              <w:rPr>
                <w:sz w:val="2"/>
                <w:szCs w:val="2"/>
                <w:color w:val="auto"/>
              </w:rPr>
            </w:pPr>
          </w:p>
        </w:tc>
        <w:tc>
          <w:tcPr>
            <w:tcW w:w="18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hERG potassium ion channels</w:t>
            </w:r>
          </w:p>
        </w:tc>
        <w:tc>
          <w:tcPr>
            <w:tcW w:w="182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center"/>
              <w:ind w:right="920"/>
              <w:spacing w:after="0"/>
              <w:rPr>
                <w:sz w:val="20"/>
                <w:szCs w:val="20"/>
                <w:color w:val="auto"/>
              </w:rPr>
            </w:pPr>
            <w:r>
              <w:rPr>
                <w:rFonts w:ascii="Arial" w:cs="Arial" w:eastAsia="Arial" w:hAnsi="Arial"/>
                <w:sz w:val="18"/>
                <w:szCs w:val="18"/>
                <w:color w:val="auto"/>
                <w:w w:val="99"/>
              </w:rPr>
              <w:t>ü</w:t>
            </w:r>
          </w:p>
        </w:tc>
        <w:tc>
          <w:tcPr>
            <w:tcW w:w="9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1080"/>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Other potassium ion channels</w:t>
            </w:r>
          </w:p>
        </w:tc>
        <w:tc>
          <w:tcPr>
            <w:tcW w:w="1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360" w:type="dxa"/>
            <w:vAlign w:val="bottom"/>
            <w:gridSpan w:val="2"/>
          </w:tcPr>
          <w:p>
            <w:pPr>
              <w:jc w:val="center"/>
              <w:ind w:right="1080"/>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Calcium ion channels</w:t>
            </w:r>
          </w:p>
        </w:tc>
        <w:tc>
          <w:tcPr>
            <w:tcW w:w="1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1080"/>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Sodium ion channels</w:t>
            </w:r>
          </w:p>
        </w:tc>
        <w:tc>
          <w:tcPr>
            <w:tcW w:w="1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360" w:type="dxa"/>
            <w:vAlign w:val="bottom"/>
            <w:gridSpan w:val="2"/>
          </w:tcPr>
          <w:p>
            <w:pPr>
              <w:jc w:val="center"/>
              <w:ind w:right="1080"/>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Interactions between ion channels</w:t>
            </w:r>
          </w:p>
        </w:tc>
        <w:tc>
          <w:tcPr>
            <w:tcW w:w="1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1080"/>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Channel regulatory proteins</w:t>
            </w:r>
          </w:p>
        </w:tc>
        <w:tc>
          <w:tcPr>
            <w:tcW w:w="1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360" w:type="dxa"/>
            <w:vAlign w:val="bottom"/>
            <w:gridSpan w:val="2"/>
          </w:tcPr>
          <w:p>
            <w:pPr>
              <w:jc w:val="center"/>
              <w:ind w:right="1080"/>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Cell viability</w:t>
            </w:r>
          </w:p>
        </w:tc>
        <w:tc>
          <w:tcPr>
            <w:tcW w:w="1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1080"/>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Apoptosis</w:t>
            </w:r>
          </w:p>
        </w:tc>
        <w:tc>
          <w:tcPr>
            <w:tcW w:w="1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360" w:type="dxa"/>
            <w:vAlign w:val="bottom"/>
            <w:gridSpan w:val="2"/>
          </w:tcPr>
          <w:p>
            <w:pPr>
              <w:jc w:val="center"/>
              <w:ind w:right="1080"/>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Mitochondria</w:t>
            </w:r>
          </w:p>
        </w:tc>
        <w:tc>
          <w:tcPr>
            <w:tcW w:w="1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1080"/>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Energy</w:t>
            </w:r>
          </w:p>
        </w:tc>
        <w:tc>
          <w:tcPr>
            <w:tcW w:w="1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360" w:type="dxa"/>
            <w:vAlign w:val="bottom"/>
            <w:gridSpan w:val="2"/>
          </w:tcPr>
          <w:p>
            <w:pPr>
              <w:jc w:val="center"/>
              <w:ind w:right="1080"/>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Oxidative Stress</w:t>
            </w:r>
          </w:p>
        </w:tc>
        <w:tc>
          <w:tcPr>
            <w:tcW w:w="1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1080"/>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 A</w:t>
      </w:r>
      <w:r>
        <w:rPr>
          <w:rFonts w:ascii="Arial" w:cs="Arial" w:eastAsia="Arial" w:hAnsi="Arial"/>
          <w:sz w:val="18"/>
          <w:szCs w:val="18"/>
          <w:b w:val="1"/>
          <w:bCs w:val="1"/>
          <w:i w:val="1"/>
          <w:iCs w:val="1"/>
          <w:color w:val="auto"/>
        </w:rPr>
        <w:t>ssessment of Kinase Inhibitor-Induced Cardiotoxicity</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To further evaluate the potential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predict cardiac toxicity of drug rescue NCEs </w:t>
      </w:r>
      <w:r>
        <w:rPr>
          <w:rFonts w:ascii="Arial" w:cs="Arial" w:eastAsia="Arial" w:hAnsi="Arial"/>
          <w:sz w:val="18"/>
          <w:szCs w:val="18"/>
          <w:i w:val="1"/>
          <w:iCs w:val="1"/>
          <w:color w:val="auto"/>
        </w:rPr>
        <w:t>in vitro</w:t>
      </w:r>
      <w:r>
        <w:rPr>
          <w:rFonts w:ascii="Arial" w:cs="Arial" w:eastAsia="Arial" w:hAnsi="Arial"/>
          <w:sz w:val="18"/>
          <w:szCs w:val="18"/>
          <w:color w:val="auto"/>
        </w:rPr>
        <w:t>, we have assessed cardiac effects induced by small molecule kinase inhibitors (“</w:t>
      </w:r>
      <w:r>
        <w:rPr>
          <w:rFonts w:ascii="Arial" w:cs="Arial" w:eastAsia="Arial" w:hAnsi="Arial"/>
          <w:sz w:val="18"/>
          <w:szCs w:val="18"/>
          <w:i w:val="1"/>
          <w:iCs w:val="1"/>
          <w:color w:val="auto"/>
        </w:rPr>
        <w:t>KI</w:t>
      </w:r>
      <w:r>
        <w:rPr>
          <w:rFonts w:ascii="Arial" w:cs="Arial" w:eastAsia="Arial" w:hAnsi="Arial"/>
          <w:sz w:val="18"/>
          <w:szCs w:val="18"/>
          <w:color w:val="auto"/>
        </w:rPr>
        <w:t>s”), which belong to a new category of drugs that have revolutionized cancer therapy due to decreased systemic toxicity and an increased anti-tumor cell specific effect compared to classic cancer drugs. Since 1998, the FDA has approved numerous small molecule KIs for cancer therapy. However, many of these FDA-approved KIs have been implicated in causing serious adverse cardiac events in patients which were not identified during drug development using traditional preclinical testing systems.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In our KI-induced cardiotoxicity study, we evaluated well-known anti-cancer KIs with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some of which are FDA-approved and have been documented as cardiotoxic. This important validation set of anti-cancer KI compounds is as follows:</w:t>
      </w:r>
    </w:p>
    <w:p>
      <w:pPr>
        <w:spacing w:after="0" w:line="197" w:lineRule="exact"/>
        <w:rPr>
          <w:sz w:val="20"/>
          <w:szCs w:val="20"/>
          <w:color w:val="auto"/>
        </w:rPr>
      </w:pPr>
    </w:p>
    <w:p>
      <w:pPr>
        <w:ind w:left="1260" w:hanging="347"/>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Inhibitors of growth factor receptors: sunitinib, axitinib, imatinib, dasatinib, sorafenib, erlotinib, lapatinib, tyrphostin and AG1478;</w:t>
      </w:r>
    </w:p>
    <w:p>
      <w:pPr>
        <w:spacing w:after="0" w:line="23" w:lineRule="exact"/>
        <w:rPr>
          <w:rFonts w:ascii="Arial" w:cs="Arial" w:eastAsia="Arial" w:hAnsi="Arial"/>
          <w:sz w:val="18"/>
          <w:szCs w:val="18"/>
          <w:color w:val="auto"/>
        </w:rPr>
      </w:pPr>
    </w:p>
    <w:p>
      <w:pPr>
        <w:ind w:left="1260" w:hanging="347"/>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Inhibitors of the mTOR pathway: everolimus, temsirolimus;</w:t>
      </w:r>
    </w:p>
    <w:p>
      <w:pPr>
        <w:spacing w:after="0" w:line="9" w:lineRule="exact"/>
        <w:rPr>
          <w:rFonts w:ascii="Arial" w:cs="Arial" w:eastAsia="Arial" w:hAnsi="Arial"/>
          <w:sz w:val="18"/>
          <w:szCs w:val="18"/>
          <w:color w:val="auto"/>
        </w:rPr>
      </w:pPr>
    </w:p>
    <w:p>
      <w:pPr>
        <w:ind w:left="1260" w:hanging="347"/>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Inhibitors of cell cycle regulators: tozasertib, barasertib, alvocidib;</w:t>
      </w:r>
    </w:p>
    <w:p>
      <w:pPr>
        <w:spacing w:after="0" w:line="9" w:lineRule="exact"/>
        <w:rPr>
          <w:rFonts w:ascii="Arial" w:cs="Arial" w:eastAsia="Arial" w:hAnsi="Arial"/>
          <w:sz w:val="18"/>
          <w:szCs w:val="18"/>
          <w:color w:val="auto"/>
        </w:rPr>
      </w:pPr>
    </w:p>
    <w:p>
      <w:pPr>
        <w:ind w:left="1260" w:hanging="347"/>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Inhibitors of the PI3K pathway : perifosine, LY294002, XL765;</w:t>
      </w:r>
    </w:p>
    <w:p>
      <w:pPr>
        <w:spacing w:after="0" w:line="9" w:lineRule="exact"/>
        <w:rPr>
          <w:rFonts w:ascii="Arial" w:cs="Arial" w:eastAsia="Arial" w:hAnsi="Arial"/>
          <w:sz w:val="18"/>
          <w:szCs w:val="18"/>
          <w:color w:val="auto"/>
        </w:rPr>
      </w:pPr>
    </w:p>
    <w:p>
      <w:pPr>
        <w:ind w:left="1260" w:hanging="347"/>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Inhibitors of the MEK pathway: PD325901, AZD6264; and</w:t>
      </w:r>
    </w:p>
    <w:p>
      <w:pPr>
        <w:spacing w:after="0" w:line="9" w:lineRule="exact"/>
        <w:rPr>
          <w:rFonts w:ascii="Arial" w:cs="Arial" w:eastAsia="Arial" w:hAnsi="Arial"/>
          <w:sz w:val="18"/>
          <w:szCs w:val="18"/>
          <w:color w:val="auto"/>
        </w:rPr>
      </w:pPr>
    </w:p>
    <w:p>
      <w:pPr>
        <w:ind w:left="1260" w:hanging="347"/>
        <w:spacing w:after="0"/>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Inhibitors of the JAK and other pathways: lestaurtinib.</w:t>
      </w:r>
    </w:p>
    <w:p>
      <w:pPr>
        <w:spacing w:after="0" w:line="23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Our validation data indicate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successfully detected cardiotoxicity induced by each of the representative compounds, consistent with adverse cardiac events observed in the clinic.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assay system is able to distinguish between cardiotoxic and safe compounds, and even between those compounds which inhibit the same kinase pathways. For instance, both sunitinib and axitinib inhibit VEGFR, PDGFR and c-Kit pathways, whereas our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assays indicate that sunitinib is cardiotoxic and axitinib is safe, which is consistent with the reported clinical outcomes.</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Importantly, the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profile of each KI provided us clues to the potential biological mechanism(s) causing cardiac cytotoxicity. For example, cardiac cytotoxicity induced by perifosine was most potent for producing apoptotic responses, while imatinib was most potent for producing oxidative stress. In addition, no cardiac toxicity or alteration in electrophysiology was detected with drugs that do not have a cardiac liability, emphasizing the specificity of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Having information on the biological pathways associated with the cardiac cytotoxic effects of compounds provides important clues for novel medicinal chemistry approaches and compound modifications for our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drug rescue programs.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Another example of the capability of our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assay system enabling the sensitive measurement of drug effects that are consistent with reported clinical responses are the results with sunitinib and dasatinib.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correctly identified that both compounds would cause QT prolongation, arrhythmia, and/or altered contraction rates, which are consistent with clinical observations.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We believe our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correlation data demonstrate that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will improve clinical predictivity as a more comprehensive and clinically-relevant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cardiac safety assay system than the hERG assay, helping not only to identify potential cardiac toxicities early in development, but also to discover important potential biological mechanisms of cardiac cytotoxicity. We believe the results of our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validation studies indicate that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may be effectively used to identify NCEs with reduced cardiotoxicity for our pipeline by providing more accurate and timely indications of alterations in electrophysiological activity, as well as a more clinically relevant assessment of potential cardiac biological effects of drug candidates contributing to cardiac cytotoxicity, than animal models or the hERG assay currently used by pharmaceutical companies. We believe the results of our </w:t>
      </w:r>
      <w:r>
        <w:rPr>
          <w:rFonts w:ascii="Arial" w:cs="Arial" w:eastAsia="Arial" w:hAnsi="Arial"/>
          <w:sz w:val="17"/>
          <w:szCs w:val="17"/>
          <w:i w:val="1"/>
          <w:iCs w:val="1"/>
          <w:color w:val="auto"/>
        </w:rPr>
        <w:t xml:space="preserve">CardioSafe </w:t>
      </w:r>
      <w:r>
        <w:rPr>
          <w:rFonts w:ascii="Arial" w:cs="Arial" w:eastAsia="Arial" w:hAnsi="Arial"/>
          <w:sz w:val="17"/>
          <w:szCs w:val="17"/>
          <w:color w:val="auto"/>
        </w:rPr>
        <w:t>3D validation studies support the central premise of our drug rescue business model: by using our hPSC-derived human heart and liver cell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bioassay systems at the front end of the drug development process, we have the opportunity to take advantage of substantial prior investment by pharmaceutical companies and others in drug discovery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efficacy optimization of still-promising drug candidates that have been terminated prior to FDA approval due to unexpected heart or liver toxicity concerns.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LiverSafe 3D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refer to the highly-functional, non-transformed, mature hPSC-derived hepatocytes we produce as </w:t>
      </w:r>
      <w:r>
        <w:rPr>
          <w:rFonts w:ascii="Arial" w:cs="Arial" w:eastAsia="Arial" w:hAnsi="Arial"/>
          <w:sz w:val="18"/>
          <w:szCs w:val="18"/>
          <w:i w:val="1"/>
          <w:iCs w:val="1"/>
          <w:color w:val="auto"/>
        </w:rPr>
        <w:t>VSTA-heps</w:t>
      </w:r>
      <w:r>
        <w:rPr>
          <w:rFonts w:ascii="Arial" w:cs="Arial" w:eastAsia="Arial" w:hAnsi="Arial"/>
          <w:sz w:val="18"/>
          <w:szCs w:val="18"/>
          <w:color w:val="auto"/>
        </w:rPr>
        <w:t xml:space="preserve">™. </w:t>
      </w:r>
      <w:r>
        <w:rPr>
          <w:rFonts w:ascii="Arial" w:cs="Arial" w:eastAsia="Arial" w:hAnsi="Arial"/>
          <w:sz w:val="18"/>
          <w:szCs w:val="18"/>
          <w:i w:val="1"/>
          <w:iCs w:val="1"/>
          <w:color w:val="auto"/>
        </w:rPr>
        <w:t>VSTA-heps</w:t>
      </w:r>
      <w:r>
        <w:rPr>
          <w:rFonts w:ascii="Arial" w:cs="Arial" w:eastAsia="Arial" w:hAnsi="Arial"/>
          <w:sz w:val="18"/>
          <w:szCs w:val="18"/>
          <w:color w:val="auto"/>
        </w:rPr>
        <w:t xml:space="preserve"> are the foundation of </w:t>
      </w:r>
      <w:r>
        <w:rPr>
          <w:rFonts w:ascii="Arial" w:cs="Arial" w:eastAsia="Arial" w:hAnsi="Arial"/>
          <w:sz w:val="18"/>
          <w:szCs w:val="18"/>
          <w:i w:val="1"/>
          <w:iCs w:val="1"/>
          <w:color w:val="auto"/>
        </w:rPr>
        <w:t xml:space="preserve">LiverSafe </w:t>
      </w:r>
      <w:r>
        <w:rPr>
          <w:rFonts w:ascii="Arial" w:cs="Arial" w:eastAsia="Arial" w:hAnsi="Arial"/>
          <w:sz w:val="18"/>
          <w:szCs w:val="18"/>
          <w:color w:val="auto"/>
        </w:rPr>
        <w:t>3D, a powerful new</w:t>
      </w:r>
      <w:r>
        <w:rPr>
          <w:rFonts w:ascii="Arial" w:cs="Arial" w:eastAsia="Arial" w:hAnsi="Arial"/>
          <w:sz w:val="18"/>
          <w:szCs w:val="18"/>
          <w:i w:val="1"/>
          <w:iCs w:val="1"/>
          <w:color w:val="auto"/>
        </w:rPr>
        <w:t xml:space="preserve"> in vitro </w:t>
      </w:r>
      <w:r>
        <w:rPr>
          <w:rFonts w:ascii="Arial" w:cs="Arial" w:eastAsia="Arial" w:hAnsi="Arial"/>
          <w:sz w:val="18"/>
          <w:szCs w:val="18"/>
          <w:color w:val="auto"/>
        </w:rPr>
        <w:t>hepatotoxicity assay system that we believe goes a step beyond in vitro assays using commercially-available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(human cadaver cell-based) hepatocytes. By combining the flexibility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non-transformed human hepatocyte-based assay system with genetically-consistent, functionally-reliable, and essentially unlimited production based on hPSCs, </w:t>
      </w:r>
      <w:r>
        <w:rPr>
          <w:rFonts w:ascii="Arial" w:cs="Arial" w:eastAsia="Arial" w:hAnsi="Arial"/>
          <w:sz w:val="18"/>
          <w:szCs w:val="18"/>
          <w:i w:val="1"/>
          <w:iCs w:val="1"/>
          <w:color w:val="auto"/>
        </w:rPr>
        <w:t>VSTA-heps</w:t>
      </w:r>
      <w:r>
        <w:rPr>
          <w:rFonts w:ascii="Arial" w:cs="Arial" w:eastAsia="Arial" w:hAnsi="Arial"/>
          <w:sz w:val="18"/>
          <w:szCs w:val="18"/>
          <w:color w:val="auto"/>
        </w:rPr>
        <w:t>, can be maintained in a healthy state for much longer than the primary hepatocytes used in FDA-required drug metabolism assays, greatly enhancing the reliability and predictability of our hepatotoxicity testing for our drug rescue programs.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Until now, reliable human cell-based hepatotoxicity screening platforms have been difficult to establish for high throughput drug development with currently available primary hepatocyte systems. Commercially available primary (cadaver) hepatocytes are in short supply, are genetically variable, functionally inconsistent, and have a short lifespan in culture, during which they rapidly lose their drug metabolizing capabilities and develop signs of cellular stress. Commercially-available primary hepatocytes also have significant batch-to-batch genetic and functional activity that varies widely batch-to-batch. Primary hepatocytes are derived from individuals with significant genetic differences, unknown differences in health status, and widely different drug exposures, each potentially contributing significant but unquantifiable effects on hepatocyte function, resulting in very large unpredictable ranges of drug metabolism activity. Consequently, it is difficult to maintain reproducible quantitative measurements in drug testing assays using currently available primary (cadaver) hepatocyte assays. This leads to limitations in the quality, reliability, and clinical predictivity of the results and conclusions drawn assays based on primary (cadaver) hepatocytes.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We believe </w:t>
      </w:r>
      <w:r>
        <w:rPr>
          <w:rFonts w:ascii="Arial" w:cs="Arial" w:eastAsia="Arial" w:hAnsi="Arial"/>
          <w:sz w:val="17"/>
          <w:szCs w:val="17"/>
          <w:i w:val="1"/>
          <w:iCs w:val="1"/>
          <w:color w:val="auto"/>
        </w:rPr>
        <w:t>VSTA-heps</w:t>
      </w:r>
      <w:r>
        <w:rPr>
          <w:rFonts w:ascii="Arial" w:cs="Arial" w:eastAsia="Arial" w:hAnsi="Arial"/>
          <w:sz w:val="17"/>
          <w:szCs w:val="17"/>
          <w:color w:val="auto"/>
        </w:rPr>
        <w:t xml:space="preserve"> overcome the foregoing limitations of primary hepatocytes. Our </w:t>
      </w:r>
      <w:r>
        <w:rPr>
          <w:rFonts w:ascii="Arial" w:cs="Arial" w:eastAsia="Arial" w:hAnsi="Arial"/>
          <w:sz w:val="17"/>
          <w:szCs w:val="17"/>
          <w:i w:val="1"/>
          <w:iCs w:val="1"/>
          <w:color w:val="auto"/>
        </w:rPr>
        <w:t>VSTA-heps</w:t>
      </w:r>
      <w:r>
        <w:rPr>
          <w:rFonts w:ascii="Arial" w:cs="Arial" w:eastAsia="Arial" w:hAnsi="Arial"/>
          <w:sz w:val="17"/>
          <w:szCs w:val="17"/>
          <w:color w:val="auto"/>
        </w:rPr>
        <w:t xml:space="preserve"> are derived from the same hPSC line, are genetically identical, normal, non-transformed (that is, not tumor-derived) human cells capable of being produced in essentially unlimited supply. Importantly, </w:t>
      </w:r>
      <w:r>
        <w:rPr>
          <w:rFonts w:ascii="Arial" w:cs="Arial" w:eastAsia="Arial" w:hAnsi="Arial"/>
          <w:sz w:val="17"/>
          <w:szCs w:val="17"/>
          <w:i w:val="1"/>
          <w:iCs w:val="1"/>
          <w:color w:val="auto"/>
        </w:rPr>
        <w:t>VSTA-heps</w:t>
      </w:r>
      <w:r>
        <w:rPr>
          <w:rFonts w:ascii="Arial" w:cs="Arial" w:eastAsia="Arial" w:hAnsi="Arial"/>
          <w:sz w:val="17"/>
          <w:szCs w:val="17"/>
          <w:color w:val="auto"/>
        </w:rPr>
        <w:t xml:space="preserve"> can be indefinitely produced and, we believe, frozen for storage into large, uniform, quality-controlled cell banks.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table below reflects important characteristics of </w:t>
      </w:r>
      <w:r>
        <w:rPr>
          <w:rFonts w:ascii="Arial" w:cs="Arial" w:eastAsia="Arial" w:hAnsi="Arial"/>
          <w:sz w:val="18"/>
          <w:szCs w:val="18"/>
          <w:i w:val="1"/>
          <w:iCs w:val="1"/>
          <w:color w:val="auto"/>
        </w:rPr>
        <w:t>VSTA-heps</w:t>
      </w:r>
      <w:r>
        <w:rPr>
          <w:rFonts w:ascii="Arial" w:cs="Arial" w:eastAsia="Arial" w:hAnsi="Arial"/>
          <w:sz w:val="18"/>
          <w:szCs w:val="18"/>
          <w:color w:val="auto"/>
        </w:rPr>
        <w:t xml:space="preserve"> compared to commercially-available primary hepatocytes used in FDA-required drug metabolism studies: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80" w:type="dxa"/>
            <w:vAlign w:val="bottom"/>
            <w:gridSpan w:val="3"/>
          </w:tcPr>
          <w:p>
            <w:pPr>
              <w:ind w:left="1480"/>
              <w:spacing w:after="0"/>
              <w:rPr>
                <w:sz w:val="20"/>
                <w:szCs w:val="20"/>
                <w:color w:val="auto"/>
              </w:rPr>
            </w:pPr>
            <w:r>
              <w:rPr>
                <w:rFonts w:ascii="Arial" w:cs="Arial" w:eastAsia="Arial" w:hAnsi="Arial"/>
                <w:sz w:val="18"/>
                <w:szCs w:val="18"/>
                <w:color w:val="auto"/>
              </w:rPr>
              <w:t xml:space="preserve">Characteristics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hepatocyte assays:</w:t>
            </w:r>
          </w:p>
        </w:tc>
        <w:tc>
          <w:tcPr>
            <w:tcW w:w="290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89"/>
              </w:rPr>
              <w:t>Primary hepatocytes</w:t>
            </w:r>
          </w:p>
        </w:tc>
        <w:tc>
          <w:tcPr>
            <w:tcW w:w="1820" w:type="dxa"/>
            <w:vAlign w:val="bottom"/>
            <w:gridSpan w:val="2"/>
          </w:tcPr>
          <w:p>
            <w:pPr>
              <w:jc w:val="center"/>
              <w:ind w:right="800"/>
              <w:spacing w:after="0"/>
              <w:rPr>
                <w:sz w:val="20"/>
                <w:szCs w:val="20"/>
                <w:color w:val="auto"/>
              </w:rPr>
            </w:pPr>
            <w:r>
              <w:rPr>
                <w:rFonts w:ascii="Arial" w:cs="Arial" w:eastAsia="Arial" w:hAnsi="Arial"/>
                <w:sz w:val="18"/>
                <w:szCs w:val="18"/>
                <w:b w:val="1"/>
                <w:bCs w:val="1"/>
                <w:i w:val="1"/>
                <w:iCs w:val="1"/>
                <w:color w:val="auto"/>
                <w:w w:val="89"/>
              </w:rPr>
              <w:t>VSTA-heps™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Human cells</w:t>
            </w:r>
          </w:p>
        </w:tc>
        <w:tc>
          <w:tcPr>
            <w:tcW w:w="2900" w:type="dxa"/>
            <w:vAlign w:val="bottom"/>
            <w:gridSpan w:val="2"/>
            <w:shd w:val="clear" w:color="auto" w:fill="CCEEFF"/>
          </w:tcPr>
          <w:p>
            <w:pPr>
              <w:jc w:val="center"/>
              <w:ind w:right="1320"/>
              <w:spacing w:after="0"/>
              <w:rPr>
                <w:sz w:val="20"/>
                <w:szCs w:val="20"/>
                <w:color w:val="auto"/>
              </w:rPr>
            </w:pPr>
            <w:r>
              <w:rPr>
                <w:rFonts w:ascii="Arial" w:cs="Arial" w:eastAsia="Arial" w:hAnsi="Arial"/>
                <w:sz w:val="18"/>
                <w:szCs w:val="18"/>
                <w:color w:val="auto"/>
                <w:w w:val="99"/>
              </w:rPr>
              <w:t>ü</w:t>
            </w:r>
          </w:p>
        </w:tc>
        <w:tc>
          <w:tcPr>
            <w:tcW w:w="1820" w:type="dxa"/>
            <w:vAlign w:val="bottom"/>
            <w:gridSpan w:val="2"/>
            <w:shd w:val="clear" w:color="auto" w:fill="CCEEFF"/>
          </w:tcPr>
          <w:p>
            <w:pPr>
              <w:jc w:val="center"/>
              <w:ind w:right="800"/>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Liver enzyme activity</w:t>
            </w:r>
          </w:p>
        </w:tc>
        <w:tc>
          <w:tcPr>
            <w:tcW w:w="2900" w:type="dxa"/>
            <w:vAlign w:val="bottom"/>
            <w:gridSpan w:val="2"/>
          </w:tcPr>
          <w:p>
            <w:pPr>
              <w:jc w:val="center"/>
              <w:ind w:right="1320"/>
              <w:spacing w:after="0"/>
              <w:rPr>
                <w:sz w:val="20"/>
                <w:szCs w:val="20"/>
                <w:color w:val="auto"/>
              </w:rPr>
            </w:pPr>
            <w:r>
              <w:rPr>
                <w:rFonts w:ascii="Arial" w:cs="Arial" w:eastAsia="Arial" w:hAnsi="Arial"/>
                <w:sz w:val="18"/>
                <w:szCs w:val="18"/>
                <w:color w:val="auto"/>
                <w:w w:val="99"/>
              </w:rPr>
              <w:t>ü</w:t>
            </w:r>
          </w:p>
        </w:tc>
        <w:tc>
          <w:tcPr>
            <w:tcW w:w="1820" w:type="dxa"/>
            <w:vAlign w:val="bottom"/>
            <w:gridSpan w:val="2"/>
          </w:tcPr>
          <w:p>
            <w:pPr>
              <w:jc w:val="center"/>
              <w:ind w:right="800"/>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Within batch reproducibility</w:t>
            </w:r>
          </w:p>
        </w:tc>
        <w:tc>
          <w:tcPr>
            <w:tcW w:w="2900" w:type="dxa"/>
            <w:vAlign w:val="bottom"/>
            <w:gridSpan w:val="2"/>
            <w:shd w:val="clear" w:color="auto" w:fill="CCEEFF"/>
          </w:tcPr>
          <w:p>
            <w:pPr>
              <w:jc w:val="center"/>
              <w:ind w:right="1320"/>
              <w:spacing w:after="0"/>
              <w:rPr>
                <w:sz w:val="20"/>
                <w:szCs w:val="20"/>
                <w:color w:val="auto"/>
              </w:rPr>
            </w:pPr>
            <w:r>
              <w:rPr>
                <w:rFonts w:ascii="Arial" w:cs="Arial" w:eastAsia="Arial" w:hAnsi="Arial"/>
                <w:sz w:val="18"/>
                <w:szCs w:val="18"/>
                <w:color w:val="auto"/>
                <w:w w:val="99"/>
              </w:rPr>
              <w:t>ü</w:t>
            </w:r>
          </w:p>
        </w:tc>
        <w:tc>
          <w:tcPr>
            <w:tcW w:w="1820" w:type="dxa"/>
            <w:vAlign w:val="bottom"/>
            <w:gridSpan w:val="2"/>
            <w:shd w:val="clear" w:color="auto" w:fill="CCEEFF"/>
          </w:tcPr>
          <w:p>
            <w:pPr>
              <w:jc w:val="center"/>
              <w:ind w:right="800"/>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Batch-to-batch reproducibility</w:t>
            </w: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 term culture</w:t>
            </w:r>
          </w:p>
        </w:tc>
        <w:tc>
          <w:tcPr>
            <w:tcW w:w="1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800"/>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Maintenance of function in culture</w:t>
            </w: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Parental cells can be expanded into large batches</w:t>
            </w:r>
          </w:p>
        </w:tc>
        <w:tc>
          <w:tcPr>
            <w:tcW w:w="1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800"/>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Uniform genetic background between batches</w:t>
            </w:r>
          </w:p>
        </w:tc>
        <w:tc>
          <w:tcPr>
            <w:tcW w:w="1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Uniform donor health status between batches</w:t>
            </w:r>
          </w:p>
        </w:tc>
        <w:tc>
          <w:tcPr>
            <w:tcW w:w="15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800"/>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Gene “reporters” can be genetically inserted</w:t>
            </w:r>
          </w:p>
        </w:tc>
        <w:tc>
          <w:tcPr>
            <w:tcW w:w="1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418"/>
        </w:trPr>
        <w:tc>
          <w:tcPr>
            <w:tcW w:w="6700" w:type="dxa"/>
            <w:vAlign w:val="bottom"/>
            <w:gridSpan w:val="4"/>
          </w:tcPr>
          <w:p>
            <w:pPr>
              <w:spacing w:after="0"/>
              <w:rPr>
                <w:sz w:val="20"/>
                <w:szCs w:val="20"/>
                <w:color w:val="auto"/>
              </w:rPr>
            </w:pPr>
            <w:r>
              <w:rPr>
                <w:rFonts w:ascii="Arial" w:cs="Arial" w:eastAsia="Arial" w:hAnsi="Arial"/>
                <w:sz w:val="18"/>
                <w:szCs w:val="18"/>
                <w:i w:val="1"/>
                <w:iCs w:val="1"/>
                <w:color w:val="auto"/>
              </w:rPr>
              <w:t xml:space="preserve">VSTA-heps </w:t>
            </w:r>
            <w:r>
              <w:rPr>
                <w:rFonts w:ascii="Arial" w:cs="Arial" w:eastAsia="Arial" w:hAnsi="Arial"/>
                <w:sz w:val="18"/>
                <w:szCs w:val="18"/>
                <w:color w:val="auto"/>
              </w:rPr>
              <w:t>and CYP3A4 Enzyme Expression for Drug Metabolism</w:t>
            </w:r>
          </w:p>
        </w:tc>
        <w:tc>
          <w:tcPr>
            <w:tcW w:w="15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In the past, the challenge to using hPSC-derived hepatocytes has been differentiating the stem cells into mature hepatocytes that express a full complement of functional drug metabolizing enzymes, nuclear receptors, and transporters at least as well as primary hepatocytes. While many groups have taken on this challenge in recent years, published reports indicate that current hPSC differentiation protocols yield immature hepatocytes, especially with respect to extremely low expression of certain key adult drug metabolizing enzymes, such as </w:t>
      </w:r>
      <w:r>
        <w:rPr>
          <w:rFonts w:ascii="Arial" w:cs="Arial" w:eastAsia="Arial" w:hAnsi="Arial"/>
          <w:sz w:val="18"/>
          <w:szCs w:val="18"/>
          <w:i w:val="1"/>
          <w:iCs w:val="1"/>
          <w:color w:val="auto"/>
        </w:rPr>
        <w:t>CYP3A4</w:t>
      </w:r>
      <w:r>
        <w:rPr>
          <w:rFonts w:ascii="Arial" w:cs="Arial" w:eastAsia="Arial" w:hAnsi="Arial"/>
          <w:sz w:val="18"/>
          <w:szCs w:val="18"/>
          <w:color w:val="auto"/>
        </w:rPr>
        <w:t xml:space="preserve">. </w:t>
      </w:r>
      <w:r>
        <w:rPr>
          <w:rFonts w:ascii="Arial" w:cs="Arial" w:eastAsia="Arial" w:hAnsi="Arial"/>
          <w:sz w:val="18"/>
          <w:szCs w:val="18"/>
          <w:i w:val="1"/>
          <w:iCs w:val="1"/>
          <w:color w:val="auto"/>
        </w:rPr>
        <w:t>CYP3A4</w:t>
      </w:r>
      <w:r>
        <w:rPr>
          <w:rFonts w:ascii="Arial" w:cs="Arial" w:eastAsia="Arial" w:hAnsi="Arial"/>
          <w:sz w:val="18"/>
          <w:szCs w:val="18"/>
          <w:color w:val="auto"/>
        </w:rPr>
        <w:t xml:space="preserve"> is a critical liver enzyme responsible for metabolizing approximately one-third of the FDA-approved drugs currently available on the market. It is an important and well-accepted functional gene found almost exclusively in mature, adult hepatocytes. </w:t>
      </w:r>
      <w:r>
        <w:rPr>
          <w:rFonts w:ascii="Arial" w:cs="Arial" w:eastAsia="Arial" w:hAnsi="Arial"/>
          <w:sz w:val="18"/>
          <w:szCs w:val="18"/>
          <w:i w:val="1"/>
          <w:iCs w:val="1"/>
          <w:color w:val="auto"/>
        </w:rPr>
        <w:t>CYP3A4</w:t>
      </w:r>
      <w:r>
        <w:rPr>
          <w:rFonts w:ascii="Arial" w:cs="Arial" w:eastAsia="Arial" w:hAnsi="Arial"/>
          <w:sz w:val="18"/>
          <w:szCs w:val="18"/>
          <w:color w:val="auto"/>
        </w:rPr>
        <w:t xml:space="preserve"> is the key functional marker that we have used to optimize our </w:t>
      </w:r>
      <w:r>
        <w:rPr>
          <w:rFonts w:ascii="Arial" w:cs="Arial" w:eastAsia="Arial" w:hAnsi="Arial"/>
          <w:sz w:val="18"/>
          <w:szCs w:val="18"/>
          <w:i w:val="1"/>
          <w:iCs w:val="1"/>
          <w:color w:val="auto"/>
        </w:rPr>
        <w:t>VSTA-hep</w:t>
      </w:r>
      <w:r>
        <w:rPr>
          <w:rFonts w:ascii="Arial" w:cs="Arial" w:eastAsia="Arial" w:hAnsi="Arial"/>
          <w:sz w:val="18"/>
          <w:szCs w:val="18"/>
          <w:color w:val="auto"/>
        </w:rPr>
        <w:t xml:space="preserve"> differentiation cultures for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We believe our optimized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assay system enables us to generate more mature hPSC-derived hepatocytes than are currently available from others in the field and that our </w:t>
      </w:r>
      <w:r>
        <w:rPr>
          <w:rFonts w:ascii="Arial" w:cs="Arial" w:eastAsia="Arial" w:hAnsi="Arial"/>
          <w:sz w:val="18"/>
          <w:szCs w:val="18"/>
          <w:i w:val="1"/>
          <w:iCs w:val="1"/>
          <w:color w:val="auto"/>
        </w:rPr>
        <w:t>LiverSafe</w:t>
      </w:r>
      <w:r>
        <w:rPr>
          <w:rFonts w:ascii="Arial" w:cs="Arial" w:eastAsia="Arial" w:hAnsi="Arial"/>
          <w:sz w:val="18"/>
          <w:szCs w:val="18"/>
          <w:color w:val="auto"/>
        </w:rPr>
        <w:t xml:space="preserve"> 3D system provides the unique ability to specifically select for mature </w:t>
      </w:r>
      <w:r>
        <w:rPr>
          <w:rFonts w:ascii="Arial" w:cs="Arial" w:eastAsia="Arial" w:hAnsi="Arial"/>
          <w:sz w:val="18"/>
          <w:szCs w:val="18"/>
          <w:i w:val="1"/>
          <w:iCs w:val="1"/>
          <w:color w:val="auto"/>
        </w:rPr>
        <w:t>CYP3A4</w:t>
      </w:r>
      <w:r>
        <w:rPr>
          <w:rFonts w:ascii="Arial" w:cs="Arial" w:eastAsia="Arial" w:hAnsi="Arial"/>
          <w:sz w:val="18"/>
          <w:szCs w:val="18"/>
          <w:color w:val="auto"/>
        </w:rPr>
        <w:t>-expressing human hepatocytes.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We developed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using hPSC differentiation protocols adapted from the laboratory of our co-founder, Dr. Gordon Keller, and our proprietary hPSC cell line, 3A4BLA. This 3A4BLA cell line is a hESC line that contains a humanized BLA “reporter” that is placed in the </w:t>
      </w:r>
      <w:r>
        <w:rPr>
          <w:rFonts w:ascii="Arial" w:cs="Arial" w:eastAsia="Arial" w:hAnsi="Arial"/>
          <w:sz w:val="17"/>
          <w:szCs w:val="17"/>
          <w:i w:val="1"/>
          <w:iCs w:val="1"/>
          <w:color w:val="auto"/>
        </w:rPr>
        <w:t>CYP3A4</w:t>
      </w:r>
      <w:r>
        <w:rPr>
          <w:rFonts w:ascii="Arial" w:cs="Arial" w:eastAsia="Arial" w:hAnsi="Arial"/>
          <w:sz w:val="17"/>
          <w:szCs w:val="17"/>
          <w:color w:val="auto"/>
        </w:rPr>
        <w:t xml:space="preserve"> gene in a manner resulting in the expression of BLA only in cells that also express </w:t>
      </w:r>
      <w:r>
        <w:rPr>
          <w:rFonts w:ascii="Arial" w:cs="Arial" w:eastAsia="Arial" w:hAnsi="Arial"/>
          <w:sz w:val="17"/>
          <w:szCs w:val="17"/>
          <w:i w:val="1"/>
          <w:iCs w:val="1"/>
          <w:color w:val="auto"/>
        </w:rPr>
        <w:t>CYP3A4</w:t>
      </w:r>
      <w:r>
        <w:rPr>
          <w:rFonts w:ascii="Arial" w:cs="Arial" w:eastAsia="Arial" w:hAnsi="Arial"/>
          <w:sz w:val="17"/>
          <w:szCs w:val="17"/>
          <w:color w:val="auto"/>
        </w:rPr>
        <w:t xml:space="preserve">. This allows us to visualize by fluorescence cells that express </w:t>
      </w:r>
      <w:r>
        <w:rPr>
          <w:rFonts w:ascii="Arial" w:cs="Arial" w:eastAsia="Arial" w:hAnsi="Arial"/>
          <w:sz w:val="17"/>
          <w:szCs w:val="17"/>
          <w:i w:val="1"/>
          <w:iCs w:val="1"/>
          <w:color w:val="auto"/>
        </w:rPr>
        <w:t>CYP3A4</w:t>
      </w:r>
      <w:r>
        <w:rPr>
          <w:rFonts w:ascii="Arial" w:cs="Arial" w:eastAsia="Arial" w:hAnsi="Arial"/>
          <w:sz w:val="17"/>
          <w:szCs w:val="17"/>
          <w:color w:val="auto"/>
        </w:rPr>
        <w:t xml:space="preserve"> based on expression of the BLA reporter. By producing a cell line capable of tracking </w:t>
      </w:r>
      <w:r>
        <w:rPr>
          <w:rFonts w:ascii="Arial" w:cs="Arial" w:eastAsia="Arial" w:hAnsi="Arial"/>
          <w:sz w:val="17"/>
          <w:szCs w:val="17"/>
          <w:i w:val="1"/>
          <w:iCs w:val="1"/>
          <w:color w:val="auto"/>
        </w:rPr>
        <w:t>CYP3A4</w:t>
      </w:r>
      <w:r>
        <w:rPr>
          <w:rFonts w:ascii="Arial" w:cs="Arial" w:eastAsia="Arial" w:hAnsi="Arial"/>
          <w:sz w:val="17"/>
          <w:szCs w:val="17"/>
          <w:color w:val="auto"/>
        </w:rPr>
        <w:t xml:space="preserve"> expression, we have been able to optimize our hPSC differentiation protocols to increase expression of mature hepatocyte markers and drug metabolizing enzymes and to enrich for </w:t>
      </w:r>
      <w:r>
        <w:rPr>
          <w:rFonts w:ascii="Arial" w:cs="Arial" w:eastAsia="Arial" w:hAnsi="Arial"/>
          <w:sz w:val="17"/>
          <w:szCs w:val="17"/>
          <w:i w:val="1"/>
          <w:iCs w:val="1"/>
          <w:color w:val="auto"/>
        </w:rPr>
        <w:t>CYP3A4</w:t>
      </w:r>
      <w:r>
        <w:rPr>
          <w:rFonts w:ascii="Arial" w:cs="Arial" w:eastAsia="Arial" w:hAnsi="Arial"/>
          <w:sz w:val="17"/>
          <w:szCs w:val="17"/>
          <w:color w:val="auto"/>
        </w:rPr>
        <w:t xml:space="preserve">-expressing cells by cell sorting. However, even in the absence of cell sorting, our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hepatocyte populations contain greater than 80% albumin-positive cells and greater than 40% </w:t>
      </w:r>
      <w:r>
        <w:rPr>
          <w:rFonts w:ascii="Arial" w:cs="Arial" w:eastAsia="Arial" w:hAnsi="Arial"/>
          <w:sz w:val="17"/>
          <w:szCs w:val="17"/>
          <w:i w:val="1"/>
          <w:iCs w:val="1"/>
          <w:color w:val="auto"/>
        </w:rPr>
        <w:t>CYP3A4</w:t>
      </w:r>
      <w:r>
        <w:rPr>
          <w:rFonts w:ascii="Arial" w:cs="Arial" w:eastAsia="Arial" w:hAnsi="Arial"/>
          <w:sz w:val="17"/>
          <w:szCs w:val="17"/>
          <w:color w:val="auto"/>
        </w:rPr>
        <w:t xml:space="preserve">-positive cells, with </w:t>
      </w:r>
      <w:r>
        <w:rPr>
          <w:rFonts w:ascii="Arial" w:cs="Arial" w:eastAsia="Arial" w:hAnsi="Arial"/>
          <w:sz w:val="17"/>
          <w:szCs w:val="17"/>
          <w:i w:val="1"/>
          <w:iCs w:val="1"/>
          <w:color w:val="auto"/>
        </w:rPr>
        <w:t>CYP3A4</w:t>
      </w:r>
      <w:r>
        <w:rPr>
          <w:rFonts w:ascii="Arial" w:cs="Arial" w:eastAsia="Arial" w:hAnsi="Arial"/>
          <w:sz w:val="17"/>
          <w:szCs w:val="17"/>
          <w:color w:val="auto"/>
        </w:rPr>
        <w:t xml:space="preserve"> mRNA expression reaching levels nearly 60-fold higher than side-by-side 38-week human fetal liver controls. Our </w:t>
      </w:r>
      <w:r>
        <w:rPr>
          <w:rFonts w:ascii="Arial" w:cs="Arial" w:eastAsia="Arial" w:hAnsi="Arial"/>
          <w:sz w:val="17"/>
          <w:szCs w:val="17"/>
          <w:i w:val="1"/>
          <w:iCs w:val="1"/>
          <w:color w:val="auto"/>
        </w:rPr>
        <w:t>VSTA-heps</w:t>
      </w:r>
      <w:r>
        <w:rPr>
          <w:rFonts w:ascii="Arial" w:cs="Arial" w:eastAsia="Arial" w:hAnsi="Arial"/>
          <w:sz w:val="17"/>
          <w:szCs w:val="17"/>
          <w:color w:val="auto"/>
        </w:rPr>
        <w:t xml:space="preserve"> secrete urea and albumin, functional markers of hepatocytes, at levels that exceed commercially-available primary (cadaver) hepatocytes. They also store both glycogen and lipids, which are additional characteristics required of functional, mature adult hepatocytes. Importantly, expression of fetal liver markers decreases over the time course of maturation of our </w:t>
      </w:r>
      <w:r>
        <w:rPr>
          <w:rFonts w:ascii="Arial" w:cs="Arial" w:eastAsia="Arial" w:hAnsi="Arial"/>
          <w:sz w:val="17"/>
          <w:szCs w:val="17"/>
          <w:i w:val="1"/>
          <w:iCs w:val="1"/>
          <w:color w:val="auto"/>
        </w:rPr>
        <w:t>VSTA-heps</w:t>
      </w:r>
      <w:r>
        <w:rPr>
          <w:rFonts w:ascii="Arial" w:cs="Arial" w:eastAsia="Arial" w:hAnsi="Arial"/>
          <w:sz w:val="17"/>
          <w:szCs w:val="17"/>
          <w:color w:val="auto"/>
        </w:rPr>
        <w:t xml:space="preserve">. This transition to a more mature state with decreased fetal gene expression is expected and essential for the production of adult functional hepatocytes, but it has rarely been reported by others in publications describing their hPSC-derived hepatocytes. With the addition of cell sorting, our </w:t>
      </w:r>
      <w:r>
        <w:rPr>
          <w:rFonts w:ascii="Arial" w:cs="Arial" w:eastAsia="Arial" w:hAnsi="Arial"/>
          <w:sz w:val="17"/>
          <w:szCs w:val="17"/>
          <w:i w:val="1"/>
          <w:iCs w:val="1"/>
          <w:color w:val="auto"/>
        </w:rPr>
        <w:t>VSTA-heps</w:t>
      </w:r>
      <w:r>
        <w:rPr>
          <w:rFonts w:ascii="Arial" w:cs="Arial" w:eastAsia="Arial" w:hAnsi="Arial"/>
          <w:sz w:val="17"/>
          <w:szCs w:val="17"/>
          <w:color w:val="auto"/>
        </w:rPr>
        <w:t xml:space="preserve"> can be highly enriched for </w:t>
      </w:r>
      <w:r>
        <w:rPr>
          <w:rFonts w:ascii="Arial" w:cs="Arial" w:eastAsia="Arial" w:hAnsi="Arial"/>
          <w:sz w:val="17"/>
          <w:szCs w:val="17"/>
          <w:i w:val="1"/>
          <w:iCs w:val="1"/>
          <w:color w:val="auto"/>
        </w:rPr>
        <w:t>CYP3A4</w:t>
      </w:r>
      <w:r>
        <w:rPr>
          <w:rFonts w:ascii="Arial" w:cs="Arial" w:eastAsia="Arial" w:hAnsi="Arial"/>
          <w:sz w:val="17"/>
          <w:szCs w:val="17"/>
          <w:color w:val="auto"/>
        </w:rPr>
        <w:t xml:space="preserve">-BLA-positive cells, with </w:t>
      </w:r>
      <w:r>
        <w:rPr>
          <w:rFonts w:ascii="Arial" w:cs="Arial" w:eastAsia="Arial" w:hAnsi="Arial"/>
          <w:sz w:val="17"/>
          <w:szCs w:val="17"/>
          <w:i w:val="1"/>
          <w:iCs w:val="1"/>
          <w:color w:val="auto"/>
        </w:rPr>
        <w:t xml:space="preserve">CYP3A4 </w:t>
      </w:r>
      <w:r>
        <w:rPr>
          <w:rFonts w:ascii="Arial" w:cs="Arial" w:eastAsia="Arial" w:hAnsi="Arial"/>
          <w:sz w:val="17"/>
          <w:szCs w:val="17"/>
          <w:color w:val="auto"/>
        </w:rPr>
        <w:t>message in the positive cell population reaching greater than 30% that of an adult human liver pool control. To our knowledge, this level of</w:t>
      </w:r>
      <w:r>
        <w:rPr>
          <w:rFonts w:ascii="Arial" w:cs="Arial" w:eastAsia="Arial" w:hAnsi="Arial"/>
          <w:sz w:val="17"/>
          <w:szCs w:val="17"/>
          <w:i w:val="1"/>
          <w:iCs w:val="1"/>
          <w:color w:val="auto"/>
        </w:rPr>
        <w:t xml:space="preserve"> CYP3A4 </w:t>
      </w:r>
      <w:r>
        <w:rPr>
          <w:rFonts w:ascii="Arial" w:cs="Arial" w:eastAsia="Arial" w:hAnsi="Arial"/>
          <w:sz w:val="17"/>
          <w:szCs w:val="17"/>
          <w:color w:val="auto"/>
        </w:rPr>
        <w:t>expression exceeds levels reported by others in the literature.</w:t>
      </w:r>
    </w:p>
    <w:p>
      <w:pPr>
        <w:spacing w:after="0" w:line="21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The most important capabilities of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relate to “Phase I” and “Phase II” drug metabolism, which are functional characteristics of mature adult hepatocytes. We have validated these capabilities of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by demonstrating its ability to metabolize known substrates, such as testosterone, and its ability to respond properly to known inducers of Phase I-mediated </w:t>
      </w:r>
      <w:r>
        <w:rPr>
          <w:rFonts w:ascii="Arial" w:cs="Arial" w:eastAsia="Arial" w:hAnsi="Arial"/>
          <w:sz w:val="17"/>
          <w:szCs w:val="17"/>
          <w:i w:val="1"/>
          <w:iCs w:val="1"/>
          <w:color w:val="auto"/>
        </w:rPr>
        <w:t>CYP3A4</w:t>
      </w:r>
      <w:r>
        <w:rPr>
          <w:rFonts w:ascii="Arial" w:cs="Arial" w:eastAsia="Arial" w:hAnsi="Arial"/>
          <w:sz w:val="17"/>
          <w:szCs w:val="17"/>
          <w:color w:val="auto"/>
        </w:rPr>
        <w:t xml:space="preserve"> metabolism, such as rifampicin. Moreover, our </w:t>
      </w:r>
      <w:r>
        <w:rPr>
          <w:rFonts w:ascii="Arial" w:cs="Arial" w:eastAsia="Arial" w:hAnsi="Arial"/>
          <w:sz w:val="17"/>
          <w:szCs w:val="17"/>
          <w:i w:val="1"/>
          <w:iCs w:val="1"/>
          <w:color w:val="auto"/>
        </w:rPr>
        <w:t>VSTA-heps</w:t>
      </w:r>
      <w:r>
        <w:rPr>
          <w:rFonts w:ascii="Arial" w:cs="Arial" w:eastAsia="Arial" w:hAnsi="Arial"/>
          <w:sz w:val="17"/>
          <w:szCs w:val="17"/>
          <w:color w:val="auto"/>
        </w:rPr>
        <w:t xml:space="preserve"> demonstrate Phase II-mediated testosterone metabolism levels that exceed commercially-available primary hepatocytes. These functional characteristics of mature adult hepatocytes are critical to the development of a reliable and clinically predictive hepatotoxicity screening platform for our drug rescue programs. We are currently focused on expanding our panel of validation assays and compounds to include more P450 substrates, inducers, and inhibitors, as well as adapting the cellular toxicity assays that have been developed for our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assay system to our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assay system and to apply specific functional screening, such as albumin and urea secretion assays.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We believe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with </w:t>
      </w:r>
      <w:r>
        <w:rPr>
          <w:rFonts w:ascii="Arial" w:cs="Arial" w:eastAsia="Arial" w:hAnsi="Arial"/>
          <w:sz w:val="16"/>
          <w:szCs w:val="16"/>
          <w:i w:val="1"/>
          <w:iCs w:val="1"/>
          <w:color w:val="auto"/>
        </w:rPr>
        <w:t>VSTA-heps</w:t>
      </w:r>
      <w:r>
        <w:rPr>
          <w:rFonts w:ascii="Arial" w:cs="Arial" w:eastAsia="Arial" w:hAnsi="Arial"/>
          <w:sz w:val="16"/>
          <w:szCs w:val="16"/>
          <w:color w:val="auto"/>
        </w:rPr>
        <w:t xml:space="preserve"> offers the capability of producing a genetically-identical, renewable, and reproducible hepatotoxicity assay system for drug rescue and development that provides advantages over in vitro assays using commercially-available primary hepatocytes. In addition, it offers the ability to produce hepatocyte assays that contain common genetic variations in drug metabolizing genes that are expressed in subsets of individuals, and therefore drug development. We have demonstrated that our </w:t>
      </w:r>
      <w:r>
        <w:rPr>
          <w:rFonts w:ascii="Arial" w:cs="Arial" w:eastAsia="Arial" w:hAnsi="Arial"/>
          <w:sz w:val="16"/>
          <w:szCs w:val="16"/>
          <w:i w:val="1"/>
          <w:iCs w:val="1"/>
          <w:color w:val="auto"/>
        </w:rPr>
        <w:t>VSTA-heps</w:t>
      </w:r>
      <w:r>
        <w:rPr>
          <w:rFonts w:ascii="Arial" w:cs="Arial" w:eastAsia="Arial" w:hAnsi="Arial"/>
          <w:sz w:val="16"/>
          <w:szCs w:val="16"/>
          <w:color w:val="auto"/>
        </w:rPr>
        <w:t xml:space="preserve">, even in the absence of cell sorting, secrete adult hepatocyte levels of albumin and urea and contain greater than 40% </w:t>
      </w:r>
      <w:r>
        <w:rPr>
          <w:rFonts w:ascii="Arial" w:cs="Arial" w:eastAsia="Arial" w:hAnsi="Arial"/>
          <w:sz w:val="16"/>
          <w:szCs w:val="16"/>
          <w:i w:val="1"/>
          <w:iCs w:val="1"/>
          <w:color w:val="auto"/>
        </w:rPr>
        <w:t>CYP3A4</w:t>
      </w:r>
      <w:r>
        <w:rPr>
          <w:rFonts w:ascii="Arial" w:cs="Arial" w:eastAsia="Arial" w:hAnsi="Arial"/>
          <w:sz w:val="16"/>
          <w:szCs w:val="16"/>
          <w:color w:val="auto"/>
        </w:rPr>
        <w:t xml:space="preserve">-positive cells, historically difficult to achieve in hPSC differentiation cultures. The proprietary 3A4BLA cell line component of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allows us the unique opportunity to enrich </w:t>
      </w:r>
      <w:r>
        <w:rPr>
          <w:rFonts w:ascii="Arial" w:cs="Arial" w:eastAsia="Arial" w:hAnsi="Arial"/>
          <w:sz w:val="16"/>
          <w:szCs w:val="16"/>
          <w:i w:val="1"/>
          <w:iCs w:val="1"/>
          <w:color w:val="auto"/>
        </w:rPr>
        <w:t>CYP3A4</w:t>
      </w:r>
      <w:r>
        <w:rPr>
          <w:rFonts w:ascii="Arial" w:cs="Arial" w:eastAsia="Arial" w:hAnsi="Arial"/>
          <w:sz w:val="16"/>
          <w:szCs w:val="16"/>
          <w:color w:val="auto"/>
        </w:rPr>
        <w:t xml:space="preserve">-positive cells, resulting in </w:t>
      </w:r>
      <w:r>
        <w:rPr>
          <w:rFonts w:ascii="Arial" w:cs="Arial" w:eastAsia="Arial" w:hAnsi="Arial"/>
          <w:sz w:val="16"/>
          <w:szCs w:val="16"/>
          <w:i w:val="1"/>
          <w:iCs w:val="1"/>
          <w:color w:val="auto"/>
        </w:rPr>
        <w:t>CYP3A4</w:t>
      </w:r>
      <w:r>
        <w:rPr>
          <w:rFonts w:ascii="Arial" w:cs="Arial" w:eastAsia="Arial" w:hAnsi="Arial"/>
          <w:sz w:val="16"/>
          <w:szCs w:val="16"/>
          <w:color w:val="auto"/>
        </w:rPr>
        <w:t xml:space="preserve"> expression reaching greater than 30% of an adult human liver pool, and to the best of our knowledge, a level higher than described in current literature. Most importantly, for drug rescue and development purposes, our </w:t>
      </w:r>
      <w:r>
        <w:rPr>
          <w:rFonts w:ascii="Arial" w:cs="Arial" w:eastAsia="Arial" w:hAnsi="Arial"/>
          <w:sz w:val="16"/>
          <w:szCs w:val="16"/>
          <w:i w:val="1"/>
          <w:iCs w:val="1"/>
          <w:color w:val="auto"/>
        </w:rPr>
        <w:t>VSTA-heps</w:t>
      </w:r>
      <w:r>
        <w:rPr>
          <w:rFonts w:ascii="Arial" w:cs="Arial" w:eastAsia="Arial" w:hAnsi="Arial"/>
          <w:sz w:val="16"/>
          <w:szCs w:val="16"/>
          <w:color w:val="auto"/>
        </w:rPr>
        <w:t xml:space="preserve"> are the foundation of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and metabolize known substrates and respond to known inducers in a manner expected only of mature adult hepatocytes, paving the way for our final validation of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system as a novel, clinically-relevant hepatotoxicity assay system that can improve clinical predictivity, decrease the cost of drug development, reduce reliance on live animal studies, and improve drug safety.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Using Stem Cell Technology to Produce and Develop Drug Rescue NCEs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We believe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for our drug rescue programs is the highest-value near term commercial application of the human cells we produce and the novel, customized bioassay systems we have designed and developed. Our drug rescue activities are focused on producing for our internal pipeline proprietary, safer variants of still-promising NCEs previously discovered, optimized and tested for efficacy by pharmaceutical companies and others but terminated before FDA approval due to unexpected heart toxicity or liver toxicity. Our drug rescue strategy involves using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 xml:space="preserve">LiverSafe </w:t>
      </w:r>
      <w:r>
        <w:rPr>
          <w:rFonts w:ascii="Arial" w:cs="Arial" w:eastAsia="Arial" w:hAnsi="Arial"/>
          <w:sz w:val="16"/>
          <w:szCs w:val="16"/>
          <w:color w:val="auto"/>
        </w:rPr>
        <w:t>3D to assess the toxicity that caused certain NCEs available in the public to be terminated, and use that biological insight to produce and develop a</w:t>
      </w:r>
      <w:r>
        <w:rPr>
          <w:rFonts w:ascii="Arial" w:cs="Arial" w:eastAsia="Arial" w:hAnsi="Arial"/>
          <w:sz w:val="16"/>
          <w:szCs w:val="16"/>
          <w:i w:val="1"/>
          <w:iCs w:val="1"/>
          <w:color w:val="auto"/>
        </w:rPr>
        <w:t xml:space="preserve"> </w:t>
      </w:r>
      <w:r>
        <w:rPr>
          <w:rFonts w:ascii="Arial" w:cs="Arial" w:eastAsia="Arial" w:hAnsi="Arial"/>
          <w:sz w:val="16"/>
          <w:szCs w:val="16"/>
          <w:color w:val="auto"/>
        </w:rPr>
        <w:t>new, potentially safer, and proprietary NCEs for our pipeline. We believe the pre-existing public domain knowledge base supporting the therapeutic and commercial potential of NCEs we target for our drug rescue programs will provide us with a valuable head start as we launch each of our drug rescue programs. Leveraging the substantial prior investments by global pharmaceutical companies and others in discovery, optimization and efficacy validation of the NCEs we identify in the public domain is an essential component of our drug rescue strategy.</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Our current drug rescue emphasis is on NCEs discontinued prior to FDA market approval due to unexpected cardiac safety concerns. By using </w:t>
      </w:r>
      <w:r>
        <w:rPr>
          <w:rFonts w:ascii="Arial" w:cs="Arial" w:eastAsia="Arial" w:hAnsi="Arial"/>
          <w:sz w:val="18"/>
          <w:szCs w:val="18"/>
          <w:i w:val="1"/>
          <w:iCs w:val="1"/>
          <w:color w:val="auto"/>
        </w:rPr>
        <w:t xml:space="preserve">CardioSafe </w:t>
      </w:r>
      <w:r>
        <w:rPr>
          <w:rFonts w:ascii="Arial" w:cs="Arial" w:eastAsia="Arial" w:hAnsi="Arial"/>
          <w:sz w:val="18"/>
          <w:szCs w:val="18"/>
          <w:color w:val="auto"/>
        </w:rPr>
        <w:t>3D to enhance our understanding of the cardiac liability profile of NCEs, biological insight not previously available when the NCEs were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originally discovered, optimized for efficacy and developed, we believe we can demonstrate preclincial proof-of-concept (POC) as to the efficacy and safety of new, safer drug rescue NCEs in standard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as well as in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earlier in development and with substantially less investment in discovery and preclinical development than was required of pharmaceutical companies and others prior to their decision to terminate the original NCE.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 have assessed, and established a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cardiotoxicity profile for several drug rescue candidates.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We are now preparing to commence our initial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drug rescue program. Our goal in each drug rescue program will be to produce a proprietary drug rescue NCE and establish its preclinical POC, using standard preclinical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efficacy and safety models, as well as </w:t>
      </w:r>
      <w:r>
        <w:rPr>
          <w:rFonts w:ascii="Arial" w:cs="Arial" w:eastAsia="Arial" w:hAnsi="Arial"/>
          <w:sz w:val="17"/>
          <w:szCs w:val="17"/>
          <w:i w:val="1"/>
          <w:iCs w:val="1"/>
          <w:color w:val="auto"/>
        </w:rPr>
        <w:t xml:space="preserve">CardioSafe </w:t>
      </w:r>
      <w:r>
        <w:rPr>
          <w:rFonts w:ascii="Arial" w:cs="Arial" w:eastAsia="Arial" w:hAnsi="Arial"/>
          <w:sz w:val="17"/>
          <w:szCs w:val="17"/>
          <w:color w:val="auto"/>
        </w:rPr>
        <w:t>3D. In this context, POC means that the lead drug rescue NCE, as compared to the original, previously-terminated NCE</w:t>
      </w:r>
      <w:r>
        <w:rPr>
          <w:rFonts w:ascii="Arial" w:cs="Arial" w:eastAsia="Arial" w:hAnsi="Arial"/>
          <w:sz w:val="17"/>
          <w:szCs w:val="17"/>
          <w:i w:val="1"/>
          <w:iCs w:val="1"/>
          <w:color w:val="auto"/>
        </w:rPr>
        <w:t xml:space="preserve">, </w:t>
      </w:r>
      <w:r>
        <w:rPr>
          <w:rFonts w:ascii="Arial" w:cs="Arial" w:eastAsia="Arial" w:hAnsi="Arial"/>
          <w:sz w:val="17"/>
          <w:szCs w:val="17"/>
          <w:color w:val="auto"/>
        </w:rPr>
        <w:t>demonstrates both (i)</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equal or superior efficacy in the same, or a similar,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preclinical efficacy models used by the initial developer of the previously-terminated NCE before it was terminated for safety reasons, and (ii) significant reduction of concentration dependent cardiotoxicity in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w:t>
      </w:r>
    </w:p>
    <w:p>
      <w:pPr>
        <w:spacing w:after="0" w:line="20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We believe our focus on producing proprietary drug rescue NCEs for our internal pipeline based on previously terminated NCEs with therapeutic and commercial potential established by others, and our ability to build on that valuable head start with our novel biological and electrophysiological insight regarding cardiac effects of NCEs that we can generate with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help us and our medicinal chemistry partner produce and optimize drug rescue NCEs without incurring many of the high costs and risks typically inherent in new drug discovery and preclinical development. Although we plan to continue to identify NCEs for our drug rescue programs in the public domain, we may also seek to acquire rights to previously terminated, but still-promising, NCEs not available to us in the public domain by entering into contractual arrangements with third-parties.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Development and Commercialization of Drug Rescue NCEs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of research and development productivity issues and diminishing product pipelines, as well as generic competition for established products that are no longer patent protected, we believe there is and will continue to be a critical need among pharmaceutical companies to acquire or in-license the new, safer drug rescue NCEs we are focused on producing and developing, including companies that originally discovered, developed and ultimately discontinued the previously-terminated NCEs we select for drug rescue.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Once we optimize a patentable drug rescue NCE, we intend to develop it internally to establish preclinical POC in established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and safety models, as well as in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After we establish preclinical POC of a patentable drug rescue NCE, we will decide between continuing to develop it internally and out-licensing it to a pharmaceutical company. If we license it to the pharmaceutical company, it will be responsible for all subsequent development, manufacturing, regulatory approval, marketing and sale of the drug rescue NCE and we will generate revenue through payments to us from the license upon signing the license agreement, achievement of development and regulatory milestones, and, if approved and marketed, upon commercial sales, although no assurances can be given that we will seek and complete a partnership, or that the terms of such a beneficial arrangement will be available or offered to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Regenerative Medicine and Drug Discovery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Although we believe the best and most valuable near term commercial application of our stem cell technology platform is for small molecule drug rescue, we also believe stem cell technology-based drug discovery and regenerative medicine has the potential to transform healthcare in the U.S. over the next decade by providing new approaches for treating the fundamental mechanisms of disease. We currently intend to explore opportunities to leverage our stem cell technology platform, our expertise in human biology, differentiation of human pluripotent stem cells to develop functional adult human cells and tissues involved in human disease, including blood, bone, cartilage, heart and liver cells, and our expertise in designing and developing novel, customized biological assay systems with the cells we produce, for regenerative medicine purposes, with emphasis on developing novel human disease models for discovery of small molecule drugs with regenerative and therapeutic potential. Among our key objectives will be to assess our regenerative medicine opportunities through exploratory nonclinical POC studies.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Transactions and Relationships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Strategic collaborations are an important cornerstone of our corporate development strategy. We believe that our strategic outsourcing and sponsorship of application-focused research gives us flexible access to medicinal chemistry, hPSC research and development, manufacturing, clinical development and regulatory expertise at a lower overall cost than developing and maintaining such expertise internally. In particular, we collaborate with the types of third parties identified below for the following functions:</w:t>
      </w:r>
    </w:p>
    <w:p>
      <w:pPr>
        <w:spacing w:after="0" w:line="214" w:lineRule="exact"/>
        <w:rPr>
          <w:sz w:val="20"/>
          <w:szCs w:val="20"/>
          <w:color w:val="auto"/>
        </w:rPr>
      </w:pPr>
    </w:p>
    <w:p>
      <w:pPr>
        <w:ind w:left="920" w:hanging="259"/>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academic research institutions, such as the University Health Network for hPSC technology research and development;</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contract medicinal chemistry companies, such as Synterys, Inc., to design, produce and analyze drug rescue NCEs; and</w:t>
      </w:r>
    </w:p>
    <w:p>
      <w:pPr>
        <w:spacing w:after="0" w:line="225" w:lineRule="exact"/>
        <w:rPr>
          <w:rFonts w:ascii="Arial" w:cs="Arial" w:eastAsia="Arial" w:hAnsi="Arial"/>
          <w:sz w:val="18"/>
          <w:szCs w:val="18"/>
          <w:color w:val="auto"/>
        </w:rPr>
      </w:pPr>
    </w:p>
    <w:p>
      <w:pPr>
        <w:ind w:left="920" w:hanging="259"/>
        <w:spacing w:after="0" w:line="277" w:lineRule="auto"/>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contract clinical development and regulatory organizations (“</w:t>
      </w:r>
      <w:r>
        <w:rPr>
          <w:rFonts w:ascii="Arial" w:cs="Arial" w:eastAsia="Arial" w:hAnsi="Arial"/>
          <w:sz w:val="18"/>
          <w:szCs w:val="18"/>
          <w:i w:val="1"/>
          <w:iCs w:val="1"/>
          <w:color w:val="auto"/>
        </w:rPr>
        <w:t>CROs</w:t>
      </w:r>
      <w:r>
        <w:rPr>
          <w:rFonts w:ascii="Arial" w:cs="Arial" w:eastAsia="Arial" w:hAnsi="Arial"/>
          <w:sz w:val="18"/>
          <w:szCs w:val="18"/>
          <w:color w:val="auto"/>
        </w:rPr>
        <w:t>”), such as Cato Research, Ltd., for regulatory expertise and clinical development support.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Cato Research</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Cato Research is a CRO with international resources dedicated to helping biotechnology and pharmaceutical companies navigate the regulatory approval process in order to bring new biologics, drugs and medical devices to markets throughout the world. Cato Research is our CRO for development of AV-101. Cato Research has in-house capabilities to assist its sponsors with aspects of the drug development process including regulatory strategy, nonclinical and toxicology development, clinical development, data processing, data management, statistical analysis, regulatory applications, including INDs and NDAs, chemistry, manufacturing, and control programs, cGCP, cGLP and cGMP audit and compliance activities, and due diligence review of emerging technologies. Cato Research’s senior management team, including co-founders Allen Cato, M.D., Ph.D. and Lynda Sutton, has over 25 years of experience interacting with the FDA and international regulatory agencies and a successful track record of product approvals. Based on our long-term working relationship with Cato Research in connection with the development of AV-101, should we elect to advance development of Drug Rescue Variants internally, as we have done with AV-101, rather than license or sell them to pharmaceutical companies or others, we believe our long term strategic relationship with Cato Research provides us with real time access to the global connections, insight and knowledge necessary to effectively plan, execute and manage successful nonclinical and clinical development programs throughout the world without incurring the substantial expenses typically associated with establishing and maintaining a wide range of drug development capabilities in-house.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Cato BioVentures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Cato Holding Company, doing business as Cato BioVentures, is the venture capital affiliate of Cato Research. Through strategic CRO service agreements with Cato Research, Cato BioVentures invests in therapeutics and medical devices, as well as platform technologies such as our stem cell technology platform, which its principals believe, based on their experience as management of Cato Research, are capable of transforming the traditional drug development process and the research and development productivity of the biotechnology and pharmaceutical industries.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As a result of the access Cato Research has to potential drug rescue NCEs from its biotechnology and pharmaceutical industry network, as well as Cato BioVentures’ strategic long term equity interest in the Company, we believe that our relationships with Cato BioVentures and Cato Research may provide us with unique opportunities relating to our drug rescue efforts that will permit us to leverage both their industry connections and the CRO resources of Cato Research, either on a contract research basis or in exchange for economic participation rights, should we develop drug rescue NCEs </w:t>
      </w:r>
      <w:r>
        <w:rPr>
          <w:rFonts w:ascii="Arial" w:cs="Arial" w:eastAsia="Arial" w:hAnsi="Arial"/>
          <w:sz w:val="18"/>
          <w:szCs w:val="18"/>
          <w:i w:val="1"/>
          <w:iCs w:val="1"/>
          <w:color w:val="auto"/>
        </w:rPr>
        <w:t>s</w:t>
      </w:r>
      <w:r>
        <w:rPr>
          <w:rFonts w:ascii="Arial" w:cs="Arial" w:eastAsia="Arial" w:hAnsi="Arial"/>
          <w:sz w:val="18"/>
          <w:szCs w:val="18"/>
          <w:color w:val="auto"/>
        </w:rPr>
        <w:t xml:space="preserve"> internally rather than out-license them to strategic partners.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Health Network, McEwen Centre for Regenerative Medicine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University Health Network (“</w:t>
      </w:r>
      <w:r>
        <w:rPr>
          <w:rFonts w:ascii="Arial" w:cs="Arial" w:eastAsia="Arial" w:hAnsi="Arial"/>
          <w:sz w:val="18"/>
          <w:szCs w:val="18"/>
          <w:i w:val="1"/>
          <w:iCs w:val="1"/>
          <w:color w:val="auto"/>
        </w:rPr>
        <w:t>UHN</w:t>
      </w:r>
      <w:r>
        <w:rPr>
          <w:rFonts w:ascii="Arial" w:cs="Arial" w:eastAsia="Arial" w:hAnsi="Arial"/>
          <w:sz w:val="18"/>
          <w:szCs w:val="18"/>
          <w:color w:val="auto"/>
        </w:rPr>
        <w:t>”) in Ontario, Canada is a major landmark in Canada’s healthcare system. UHN is one of the world’s largest research hospitals, with major research in transplantation, cardiology, neurosciences, oncology, surgical innovation, infectious diseases and genomic medicine.</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McEwen Centre for Regenerative Medicine (“</w:t>
      </w:r>
      <w:r>
        <w:rPr>
          <w:rFonts w:ascii="Arial" w:cs="Arial" w:eastAsia="Arial" w:hAnsi="Arial"/>
          <w:sz w:val="17"/>
          <w:szCs w:val="17"/>
          <w:i w:val="1"/>
          <w:iCs w:val="1"/>
          <w:color w:val="auto"/>
        </w:rPr>
        <w:t>McEwen Centre”</w:t>
      </w:r>
      <w:r>
        <w:rPr>
          <w:rFonts w:ascii="Arial" w:cs="Arial" w:eastAsia="Arial" w:hAnsi="Arial"/>
          <w:sz w:val="17"/>
          <w:szCs w:val="17"/>
          <w:color w:val="auto"/>
        </w:rPr>
        <w:t>) is a world-renowned center for stem cell biology and regenerative medicine and a stem cell research facility affiliated with UHN. Dr. Gordon Keller, our co-founder and Chairman of our Scientific Advisory Board, is Director of the McEwen Centre. Dr. Keller’s lab is considered one of the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the Icahn School of Medicine at Mount Sinai to certain pluripotent stem cell technologies developed by Dr. Keller, and is directed to diverse human pluripotent stem cell-based research projects, including, as expanded and amended, strategic projects related to drug rescue and regenerative medicine. See “Sponsored Research Collaborations and Intellectual Property Rights – University Health Network, McEwen Centre for Regenerative Medicine, Toronto, Ontario”, “Intellectual Property – National Jewish Health Exclusive Licenses” and “Intellectual Property – Icahn School of Medicine at Mount Sinai Exclusive Licenses.”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Cardiac Safety Research Consortium</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joined the Cardiac Safety Research Consortium (“</w:t>
      </w:r>
      <w:r>
        <w:rPr>
          <w:rFonts w:ascii="Arial" w:cs="Arial" w:eastAsia="Arial" w:hAnsi="Arial"/>
          <w:sz w:val="16"/>
          <w:szCs w:val="16"/>
          <w:i w:val="1"/>
          <w:iCs w:val="1"/>
          <w:color w:val="auto"/>
        </w:rPr>
        <w:t>CSRC”</w:t>
      </w:r>
      <w:r>
        <w:rPr>
          <w:rFonts w:ascii="Arial" w:cs="Arial" w:eastAsia="Arial" w:hAnsi="Arial"/>
          <w:sz w:val="16"/>
          <w:szCs w:val="16"/>
          <w:color w:val="auto"/>
        </w:rPr>
        <w:t>)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Cardiac Safety Technical Committee of the Health and Environmental Sciences Institute – FDA’s CIPA Initiative</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also joined the Cardiac Safety Technical Committee, Cardiac Stem Cell Working Group, and Proarrhythmia Working Group of the Health and Environmental Sciences Institute (“</w:t>
      </w:r>
      <w:r>
        <w:rPr>
          <w:rFonts w:ascii="Arial" w:cs="Arial" w:eastAsia="Arial" w:hAnsi="Arial"/>
          <w:sz w:val="16"/>
          <w:szCs w:val="16"/>
          <w:i w:val="1"/>
          <w:iCs w:val="1"/>
          <w:color w:val="auto"/>
        </w:rPr>
        <w:t>HESI”</w:t>
      </w:r>
      <w:r>
        <w:rPr>
          <w:rFonts w:ascii="Arial" w:cs="Arial" w:eastAsia="Arial" w:hAnsi="Arial"/>
          <w:sz w:val="16"/>
          <w:szCs w:val="16"/>
          <w:color w:val="auto"/>
        </w:rPr>
        <w:t>) to help advance, among other goals, the FDA’s Comprehensive In Vitro Proarrhythmia Assay (“</w:t>
      </w:r>
      <w:r>
        <w:rPr>
          <w:rFonts w:ascii="Arial" w:cs="Arial" w:eastAsia="Arial" w:hAnsi="Arial"/>
          <w:sz w:val="16"/>
          <w:szCs w:val="16"/>
          <w:i w:val="1"/>
          <w:iCs w:val="1"/>
          <w:color w:val="auto"/>
        </w:rPr>
        <w:t>CIPA”</w:t>
      </w:r>
      <w:r>
        <w:rPr>
          <w:rFonts w:ascii="Arial" w:cs="Arial" w:eastAsia="Arial" w:hAnsi="Arial"/>
          <w:sz w:val="16"/>
          <w:szCs w:val="16"/>
          <w:color w:val="auto"/>
        </w:rPr>
        <w:t>) initiative, which is focused on developing innovative preclinical systems for cardiac safety assessment during drug development. HESI is a global branch of the International Life Sciences Institute (“</w:t>
      </w:r>
      <w:r>
        <w:rPr>
          <w:rFonts w:ascii="Arial" w:cs="Arial" w:eastAsia="Arial" w:hAnsi="Arial"/>
          <w:sz w:val="16"/>
          <w:szCs w:val="16"/>
          <w:i w:val="1"/>
          <w:iCs w:val="1"/>
          <w:color w:val="auto"/>
        </w:rPr>
        <w:t>ILSI”</w:t>
      </w:r>
      <w:r>
        <w:rPr>
          <w:rFonts w:ascii="Arial" w:cs="Arial" w:eastAsia="Arial" w:hAnsi="Arial"/>
          <w:sz w:val="16"/>
          <w:szCs w:val="16"/>
          <w:color w:val="auto"/>
        </w:rPr>
        <w:t>), whose members include most of the world’s largest pharmaceutical and biotechnology companies.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Guidelines (inward and outward currents), (ii) providing more complete, accurate assessment of proarrhythmic effects on human cardiac electrophysiology, and (iii) focusing on Torsades de Pointes proarrhythmia rather than surrogate QT prolongation alone.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Centre for Commercialization of Regenerative Medicine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Toronto-based Centre for Commercialization of Regenerative Medicine (“</w:t>
      </w:r>
      <w:r>
        <w:rPr>
          <w:rFonts w:ascii="Arial" w:cs="Arial" w:eastAsia="Arial" w:hAnsi="Arial"/>
          <w:sz w:val="18"/>
          <w:szCs w:val="18"/>
          <w:i w:val="1"/>
          <w:iCs w:val="1"/>
          <w:color w:val="auto"/>
        </w:rPr>
        <w:t>CCRM”</w:t>
      </w:r>
      <w:r>
        <w:rPr>
          <w:rFonts w:ascii="Arial" w:cs="Arial" w:eastAsia="Arial" w:hAnsi="Arial"/>
          <w:sz w:val="18"/>
          <w:szCs w:val="18"/>
          <w:color w:val="auto"/>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21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 member of the CCRM’s Industry Consortium. Other members of CCRM’s Industry Consortium include Pfizer and GE Healthcare.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unique opportunities for expanding the commercial applications of our stem cell technology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National Institutes of Health</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our inception in 1998,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has awarded us $11.3 million in non-dilutive research and development grants, including $2.3 million to support research and development of our stem cell technology and $8.8 million for nonclinical and Phase 1 clinical development of AV-101.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National Institute of Mental Health</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NIH, is the largest scientific organization in the world dedicated to mental health research. NIMH is one of 27 Institutes and Centers of the NIH, the world’s leading biomedical research organization. The mission of NIMH is to transform the understanding and treatment of mental illnesses through basic and clinical research, paving the way for prevention, recovery and cure. In February 2015, we entered into a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with the NIH providing for the initial AV-101 Phase 2 efficacy and safety in Major Derpessive Disorder. The study will be fully funded by the NIH and will be conducted at the NIMH by Dr. Carlos Zarate. Dr. Zarate is the NIMH’s Chief of Experimental Therapeutics &amp; Pathophysiology Branch and Section on Neurobiology and Treatment of Mood and Anxiety Disorders.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Synterys, Inc.</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entered into a strategic medicinal chemistry collaboration agreement with Synterys, Inc., a medicinal chemistry and collaborative drug discovery company. We believe this important collaboration will further our drug rescue initiatives with the support of Synterys’ medicinal chemistry expertise. In addition to providing flexible, real-time contract medicinal chemistry services in support of our drug rescue programs, we anticipate potential collaborative opportunities with Synterys wherein we may jointly identify and develop drug rescue NCEs.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developed a portfolio of intellectual property assets around AV-101 that involves both patents and trade secrets. We obtained a multi-patent license from the University of Maryland to certain pharmaceutical formulations of AV-101 and related compounds when we acquired the original licensee, Artemis Neuroscience, Inc. The license included a composition and therapeutic method patent relevant to AV-101, which was originally issued to Merrell Pharmaceuticals and expired in 2011. In early 2013, we filed a provisional application based on discoveries related to specific dosages and dosage ranges of AV-101, as well as to methods of treating depression and hyperalgesia pain. This corresponding PCT application (WO2014/116739) has recently been filed as a national phase application in the US and other countries. This PCT patent application also presents method-of-use claims associated with such dosages. And it includes other claims based on discoveries related to novel clinical activities that are not limited by dose range. In the course of our research and development prior to our Phase 1 clinical studies, our CROs developed two novel methods of synthesizing AV-101, based on extensive research into a range of synthetic routes. As a result, in 2013, we filed two additional provisional applications to these commercially useful production methods, both of which are also now pending as PCT patent applications (WO2014/152752 and WO2014/152835). One of these two PCT patent applications includes pharmaceutical composition claims to a sulfated derivative of 4-chlorokynurenine. A fourth patent application related to additional and expanded clinical uses of AV-101 was recently filed in the U.S. as a provisional application. We plan to pursue national phase applications broadly for all four cases in appropriate global markets.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3" w:name="page64"/>
    <w:bookmarkEnd w:id="63"/>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among the key components of our commercial protection strategy with respect to AV-101 is the New Drug Product Exclusivity provided by the FDA under section 505(c)(3)(E) and 505(j)(5)(F) of the Federal Food, Drug, and Cosmetic Act (“</w:t>
      </w:r>
      <w:r>
        <w:rPr>
          <w:rFonts w:ascii="Arial" w:cs="Arial" w:eastAsia="Arial" w:hAnsi="Arial"/>
          <w:sz w:val="17"/>
          <w:szCs w:val="17"/>
          <w:i w:val="1"/>
          <w:iCs w:val="1"/>
          <w:color w:val="auto"/>
        </w:rPr>
        <w:t>FDCA”</w:t>
      </w:r>
      <w:r>
        <w:rPr>
          <w:rFonts w:ascii="Arial" w:cs="Arial" w:eastAsia="Arial" w:hAnsi="Arial"/>
          <w:sz w:val="17"/>
          <w:szCs w:val="17"/>
          <w:color w:val="auto"/>
        </w:rPr>
        <w:t>). The FDA’s New Drug Product Exclusivity is available for NCEs such as AV-101, which, by definition, are innovative and have not been approved previously by the FDA, either alone or in combination. The FDA’s New Drug Product Exclusivity protection provides the holder of an FDA-approved new drug application (“</w:t>
      </w:r>
      <w:r>
        <w:rPr>
          <w:rFonts w:ascii="Arial" w:cs="Arial" w:eastAsia="Arial" w:hAnsi="Arial"/>
          <w:sz w:val="17"/>
          <w:szCs w:val="17"/>
          <w:i w:val="1"/>
          <w:iCs w:val="1"/>
          <w:color w:val="auto"/>
        </w:rPr>
        <w:t>NDA”</w:t>
      </w:r>
      <w:r>
        <w:rPr>
          <w:rFonts w:ascii="Arial" w:cs="Arial" w:eastAsia="Arial" w:hAnsi="Arial"/>
          <w:sz w:val="17"/>
          <w:szCs w:val="17"/>
          <w:color w:val="auto"/>
        </w:rPr>
        <w:t>) up to five (5) years of protection from new competition in the U.S. marketplace for the innovation represented by its approved new drug product. This protection precludes FDA approval of certain generic drug applications under section 505(b)(2) of the FDCA, as well certain abbreviated new drug applications (“</w:t>
      </w:r>
      <w:r>
        <w:rPr>
          <w:rFonts w:ascii="Arial" w:cs="Arial" w:eastAsia="Arial" w:hAnsi="Arial"/>
          <w:sz w:val="17"/>
          <w:szCs w:val="17"/>
          <w:i w:val="1"/>
          <w:iCs w:val="1"/>
          <w:color w:val="auto"/>
        </w:rPr>
        <w:t>ANDAs”</w:t>
      </w:r>
      <w:r>
        <w:rPr>
          <w:rFonts w:ascii="Arial" w:cs="Arial" w:eastAsia="Arial" w:hAnsi="Arial"/>
          <w:sz w:val="17"/>
          <w:szCs w:val="17"/>
          <w:color w:val="auto"/>
        </w:rPr>
        <w:t>), during the up to five-year exclusivity period, except that such applications may be submitted after four years if they contain a certification of patent invalidity or non-infringement. We will pursue similar types of regulatory exclusivity in other countries.</w:t>
      </w:r>
    </w:p>
    <w:p>
      <w:pPr>
        <w:spacing w:after="0" w:line="1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Our license agreement related to AV-101 with the University of Maryland, mentioned above, requires us to make royalty payments on net sales of products covered by the licensed patent rights, which have expired. There are no up-front license, milestone or maintenance fees under the agreement. The agreement provides that these royalty obligations will remain in force until 10 years after the first commercial sale of the first product even if the licensed patent rights have expired. However, the U.S. Supreme Court’s recent decision in </w:t>
      </w:r>
      <w:r>
        <w:rPr>
          <w:rFonts w:ascii="Arial" w:cs="Arial" w:eastAsia="Arial" w:hAnsi="Arial"/>
          <w:sz w:val="17"/>
          <w:szCs w:val="17"/>
          <w:i w:val="1"/>
          <w:iCs w:val="1"/>
          <w:color w:val="auto"/>
        </w:rPr>
        <w:t>Kimble v. Marvel Entertainment, LLC</w:t>
      </w:r>
      <w:r>
        <w:rPr>
          <w:rFonts w:ascii="Arial" w:cs="Arial" w:eastAsia="Arial" w:hAnsi="Arial"/>
          <w:sz w:val="17"/>
          <w:szCs w:val="17"/>
          <w:color w:val="auto"/>
        </w:rPr>
        <w:t xml:space="preserve"> determined that patent license royalties that extend beyond a patent’s expiration are not enforceable. Management will be reviewing the impact of this court decision on our license. This agreement may also be terminated earlier at the election of the licensor upon our failure to pay any monies due, our failure to provide updates and reports to the licensor, our failure to provide the necessary financial and other resources required to develop the products, or our failure to cure within 90 days any breach of any provision of the agreement. We may also terminate the agreement at any time upon 90 days’ written notice so long as we make all payments due through the effective date of termination.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Stem Cell Technology</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established intellectual property rights to stem cell technology through a combination of exclusive and non-exclusive patent and technology licenses, our own patent properties, and trade secrets. To our knowledge, we are the first stem cell company focused on stem cell technology-based drug rescue. We have assembled an intellectual property portfolio around the use of pluripotent stem cell technologies in drug discovery and development and with specific application to drug rescue. The differentiation protocols we have licensed licenses direct the differentiation of pluripotent stem cells through:</w:t>
      </w:r>
    </w:p>
    <w:p>
      <w:pPr>
        <w:spacing w:after="0" w:line="154" w:lineRule="exact"/>
        <w:rPr>
          <w:sz w:val="20"/>
          <w:szCs w:val="20"/>
          <w:color w:val="auto"/>
        </w:rPr>
      </w:pPr>
    </w:p>
    <w:p>
      <w:pPr>
        <w:ind w:left="920" w:hanging="259"/>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combination of growth factors (molecules that stimulate the growth of cells);</w:t>
      </w:r>
    </w:p>
    <w:p>
      <w:pPr>
        <w:spacing w:after="0" w:line="225" w:lineRule="exact"/>
        <w:rPr>
          <w:rFonts w:ascii="Arial" w:cs="Arial" w:eastAsia="Arial" w:hAnsi="Arial"/>
          <w:sz w:val="18"/>
          <w:szCs w:val="18"/>
          <w:color w:val="auto"/>
        </w:rPr>
      </w:pPr>
    </w:p>
    <w:p>
      <w:pPr>
        <w:ind w:left="920" w:hanging="259"/>
        <w:spacing w:after="0" w:line="277" w:lineRule="auto"/>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experimentally controlled regulation of developmental genes, which is critical for determining what differentiation path a human cell will take; and</w:t>
      </w:r>
    </w:p>
    <w:p>
      <w:pPr>
        <w:spacing w:after="0" w:line="170" w:lineRule="exact"/>
        <w:rPr>
          <w:rFonts w:ascii="Arial" w:cs="Arial" w:eastAsia="Arial" w:hAnsi="Arial"/>
          <w:sz w:val="18"/>
          <w:szCs w:val="18"/>
          <w:color w:val="auto"/>
        </w:rPr>
      </w:pPr>
    </w:p>
    <w:p>
      <w:pPr>
        <w:ind w:left="920" w:hanging="259"/>
        <w:spacing w:after="0"/>
        <w:tabs>
          <w:tab w:leader="none" w:pos="9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precise selection of immature cell populations for further growth and development.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By influencing key branch points in the cellular differentiation process, our pluripotent stem cell technologies can produce fully differentiated, non-transformed, highly functional human cells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in an efficient, highly pure and reproducible process.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National Jewish Health (“NJH”) Exclusive License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an exclusive patent license from NJH. The remaining unexpired patent property is a US patent that contains claims covering composition of matter relating to specific immature multipotent cell populations and applications of such cells for ES Cell-derived immature multipotent precursors of all the cells of the mesoderm and endoderm lineages. Among other cell types, this covers cells of the heart, liver, pancreas, blood, connective tissues, vascular system, gut and lung cells.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license agreement requires us to pay NJH a percentage of our total revenues for sales of products made under the license in each calendar year, together with minimum annual payments. Additionally, this license agreement requires us to make certain royalty payments on sublicensing of such technology. However, the license agreement also includes anti-stacking provisions which reduce our payment obligations by a percentage of any royalty payments and fees paid to third parties, who have licensed necessary intellectual property to us. This agreement remains in force for the life of the patents so long as neither party elects to terminate the agreement upon the other party’s uncured breach or default of an obligation under the agreement. We also have the right to terminate the agreement at any time without cause.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Icahn School of Medicine at Mount Sinai School (MSSM) Exclusive License</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an exclusive, field restricted, license to three U.S. patents, three U.S. patent applications, and several foreign counterparts filed by MSSM. Foreign patents have been issued and maintained in Canada, Australia and Singapore. These patent properties have claims covering composition of matter relating to specific populations of cells and precursors, methods to produce such cells, and applications of such cells, including:</w:t>
      </w:r>
    </w:p>
    <w:p>
      <w:pPr>
        <w:spacing w:after="0" w:line="166" w:lineRule="exact"/>
        <w:rPr>
          <w:sz w:val="20"/>
          <w:szCs w:val="20"/>
          <w:color w:val="auto"/>
        </w:rPr>
      </w:pPr>
    </w:p>
    <w:p>
      <w:pPr>
        <w:ind w:left="420" w:hanging="412"/>
        <w:spacing w:after="0" w:line="277"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use of certain growth factors to generate mesoderm (that is, the precursors capable of developing into cells of the heart, blood system, connective tissues, and vascular system) from hESCs;</w:t>
      </w:r>
    </w:p>
    <w:p>
      <w:pPr>
        <w:spacing w:after="0" w:line="170"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use of certain growth factors to generate endoderm (that is, the precursors capable of developing into cells of the liver, pancreas, lungs, gut, intestines, thymus, thyroid gland, bladder, and parts of the auditory system) from hESCs; and</w:t>
      </w:r>
    </w:p>
    <w:p>
      <w:pPr>
        <w:spacing w:after="0" w:line="170" w:lineRule="exact"/>
        <w:rPr>
          <w:rFonts w:ascii="Arial" w:cs="Arial" w:eastAsia="Arial" w:hAnsi="Arial"/>
          <w:sz w:val="18"/>
          <w:szCs w:val="18"/>
          <w:color w:val="auto"/>
        </w:rPr>
      </w:pPr>
    </w:p>
    <w:p>
      <w:pPr>
        <w:ind w:left="420" w:hanging="412"/>
        <w:spacing w:after="0" w:line="277"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applications of cells derived from mesoderm and endoderm precursors, especially those relating to drug discovery and testing for applications in the field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drug discovery and development applications.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This license agreement requires us to pay annual license fees, patent prosecution and maintenance fees and royalty payments that vary based on product sales and services that are covered by the MSSM patent rights, as well fees for sublicensing. Any drug candidates that we develop, including any drug rescue NCEs, will only require royalty payments to the extent, if any, they require the practice of the licensed technology. To the extent we incur royalty payment obligations from other business activities, the royalty payments are subject to anti-stacking provisions which reduce our payments by a percentage of any royalty payments or fees paid to third parties who have licensed necessary intellectual property to us. The license agreement will remain in force for the life of the patents so long as neither party terminates the agreement for cause (i) due to a material breach or default in performance of any provision of the agreement that is not cured within 60 days or (ii) in the case of failure to pay amounts due within 30 days.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rescue technologies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filed two U.S. patent applications on liver stem cells and their applications in drug development relating to toxicity testing; one patent has issued and a second patent application is pending. Of the related international filings, European, Canadian and Korean patents were issued. The European patent has been registered in 11 European countries. We have filed a U.S. patent application, with foreign counterpart filing in Canada and Europe, directed to methods for producing human pluripotent stem cell-derived endocrine cells of the pancreas, with a specific focus on beta-islet cells, the cells that produce insulin, and their uses in diabetes drug discovery and screening.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patent portfolio currently related to the generation of human heart and liver cells for use in connection with our drug rescue activities include: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Territory</w:t>
            </w:r>
          </w:p>
        </w:tc>
        <w:tc>
          <w:tcPr>
            <w:tcW w:w="700" w:type="dxa"/>
            <w:vAlign w:val="bottom"/>
          </w:tcPr>
          <w:p>
            <w:pPr>
              <w:spacing w:after="0"/>
              <w:rPr>
                <w:sz w:val="20"/>
                <w:szCs w:val="20"/>
                <w:color w:val="auto"/>
              </w:rPr>
            </w:pPr>
          </w:p>
        </w:tc>
        <w:tc>
          <w:tcPr>
            <w:tcW w:w="1880" w:type="dxa"/>
            <w:vAlign w:val="bottom"/>
          </w:tcPr>
          <w:p>
            <w:pPr>
              <w:jc w:val="right"/>
              <w:ind w:right="990"/>
              <w:spacing w:after="0"/>
              <w:rPr>
                <w:sz w:val="20"/>
                <w:szCs w:val="20"/>
                <w:color w:val="auto"/>
              </w:rPr>
            </w:pPr>
            <w:r>
              <w:rPr>
                <w:rFonts w:ascii="Arial" w:cs="Arial" w:eastAsia="Arial" w:hAnsi="Arial"/>
                <w:sz w:val="18"/>
                <w:szCs w:val="18"/>
                <w:b w:val="1"/>
                <w:bCs w:val="1"/>
                <w:color w:val="auto"/>
                <w:w w:val="87"/>
              </w:rPr>
              <w:t>Patent No.</w:t>
            </w:r>
          </w:p>
        </w:tc>
        <w:tc>
          <w:tcPr>
            <w:tcW w:w="70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b w:val="1"/>
                <w:bCs w:val="1"/>
                <w:color w:val="auto"/>
              </w:rPr>
              <w:t>General Subject Matter</w:t>
            </w:r>
          </w:p>
        </w:tc>
        <w:tc>
          <w:tcPr>
            <w:tcW w:w="70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Arial" w:cs="Arial" w:eastAsia="Arial" w:hAnsi="Arial"/>
                <w:sz w:val="18"/>
                <w:szCs w:val="18"/>
                <w:b w:val="1"/>
                <w:bCs w:val="1"/>
                <w:color w:val="auto"/>
              </w:rPr>
              <w:t>Expiration</w:t>
            </w:r>
          </w:p>
        </w:tc>
      </w:tr>
      <w:tr>
        <w:trPr>
          <w:trHeight w:val="216"/>
        </w:trPr>
        <w:tc>
          <w:tcPr>
            <w:tcW w:w="20" w:type="dxa"/>
            <w:vAlign w:val="bottom"/>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00" w:type="dxa"/>
            <w:vAlign w:val="bottom"/>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7,763,466</w:t>
            </w:r>
          </w:p>
        </w:tc>
        <w:tc>
          <w:tcPr>
            <w:tcW w:w="700" w:type="dxa"/>
            <w:vAlign w:val="bottom"/>
            <w:shd w:val="clear" w:color="auto" w:fill="CCEEFF"/>
          </w:tcPr>
          <w:p>
            <w:pPr>
              <w:spacing w:after="0"/>
              <w:rPr>
                <w:sz w:val="18"/>
                <w:szCs w:val="18"/>
                <w:color w:val="auto"/>
              </w:rPr>
            </w:pPr>
          </w:p>
        </w:tc>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Method to produce endoderm cells</w:t>
            </w:r>
          </w:p>
        </w:tc>
        <w:tc>
          <w:tcPr>
            <w:tcW w:w="700" w:type="dxa"/>
            <w:vAlign w:val="bottom"/>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2025</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US</w:t>
            </w:r>
          </w:p>
        </w:tc>
        <w:tc>
          <w:tcPr>
            <w:tcW w:w="2580" w:type="dxa"/>
            <w:vAlign w:val="bottom"/>
            <w:gridSpan w:val="2"/>
          </w:tcPr>
          <w:p>
            <w:pPr>
              <w:jc w:val="right"/>
              <w:ind w:right="370"/>
              <w:spacing w:after="0"/>
              <w:rPr>
                <w:sz w:val="20"/>
                <w:szCs w:val="20"/>
                <w:color w:val="auto"/>
              </w:rPr>
            </w:pPr>
            <w:r>
              <w:rPr>
                <w:rFonts w:ascii="Arial" w:cs="Arial" w:eastAsia="Arial" w:hAnsi="Arial"/>
                <w:sz w:val="18"/>
                <w:szCs w:val="18"/>
                <w:color w:val="auto"/>
              </w:rPr>
              <w:t>7,955,849</w:t>
            </w:r>
          </w:p>
        </w:tc>
        <w:tc>
          <w:tcPr>
            <w:tcW w:w="70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Method of enriching population of mesoderm cells</w:t>
            </w:r>
          </w:p>
        </w:tc>
        <w:tc>
          <w:tcPr>
            <w:tcW w:w="7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May 2023</w:t>
            </w: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58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8,143,009</w:t>
            </w:r>
          </w:p>
        </w:tc>
        <w:tc>
          <w:tcPr>
            <w:tcW w:w="70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Toxicity typing using liver stem cells</w:t>
            </w:r>
          </w:p>
        </w:tc>
        <w:tc>
          <w:tcPr>
            <w:tcW w:w="7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June 2023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in part, on trade secrets for protection of some of our intellectual property. We attempt to protect trade secrets by entering into confidentiality agreements with third parties, employees and consultants. Our employees and consultants also sign agreements requiring that they assign to us their interests in patents and copyrights arising from their work for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filed two U.S. patent applications on liver stem cells and their applications in drug development relating to toxicity testing; one patent has issued and a second patent application is pending. Of the related international filings, European, Canadian and Korean patents were issued. The European patent has been registered in 11 European countries. We have filed a U.S. patent application, with foreign counterpart filing in Canada and Europe, directed to methods for producing human pluripotent stem cell-derived endocrine cells of the pancreas, with a specific focus on beta-islet cells, the cells that produce insulin, and their uses in diabetes drug discovery and screening.</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material patents currently related to the generation of human heart and liver cells for use in connection with our drug rescue activities are set forth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Territory</w:t>
            </w:r>
          </w:p>
        </w:tc>
        <w:tc>
          <w:tcPr>
            <w:tcW w:w="320" w:type="dxa"/>
            <w:vAlign w:val="bottom"/>
          </w:tcPr>
          <w:p>
            <w:pPr>
              <w:spacing w:after="0"/>
              <w:rPr>
                <w:sz w:val="20"/>
                <w:szCs w:val="20"/>
                <w:color w:val="auto"/>
              </w:rPr>
            </w:pPr>
          </w:p>
        </w:tc>
        <w:tc>
          <w:tcPr>
            <w:tcW w:w="1760" w:type="dxa"/>
            <w:vAlign w:val="bottom"/>
          </w:tcPr>
          <w:p>
            <w:pPr>
              <w:jc w:val="right"/>
              <w:ind w:right="870"/>
              <w:spacing w:after="0"/>
              <w:rPr>
                <w:sz w:val="20"/>
                <w:szCs w:val="20"/>
                <w:color w:val="auto"/>
              </w:rPr>
            </w:pPr>
            <w:r>
              <w:rPr>
                <w:rFonts w:ascii="Arial" w:cs="Arial" w:eastAsia="Arial" w:hAnsi="Arial"/>
                <w:sz w:val="18"/>
                <w:szCs w:val="18"/>
                <w:b w:val="1"/>
                <w:bCs w:val="1"/>
                <w:color w:val="auto"/>
                <w:w w:val="87"/>
              </w:rPr>
              <w:t>Patent No.</w:t>
            </w:r>
          </w:p>
        </w:tc>
        <w:tc>
          <w:tcPr>
            <w:tcW w:w="5800" w:type="dxa"/>
            <w:vAlign w:val="bottom"/>
            <w:gridSpan w:val="2"/>
          </w:tcPr>
          <w:p>
            <w:pPr>
              <w:ind w:left="300"/>
              <w:spacing w:after="0"/>
              <w:rPr>
                <w:sz w:val="20"/>
                <w:szCs w:val="20"/>
                <w:color w:val="auto"/>
              </w:rPr>
            </w:pPr>
            <w:r>
              <w:rPr>
                <w:rFonts w:ascii="Arial" w:cs="Arial" w:eastAsia="Arial" w:hAnsi="Arial"/>
                <w:sz w:val="18"/>
                <w:szCs w:val="18"/>
                <w:b w:val="1"/>
                <w:bCs w:val="1"/>
                <w:color w:val="auto"/>
              </w:rPr>
              <w:t>General Subject Matter</w:t>
            </w:r>
          </w:p>
        </w:tc>
        <w:tc>
          <w:tcPr>
            <w:tcW w:w="3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8"/>
                <w:szCs w:val="18"/>
                <w:b w:val="1"/>
                <w:bCs w:val="1"/>
                <w:color w:val="auto"/>
              </w:rPr>
              <w:t>Expiration</w:t>
            </w:r>
          </w:p>
        </w:tc>
      </w:tr>
      <w:tr>
        <w:trPr>
          <w:trHeight w:val="216"/>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7,763,466</w:t>
            </w:r>
          </w:p>
        </w:tc>
        <w:tc>
          <w:tcPr>
            <w:tcW w:w="300" w:type="dxa"/>
            <w:vAlign w:val="bottom"/>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Method to produce endoderm cells</w:t>
            </w:r>
          </w:p>
        </w:tc>
        <w:tc>
          <w:tcPr>
            <w:tcW w:w="320" w:type="dxa"/>
            <w:vAlign w:val="bottom"/>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2025</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US</w:t>
            </w:r>
          </w:p>
        </w:tc>
        <w:tc>
          <w:tcPr>
            <w:tcW w:w="2080" w:type="dxa"/>
            <w:vAlign w:val="bottom"/>
            <w:gridSpan w:val="2"/>
          </w:tcPr>
          <w:p>
            <w:pPr>
              <w:jc w:val="right"/>
              <w:ind w:right="630"/>
              <w:spacing w:after="0"/>
              <w:rPr>
                <w:sz w:val="20"/>
                <w:szCs w:val="20"/>
                <w:color w:val="auto"/>
              </w:rPr>
            </w:pPr>
            <w:r>
              <w:rPr>
                <w:rFonts w:ascii="Arial" w:cs="Arial" w:eastAsia="Arial" w:hAnsi="Arial"/>
                <w:sz w:val="18"/>
                <w:szCs w:val="18"/>
                <w:color w:val="auto"/>
              </w:rPr>
              <w:t>7,955,849</w:t>
            </w:r>
          </w:p>
        </w:tc>
        <w:tc>
          <w:tcPr>
            <w:tcW w:w="5800" w:type="dxa"/>
            <w:vAlign w:val="bottom"/>
            <w:gridSpan w:val="2"/>
          </w:tcPr>
          <w:p>
            <w:pPr>
              <w:ind w:left="300"/>
              <w:spacing w:after="0"/>
              <w:rPr>
                <w:sz w:val="20"/>
                <w:szCs w:val="20"/>
                <w:color w:val="auto"/>
              </w:rPr>
            </w:pPr>
            <w:r>
              <w:rPr>
                <w:rFonts w:ascii="Arial" w:cs="Arial" w:eastAsia="Arial" w:hAnsi="Arial"/>
                <w:sz w:val="18"/>
                <w:szCs w:val="18"/>
                <w:color w:val="auto"/>
              </w:rPr>
              <w:t>Method of enriching population of mesoderm cells</w:t>
            </w:r>
          </w:p>
        </w:tc>
        <w:tc>
          <w:tcPr>
            <w:tcW w:w="3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May 2023</w:t>
            </w: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0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8,143,009</w:t>
            </w:r>
          </w:p>
        </w:tc>
        <w:tc>
          <w:tcPr>
            <w:tcW w:w="5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Toxicity typing using liver stem cells</w:t>
            </w:r>
          </w:p>
        </w:tc>
        <w:tc>
          <w:tcPr>
            <w:tcW w:w="3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June 2023</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respect to AV-101, we have filed four new patent applications, as noted above.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in part, on trade secrets for protection of some of our intellectual property. We attempt to protect trade secrets by entering into confidentiality agreements with third parties, employees and consultants. Our employees and consultants also sign agreements requiring that they assign to us their interests in patents and copyrights arising from their work for 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Research Collaborations and Intellectual Property Rights</w:t>
      </w:r>
    </w:p>
    <w:p>
      <w:pPr>
        <w:sectPr>
          <w:pgSz w:w="11900" w:h="16838" w:orient="portrait"/>
          <w:cols w:equalWidth="0" w:num="1">
            <w:col w:w="11420"/>
          </w:cols>
          <w:pgMar w:left="240" w:top="130" w:right="239" w:bottom="96"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University Health Network, McEwen Centre for Regenerative Medicine, Toronto, Ontario</w:t>
      </w:r>
    </w:p>
    <w:p>
      <w:pPr>
        <w:sectPr>
          <w:pgSz w:w="11900" w:h="16838" w:orient="portrait"/>
          <w:cols w:equalWidth="0" w:num="1">
            <w:col w:w="11420"/>
          </w:cols>
          <w:pgMar w:left="240" w:top="130" w:right="239" w:bottom="96" w:gutter="0" w:footer="0" w:header="0"/>
          <w:type w:val="continuous"/>
        </w:sectPr>
      </w:pPr>
    </w:p>
    <w:bookmarkStart w:id="65" w:name="page66"/>
    <w:bookmarkEnd w:id="65"/>
    <w:p>
      <w:pPr>
        <w:jc w:val="both"/>
        <w:ind w:firstLine="648"/>
        <w:spacing w:after="0" w:line="288" w:lineRule="auto"/>
        <w:rPr>
          <w:sz w:val="20"/>
          <w:szCs w:val="20"/>
          <w:color w:val="auto"/>
        </w:rPr>
      </w:pPr>
      <w:r>
        <w:rPr>
          <w:rFonts w:ascii="Arial" w:cs="Arial" w:eastAsia="Arial" w:hAnsi="Arial"/>
          <w:sz w:val="16"/>
          <w:szCs w:val="16"/>
          <w:color w:val="auto"/>
        </w:rPr>
        <w:t>Our strategic relationship with our co-founder, Dr. Gordon Keller, Director of the UHN’s McEwen Centre, is focused on, among other things, developing improved methods for differentiation of cardiomyocytes (heart cells) from hPSCs, and their uses in bioassay systems for drug discovery and drug development, including drug rescue. Pursuant to our sponsored research collaboration agreement with UHN, we have acquired exclusive worldwide rights to patent applications in the U.S. and foreign countries on multiple inventions arising from studies we have sponsored, under pre-negotiated license terms. Such pre-negotiated terms provide for royalty payments based on product sales that incorporate the licensed technology and milestone payments based on the achievement of certain events. Any drug rescue NCEs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sponsored research collaboration agreement (“</w:t>
      </w:r>
      <w:r>
        <w:rPr>
          <w:rFonts w:ascii="Arial" w:cs="Arial" w:eastAsia="Arial" w:hAnsi="Arial"/>
          <w:sz w:val="16"/>
          <w:szCs w:val="16"/>
          <w:i w:val="1"/>
          <w:iCs w:val="1"/>
          <w:color w:val="auto"/>
        </w:rPr>
        <w:t>SRCA</w:t>
      </w:r>
      <w:r>
        <w:rPr>
          <w:rFonts w:ascii="Arial" w:cs="Arial" w:eastAsia="Arial" w:hAnsi="Arial"/>
          <w:sz w:val="16"/>
          <w:szCs w:val="16"/>
          <w:color w:val="auto"/>
        </w:rPr>
        <w:t>”) with UHN, as amended, has a term of ten years, ending on September 18, 2017. We are currently in discussions with Dr. Keller and UHN regarding the scope of potential new sponsored research projects under the SRCA. The ten-year term of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UHN Licenses for Stem Cell Culture Technology</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October 2011, we licensed stem cell culture technology from UHN’s McEwen Centre pursuant to the SCRA. This exclusive license conveyed rights to a patent application entitled “Methods for enriching pluripotent stem cell derived cardiomyocyte progenitor cells and cardiomyocyte (heart) cells based on SIRPA expression” covered by U.S. Provisional 61/377,665 and PCT patent application WO/2012/024782, and any related patent application claiming priority from these. This technology involves a heretofore unknown cell surface protein, SIRPA (signal-regulatory protein alpha) that is expressed by early immature precursors for cardiomyocytes. Antibodies specific to SIRPA allow the identification and enrichment of these early cardiomyocyte precursors, which we believe will provide benefits in terms of purity, functionality and reproducibility for not only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safety assays for drug screening and development, but also potentially for production of cardiomyocytes for cell therapy and regenerative medicine applications.</w:t>
      </w:r>
    </w:p>
    <w:p>
      <w:pPr>
        <w:spacing w:after="0" w:line="1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April 2012, we licensed stem cell culture technology from UHN’s McEwen Centre pursuant to the SCRA. The licensed technology may be used to develop hematopoietic precursor stem cells from human pluripotent stem cells, with the goal of developing drug discovery screening and regenerative medicine applications for human blood system disorders. This technology is covered by U.S. Provisional US61/562,094 and PCT patent application WO/2013/075222, and any related patent application claiming priority from these. We believe this stem cell technology dramatically advances our ability to produce and purify this important blood stem cell precursor for both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drug discovery screening and potential regenerative medicine applications. In addition to defining new cell culture methods for our use, the technology describes the surface characteristics of stem cell-derived adult hematopoietic stem cells. Most groups study embryonic blood development from stem cells, but we are able to not only purify the stem cell-derived precursor of all adult hematopoietic cells, but also pinpoint the precise timing when adult blood cell differentiation takes place in these cultures. We believe these early cells have the potential to be the precursors of the ultimate adult, bone marrow-repopulating hematopoietic stem cells to repopulate the blood and immune system when transplanted into patients prepared for bone marrow transplantation.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December 2014, we licensed stem cell culture technology from UHN’s McEwen Centre pursuant to the SCRA. This exclusive license conveyed rights to a patent application entitled “Methods for generating hepatocytes and cholangiocytes from pluripotent stem cells” covered by PCT patent application WO/2014/124527, and any future patent application claiming priority from it. The licensed technology describes advanced methods for the production of mature hepatocytes and cholangiocytes, the primary cell types of the liver. The liver plays an important role in many bodily functions including protein production, blood clotting, as well as glucose, iron and lipid metabolism. Hepatocytes are the major cells responsible for metabolizing drugs, drug-drug interactions, and are the target for a variety of liver diseases including drug-induced liver failure, Cirrhosis, and viral infections. Cholangiocytes are the precursors for the biliary system found in the liver, i.e. bile ducts and gallbladder. The biliary system is a significant target for many conditions, including drug toxicities, cholecystitis, and liver-related abnormal function associated with the cystic fibrosis mutation. The licensed technology now enables us to more efficiently produce, human hepatocytes and cholangiocytes with more adult-like functions for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drug discovery and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toxicity assays to support our drug rescue programs, as well as the therapeutic potential for cell-based therapies.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December 2014, we licensed stem cell culture technology from UHN’s McEwen Centre pursuant to the SCRA. This exclusive license conveyed rights to patent application entitled “Methods and Compositions for Generating Epicardium Cells” covered by PCT patent application WO/2015/035506 application, and any future patent application claiming priority from it. The epicardium is the outer cell layer on top of the heart muscle (cardiomyocytes), and is essential for proper development of the heart and plays an important role in cardiac recovery during disease. The epicardium plays a critical role in the differentiation, expansion, and maturation of cardiomyocytes during development, or during cardiac repair responses. This technology will be important to developing the next generation of engineered cardiac tissue, or their function in cell therapy approaches.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December 2014, we licensed stem cell culture technology from UHN’s McEwen Centre pursuant to the SCRA. This exclusive license conveyed rights to patent application entitled “Methods and compositions for generating chondrocyte lineage cells and/or cartilage like tissue” covered by PCT patent application WO/2014/161075 application, and any future patent application claiming priority from it. There are two type of chondrocytes, “articular” and “growth plate”. Articular chondrocytes are responsible for cartilage that lines our joints, whereas growth plate chondrocytes are involved with new bone formation. Osteoarthritis is debilitating joint diseases resulting from the degeneration of articular cartilage leading to inappropriate bone development (spurs) in the joint. These technologies will allow us to develop in vitro assays to study the process of the degeneration of articular cartilage, and provides novel tools for testing drugs that have the potential to reduce this degeneration. These cells also provide the necessary cells for developing cell therapy approaches for treating osteoarthritis.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biopharmaceuticals industry is highly competitive. There are many public and private biopharmaceutical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Currently, there are no FDA-approved therapies for MDD with the mechanism of action of AV-101. However, products approved for other indications, for example, the anesthetic ketamine, are being or may be used off-label for treatment of MDD, as well as other CNS indications for which AV-101 may have therapeutic potential. Additionally, other treatment options, such psychotherapy and electroconvulsive therapy, are sometimes used instead of and before antidepressant medications to treat patients with MDD.</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field of new generation antidepressants focused on modulation of the NMDAR, our principal competitor is Naurex, Inc., which is developing GLYX-13 and NRX-1074 for treatment-resistant MDD. Although each of these drug candidates is a peptide and may not be orally active (GLYX-13 is only administered intravenously and, we believe, NRX-1074 has not yet been administered orally to human subjects), both are new generation NMDA modulators focused on the GyB site of the NMDA receptor.</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Actavis, Astra Zeneca, Eli Lilly, GlaxoSmithKline, Johnson &amp; Johnson, Lundbeck, Merck, Novartis, Otsuka, Pfizer, Roche, Sumitomo Dainippon, and Takeda.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We expect that AV-101 will have to compete with a variety of therapeutic products and procedures.</w:t>
      </w:r>
    </w:p>
    <w:p>
      <w:pPr>
        <w:spacing w:after="0" w:line="20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believe that our human pluripotent stem cell (</w:t>
      </w:r>
      <w:r>
        <w:rPr>
          <w:rFonts w:ascii="Arial" w:cs="Arial" w:eastAsia="Arial" w:hAnsi="Arial"/>
          <w:sz w:val="17"/>
          <w:szCs w:val="17"/>
          <w:i w:val="1"/>
          <w:iCs w:val="1"/>
          <w:color w:val="auto"/>
        </w:rPr>
        <w:t>hPSC</w:t>
      </w:r>
      <w:r>
        <w:rPr>
          <w:rFonts w:ascii="Arial" w:cs="Arial" w:eastAsia="Arial" w:hAnsi="Arial"/>
          <w:sz w:val="17"/>
          <w:szCs w:val="17"/>
          <w:color w:val="auto"/>
        </w:rPr>
        <w:t xml:space="preserve">) technology platform,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drug discovery and safety testing, contract predictive toxicology drug screening services for third parties, internal drug discovery, drug development and drug rescue of new , and regenerative medicine, including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cell therapy research and development. A representative list of such biopharmaceutical companies pursuing one or more of these potential applications of adult and/or hPSCl technology includes the following: Acea Biosciences, Advanced Cell Technology, Athersys, BioCardia, BioTime, Cellectis Bioresearch, Cellerant Therapeutics, Cytori Therapeutics, Fujifilm Holdings, HemoGenix, International Stem Cell, NeoStem, Neuralstem, Organovo Holdings, PluriStem Therapeutics, Stem Cells, and Stemina BioMarker Discovery. Pharmaceutical companies and other established corporations such as Bristol-Myers Squibb, GE Healthcare Life Sciences, GlaxoSmithKline, Life Technologies, Novartis, Pfizer, Roche Holdings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drug products.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among other actions, the FDA’s refusal to approve pending applications, withdrawal of an approval, a clinical hold, warning letters, product recalls or withdrawals from the market,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candidates must be approved by the FDA through the NDA process before they may be legally marketed in the United States. The process required by the FDA before a drug may be marketed in the United States generally involves the following:</w:t>
      </w:r>
    </w:p>
    <w:p>
      <w:pPr>
        <w:spacing w:after="0" w:line="170" w:lineRule="exact"/>
        <w:rPr>
          <w:sz w:val="20"/>
          <w:szCs w:val="20"/>
          <w:color w:val="auto"/>
        </w:rPr>
      </w:pPr>
    </w:p>
    <w:p>
      <w:pPr>
        <w:ind w:left="920" w:hanging="259"/>
        <w:spacing w:after="0" w:line="308" w:lineRule="auto"/>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Completion of extensive non-clinical, sometimes referred to as non-clinical laboratory tests, non-clinical animal studies and formulation studies in accordance with applicable regulations, including the FDA’s current Good Laboratory Practice, or GLP, regulations;</w:t>
      </w:r>
    </w:p>
    <w:p>
      <w:pPr>
        <w:spacing w:after="0" w:line="146" w:lineRule="exact"/>
        <w:rPr>
          <w:rFonts w:ascii="Arial" w:cs="Arial" w:eastAsia="Arial" w:hAnsi="Arial"/>
          <w:sz w:val="17"/>
          <w:szCs w:val="17"/>
          <w:color w:val="auto"/>
        </w:rPr>
      </w:pPr>
    </w:p>
    <w:p>
      <w:pPr>
        <w:ind w:left="920" w:hanging="259"/>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Submission to the FDA of an IND application, which must become effective before human clinical trials may begin;</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Approval by an independent institutional review board, or IRB, or ethics committee at each clinical trial site before each trial may be initiated;</w:t>
      </w:r>
    </w:p>
    <w:p>
      <w:pPr>
        <w:spacing w:after="0" w:line="275" w:lineRule="exact"/>
        <w:rPr>
          <w:rFonts w:ascii="Arial" w:cs="Arial" w:eastAsia="Arial" w:hAnsi="Arial"/>
          <w:sz w:val="16"/>
          <w:szCs w:val="16"/>
          <w:color w:val="auto"/>
        </w:rPr>
      </w:pPr>
    </w:p>
    <w:p>
      <w:pPr>
        <w:ind w:left="920" w:hanging="259"/>
        <w:spacing w:after="0" w:line="342" w:lineRule="auto"/>
        <w:tabs>
          <w:tab w:leader="none" w:pos="9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applicable IND and other clinical trial-related regulations, sometimes referred to as good clinical practices, or GCPs, to establish the safety and efficacy of the proposed drug for each proposed indication;</w:t>
      </w:r>
    </w:p>
    <w:p>
      <w:pPr>
        <w:spacing w:after="0" w:line="123" w:lineRule="exact"/>
        <w:rPr>
          <w:rFonts w:ascii="Arial" w:cs="Arial" w:eastAsia="Arial" w:hAnsi="Arial"/>
          <w:sz w:val="16"/>
          <w:szCs w:val="16"/>
          <w:color w:val="auto"/>
        </w:rPr>
      </w:pPr>
    </w:p>
    <w:p>
      <w:pPr>
        <w:ind w:left="920" w:hanging="259"/>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Submission to the FDA of an NDA, for a new drug;</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NDA for review;</w:t>
      </w:r>
    </w:p>
    <w:p>
      <w:pPr>
        <w:spacing w:after="0" w:line="225" w:lineRule="exact"/>
        <w:rPr>
          <w:rFonts w:ascii="Arial" w:cs="Arial" w:eastAsia="Arial" w:hAnsi="Arial"/>
          <w:sz w:val="18"/>
          <w:szCs w:val="18"/>
          <w:color w:val="auto"/>
        </w:rPr>
      </w:pPr>
    </w:p>
    <w:p>
      <w:pPr>
        <w:jc w:val="both"/>
        <w:ind w:left="920" w:hanging="259"/>
        <w:spacing w:after="0" w:line="264"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where the drug is produced to assess compliance with cGMP requirements to assure that the facilities, methods and controls are adequate to preserve the drug’s identity, strength, quality and purity;</w:t>
      </w:r>
    </w:p>
    <w:p>
      <w:pPr>
        <w:spacing w:after="0" w:line="181" w:lineRule="exact"/>
        <w:rPr>
          <w:rFonts w:ascii="Arial" w:cs="Arial" w:eastAsia="Arial" w:hAnsi="Arial"/>
          <w:sz w:val="18"/>
          <w:szCs w:val="18"/>
          <w:color w:val="auto"/>
        </w:rPr>
      </w:pPr>
    </w:p>
    <w:p>
      <w:pPr>
        <w:ind w:left="920" w:hanging="259"/>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FDA audit of the non-clinical and/or clinical trial sites that generated the data in support of the NDA; and</w:t>
      </w:r>
    </w:p>
    <w:p>
      <w:pPr>
        <w:spacing w:after="0" w:line="225" w:lineRule="exact"/>
        <w:rPr>
          <w:rFonts w:ascii="Arial" w:cs="Arial" w:eastAsia="Arial" w:hAnsi="Arial"/>
          <w:sz w:val="18"/>
          <w:szCs w:val="18"/>
          <w:color w:val="auto"/>
        </w:rPr>
      </w:pPr>
    </w:p>
    <w:p>
      <w:pPr>
        <w:ind w:left="920" w:hanging="259"/>
        <w:spacing w:after="0" w:line="277"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FDA review and approval of the NDA, including consideration of the views of any FDA advisory committee, prior to any commercial marketing or sale of the drug in the United States.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non-clinical and clinical testing and approval process requires substantial time, effort and financial resources, and we cannot be certain that any approvals for our product candidates will be granted on a timely basis, if at all. Non-clinical tests include laboratory evaluation of product chemistry, formulation, stability and toxicity, as well as animal studies to assess the characteristics and potential safety and efficacy of the product.</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data required to support an NDA is generated in two distinct development stages: non-clinical and clinical. For new chemical entities, the non-clinical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non-clinical tests must comply with federal regulations, including GLPs. The sponsor must submit the results of the non-clinical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Some non-clinical testing may continue even after the IND is submitted, but an IND must become effective before human clinical trials may begin. The central focus of an IND submission is on the general investigational plan and the protocol(s) for human trials. The IND automatically becomes effective 30 days after receipt by the FDA, unless the FDA raises concerns or questions regarding the proposed clinical trials, including subjects will be exposed to unreasonable health risks, and places the IND on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69" w:name="page70"/>
    <w:bookmarkEnd w:id="69"/>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clinical stage of development involves the administration of the drug candidate to healthy volunteers 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sponsor who wishes to conduct a clinical trial outside the United States may, but need not, obtain FDA authorization to conduct the clinical trial under an IND. If a foreign clinical trial is not conducted under an IND, the sponsor may submit data from the clinical trial to the FDA in support of an NDA so long as the clinical trial is conducted in compliance with an international guideline for the ethical conduct of clinical research known as the Declaration of Helsinki and/or the laws and regulations of the country or countries in which the clinical trial is performed, whichever provides the greater protection to the participants in the clinical trial.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Clinical trials are generally conducted in three sequential phases that may overlap, known as Phase 1, Phase 2 and Phase 3 clinical trials.</w:t>
      </w:r>
    </w:p>
    <w:p>
      <w:pPr>
        <w:spacing w:after="0" w:line="237" w:lineRule="exact"/>
        <w:rPr>
          <w:sz w:val="20"/>
          <w:szCs w:val="20"/>
          <w:color w:val="auto"/>
        </w:rPr>
      </w:pPr>
    </w:p>
    <w:p>
      <w:pPr>
        <w:jc w:val="both"/>
        <w:ind w:left="920" w:hanging="259"/>
        <w:spacing w:after="0" w:line="264" w:lineRule="auto"/>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Phase 1 clinical trials generally involve a small number of healthy volunteers who are initially exposed to a single dose and then multiple doses of the product candidate. The primary purpose of these clinical trials is to assess the metabolism, pharmacologic action, side effect tolerability and safety of the drug.</w:t>
      </w:r>
    </w:p>
    <w:p>
      <w:pPr>
        <w:spacing w:after="0" w:line="208" w:lineRule="exact"/>
        <w:rPr>
          <w:rFonts w:ascii="Arial" w:cs="Arial" w:eastAsia="Arial" w:hAnsi="Arial"/>
          <w:sz w:val="18"/>
          <w:szCs w:val="18"/>
          <w:color w:val="auto"/>
        </w:rPr>
      </w:pPr>
    </w:p>
    <w:p>
      <w:pPr>
        <w:jc w:val="both"/>
        <w:ind w:left="920" w:hanging="259"/>
        <w:spacing w:after="0" w:line="264" w:lineRule="auto"/>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Phase 2 clinical trials typically involve studies in disease-affected patients to determine the dose required to produce the desired benefits. At the same time, safety and further pharmacokinetic and pharmacodynamic information is collected, as well as identification of possible adverse effects and safety risks and preliminary evaluation of efficacy.</w:t>
      </w:r>
    </w:p>
    <w:p>
      <w:pPr>
        <w:spacing w:after="0" w:line="208" w:lineRule="exact"/>
        <w:rPr>
          <w:rFonts w:ascii="Arial" w:cs="Arial" w:eastAsia="Arial" w:hAnsi="Arial"/>
          <w:sz w:val="18"/>
          <w:szCs w:val="18"/>
          <w:color w:val="auto"/>
        </w:rPr>
      </w:pPr>
    </w:p>
    <w:p>
      <w:pPr>
        <w:jc w:val="both"/>
        <w:ind w:left="920" w:hanging="259"/>
        <w:spacing w:after="0" w:line="257" w:lineRule="auto"/>
        <w:tabs>
          <w:tab w:leader="none" w:pos="9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Phase 3 clinical trials generally involve large numbers of patients at multiple sites (from several hundred to several thousand subjects) and are designed to provide the data necessary to demonstrate the effectiveness of the product for its intended use, its safety in use, and to establish the overall benefit/risk relationship of the product and provide an adequate basis for product approval. Phase 3 clinical trials may include comparisons with placebo and/or other comparator treatments. The duration of treatment is often extended to mimic the actual use of a product during marketing.</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 as a condition of approval of an NDA.</w:t>
      </w:r>
    </w:p>
    <w:p>
      <w:pPr>
        <w:spacing w:after="0" w:line="2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Progress reports detailing the results of the clinical trials must be submitted at least annually to the FDA and written IND safety reports must be submitted to the FDA and the investigators for serious and unexpected suspected adverse events, finding from other studies, or any finding from animal or in vitro testing that suggests a significant risk for human subjects. Phase 1, Phase 2 and Phase 3 clinical trials may not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we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and FDA review process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results of non-clinical studies and of the clinical trials, together with other detailed information, including extensive manufacturing information and information on the composition of the drug and proposed labeling, are submitted to the FDA in the form of an NDA requesting approval to market the drug for one or more specified indications. The FDA reviews an NDA to determine, among other things, whether a drug is safe and effective for its intended use and whether the product is being manufactured in accordance with cGMP to assure and preserve the product’s identity, strength, quality and purity. FDA approval of an NDA must be obtained before a drug may be offered for sale in the United States.</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Prescription Drug User Fee Act, or PDUFA, as amended, each NDA must be accompanied by a user fee. The FDA adjusts the PDUFA user fees on an annual basis. According to the FDA’s fee schedule, effective through December 31, 2014, the user fee for an application requiring clinical data, such as an NDA, is $2.2 million. PDUFA also imposes an annual product fee for human drugs of $0.1 million and an annual establishment fee of $0.6 million on facilities used to manufacture prescription drugs.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the FDA has 10 months from the filing date in which to complete its initial review of a standard NDA and respond to the applicant, and six months from the filing date for a priority NDA. The FDA does not always meet its PDUFA goal dates for standard and priority NDAs, and the review process is often significantly extended by FDA requests for additional information or clarification.</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Before approving an NDA, the FDA will conduct a pre-approval inspection of the manufacturing facilities for the new product to determine whether they comply with cGMPs. The FDA will not approve the product unless it determines that the manufacturing processes and facilities are in compliance with cGMP requirements and adequate to assure consistent production of the product within required specifications. In addition, before approving an NDA, the FDA may also audit data from clinical trials to ensure compliance with GCP requirements. 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the applicant during the review process. The review and evaluation of an NDA by the FDA is extensive and time consuming and may take longer than originally planned to complete, and we may not receive a timely approval, if at all.</w:t>
      </w:r>
    </w:p>
    <w:p>
      <w:pPr>
        <w:spacing w:after="0" w:line="20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After the FDA evaluates an NDA,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Phase 3 clinical trial(s), and/or other significant and time-consuming requirements related to clinical trials, non-clinical studies or manufacturing. If a Complete Response Letter is issued, the applicant may either resubmit the NDA, addressing all of the deficiencies identified in the letter, or withdraw the application.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There is no assurance that the FDA will ultimately approve a drug product for marketing in the United States and we may encounter significant difficulties or costs during the review process. If a product receives marketing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or may condition the approval of the NDA on other changes to the proposed labeling, development of adequate controls and specifications, or a commitment to conduct post-marketing testing or clinical trials and surveillance to monitor the effects of approved products. For example, the FDA may require Phase 4 testing which involves clinical trials designed to further assess a drug’s safety and efficacy and may require testing and surveillance programs to monitor the safety of approved products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requirements or if problems occur following initial marketing.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Orphan Drug Act, the FDA may grant orphan designation to a drug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product available in the United States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7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than that for which the orphan product has exclusivity. Orphan product exclusivity also could block the approval of one of our products for seven years if a competitor obtains approval of the same product as defined by the FDA or if our product candidate is determined to be contained within the competitor’s product for the same indication or disease. If a drug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FDA has a Fast Track program that is intended to expedite or facilitate the process for reviewing new drugs that meet certain criteria. Specifically, new drugs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as a Fast Track product at any time during the clinical development of the product. Unique to a Fast Track product, the FDA may review sections of the marketing application on a rolling basis before the complete NDA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offers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 product may also be eligible for accelerated approval. Drugs studied for their safety and efficacy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trials. If the FDA concludes that a drug shown to be effective can be safely used only if distribution or use is restricted, it will require such post-marketing restrictions, as it deems necessary to assure safe use of the drug, such as:</w:t>
      </w:r>
    </w:p>
    <w:p>
      <w:pPr>
        <w:spacing w:after="0" w:line="200" w:lineRule="exact"/>
        <w:rPr>
          <w:sz w:val="20"/>
          <w:szCs w:val="20"/>
          <w:color w:val="auto"/>
        </w:rPr>
      </w:pPr>
    </w:p>
    <w:p>
      <w:pPr>
        <w:ind w:left="920" w:hanging="259"/>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distribution restricted to certain facilities or physicians with special training or experience; or</w:t>
      </w:r>
    </w:p>
    <w:p>
      <w:pPr>
        <w:spacing w:after="0" w:line="252" w:lineRule="exact"/>
        <w:rPr>
          <w:rFonts w:ascii="Arial" w:cs="Arial" w:eastAsia="Arial" w:hAnsi="Arial"/>
          <w:sz w:val="18"/>
          <w:szCs w:val="18"/>
          <w:color w:val="auto"/>
        </w:rPr>
      </w:pPr>
    </w:p>
    <w:p>
      <w:pPr>
        <w:ind w:left="920" w:hanging="259"/>
        <w:spacing w:after="0"/>
        <w:tabs>
          <w:tab w:leader="none" w:pos="9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distribution conditioned on the performance of specified medical procedures.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72" w:name="page73"/>
    <w:bookmarkEnd w:id="72"/>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limitations imposed would be commensurate with the specific safety concerns presented by the drug. In addition, the FDA currently requires as a condition for accelerated approval pre-approval of promotional materials, which could adversely impact the timing of the commercial launch of the product. Additionally, a drug may be eligible for designation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indications. The benefits of breakthrough therapy designation includes the same benefits as fast track designation, plus intensive guidance from FDA to ensure an efficient drug development program. Fast Track designation, priority review, accelerated approval and breakthrough designation do not change the standards for approval, but may expedite the development or approval process.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Trials</w:t>
      </w:r>
    </w:p>
    <w:p>
      <w:pPr>
        <w:spacing w:after="0" w:line="2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Food and Drug Administration Safety and Innovation Act, or FDASIA, which was signed into law on July 9, 2012, amended the FDCA to require that a sponsor who is planning to submit a marketing application for a drug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Post-Marketing Requirements</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Following approval of a new product, a pharmaceutical company and the approved product are subject to continuing regulation by the FDA, including, among other things, monitoring and recordkeeping activities, reporting to the applicable regulatory authorities of adverse experiences with the product, providing the regulatory authorities with updated safety and efficacy information, product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 Prescription drug promotional materials must be submitted to the FDA in conjunction with their first use. Further, if there are any modifications to the drug, including changes in indications, labeling, or manufacturing processes or facilities, the applicant may be required to submit and obtain FDA approval of a new NDA or NDA supplement, which may require the applicant to develop additional data or conduct additional non-clinical studies and clinical trials. As with new NDAs, the review process is often significantly extended by FDA requests for additional information or clarification. Any distribution of prescription drug products and pharmaceutical samples must comply with the U.S. Prescription Drug Marketing Act, or the PDMA, a part of the FDCA.</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the United States, once a product is approved, its manufacture is subject to comprehensive and continuing regulation by the FDA. The FDA regulations require that products be manufactured in specific approved facilities and in accordance with cGMP. We rely, and expect to continue to rely, on third parties for the production of clinical and commercial quantities of our products in accordance with cGMP regulations. NDA holders using contract manufacturers, laboratories or packagers are responsible for the selection and monitoring of qualified firms, and, in certain circumstances, qualified suppliers to these firms. These manufacturers must comply with cGMP regulations that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 discovery of violative conditions, including failure to conform to cGMP, could result in enforcement actions that interrupt the operation of any such facilities or the ability to distribute products manufactured, processed or tested by them. Discovery of problems with a product after approval may result in restrictions on a product, manufacturer, or holder of an approved NDA, including, among other things, recall or withdrawal of the product from the market.</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Discovery of previously unknown problems with a product or the failure to comply with applicable FDA requirements can have negative consequences, including adverse publicity, judicial or administrative enforcement, warning letters from the FDA, mandated corrective advertising or communications with doctors, and civil or criminal penalties, among others. Newly discovered or developed safety or effectiveness data may require changes to a product’s approved labeling, including the addition of new warnings and contraindications, and also may require the implementation of other risk management measures. Also, new government requirements, including those resulting from new legislation, may be established, or the FDA’s policies may change, which could delay or prevent regulatory approval of our products under development.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3" w:name="page74"/>
    <w:bookmarkEnd w:id="73"/>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Manufacturing, sales, promotion and other activities following product approval are also subject to regulation by numerous regulatory authorities in addition to the FDA, including, in the United States, the Centers for Medicare &amp; Medicaid Services, other divisions of the Department of Health and Human Services, the United States Department of Justice, the Drug Enforcement Administration, the Consumer Product Safety Commission, the Federal Trade Commission, the Occupational Safety &amp; Health Administration, the Environmental Protection Agency and state and local governments. In the United States, sales, marketing and scientific/educational programs must also comply with state and federal fraud and abuse laws. These laws include the federal Anti-Kickback Statute, which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the Patient Protection and Affordable Health Care Act, as amended by the Health Care and Education Reconciliation Act of 2010, or collectively the ACA, among other things, amends the intent requirement of the federal Anti-Kickback Statute and criminal healthcare fraud statutes created by the federal Health Insurance Portability and Accountability Act of 1996, or HIPAA. A person or entity no longer needs to have actual knowledge of the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9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Although we would not submit claims directly to payors, drug manufacturers can be held liable under the federal False Claims Act, which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The government may deem manufacturers to have “caused”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Penalties for a False Claims Act violation include three times the actual damages sustained by the government, plus mandatory civil penalties of between $5,500 and $11,000 for each separate false claim, the potential for exclusion from participation in federal healthcare programs, and, although the federal False Claims Act is a civil statute, conduct that results in a False Claims Act violation may also implicate various federal criminal statutes. If the government were to allege that we were, or convict us of, violating these false claims laws, we could be subject to a substantial fine and may suffer a decline in our stock price. In addition, private individuals have the ability to bring actions under the federal False Claims Act and certain states have enacted laws modeled after the federal False Claims Act.</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Pricing and rebate programs must comply with the Medicaid rebate requirements of the U.S. Omnibus Budget Reconciliation Act of 1990 and more recent requirements in ACA.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recall or seizure of products, total or partial suspension of production, denial or withdrawal of product approvals, or refusal to allow a firm to enter into supply contracts, including government contracts. Any action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our business in an adverse way.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Changes in regulations, statutes or the interpretation of existing regulations could impact our business in the future by requiring, for example:</w:t>
      </w:r>
    </w:p>
    <w:p>
      <w:pPr>
        <w:spacing w:after="0" w:line="35"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changes to our manufacturing arrangements; (ii) additions or modifications to product labeling; (iii) the recall or discontinuation of our products; or</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 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20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Marketing exclusivity provisions under the FDCA can also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non-clinical studies and adequate and well-controlled clinical trials necessary to demonstrate safety and efficacy. Orphan drug exclusivity, as described above, may offer a seven-year period of marketing exclusivity, except in certain circumstances. Pediatric exclusivity is another type of regulatory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Development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European Union, our future products may also be subject to extensive regulatory requirements. As in the United States, medicinal products can only be marketed if a marketing authorization from the competent regulatory agencies has been obtained.</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Similar to the United States, the various phases of non-clinical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20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EU clinical trials legislation is currently undergoing a revision process mainly aimed at harmonizing and streamlining the clinical trials authorization process, simplifying adverse event reporting procedures, improving the supervision of clinical trials, and increasing their transparency.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Drug Review and Approval</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European Economic Area, or EEA, (which is comprised of the 27 Member States of the European Union (excluding Croatia) plus Norway, Iceland and Liechtenstein), medicinal products can only be commercialized after obtaining a Marketing Authorization, or MA. There are two types of marketing authorizations: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Community MA is issued by the European Commission through the Centralized Procedure, based on the opinion of the Committee for Medicinal Products for Human Use, or CHMP, of the European Medicines Agency, or EMA, and is valid throughout the entire territory of the EEA. 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w:t>
      </w:r>
    </w:p>
    <w:p>
      <w:pPr>
        <w:spacing w:after="0" w:line="2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product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above-described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New Chemical Entity Exclusivity</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 Orphan Designation and Exclusivity</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European Union, the EMA’s Committee for Orphan Medicinal Products grants orphan drug designation to promote the development of products that are intended for the diagnosis, prevention or treatment of life-threatening or chronically debilitating conditions affecting not more than 5 in 10,000 persons in the European Union Community and for which no satisfactory method of 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medicinal product.</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European Union, orphan drug designation entitles a party to financial incentives such as reduction of fees or fee waivers and ten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the World Regulation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other countries outside of the European Union and the United States, such as countries in Eastern Europe, Latin America or Asia, the requirements governing the conduct of clinical trials, product licensing, pricing and reimbursement vary from country to country. In all cases, the clinical trials must be conducted in accordance with cGCP requirements and the applicable regulatory requirements and the ethical principles that have their origin in the Declaration of Helsinki.</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of our products will depend, in part, on the extent to which our products will be covered by third-party payors, such as government health programs, commercial insurance and managed healthcare organizations. In the United States no uniform policy of coverage and reimbursement for drug products exists. Accordingly, decisions regarding the extent of coverage and amount of reimbursement to be provided for any of our products will be made on a payor by payor basis.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obtained.</w:t>
      </w:r>
    </w:p>
    <w:p>
      <w:pPr>
        <w:spacing w:after="0" w:line="2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Third-party payors are increasingly reducing reimbursements for medical products and services. 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 or a decision by a third-party payor to not cover our product candidate could reduce physician usage of the product candidate and have a material adverse effect on our sales, results of operations and financial condition.</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product candidate, if any such product or the condition that it is intended to treat is the subject of a trial. It is also possible that comparative effectiveness research demonstrating benefits in a competitor’s product could adversely affect the sales of our product candidate. If third-party payors do not consider our products to be cost-effective compared to other available therapies, they may not cover our products after approval as a benefit under their plans or, if they do, the level of payment may not be sufficient to allow us to sell our products on a profitable basis.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The ACA is expected to have a significant impact on the health care industry. The ACA is expected to expand coverage for the uninsured while at the same time containing overall healthcare costs. With regard to pharmaceutical products, among other things, the ACA is expected to expand and increase industry rebates for drugs covered under Medicaid programs and make changes to the coverage requirements under the Medicare Part D program. We cannot predict the full impact of the ACA on our business as many of the ACA reforms require the promulgation of detailed regulations implementing the statutory provisions that has not yet occurred. For example, the ACA imposed new reporting requirements on drug manufacturers for payments made to physicians and teaching hospitals, as well as ownership and investment interests held by physicians and their immediate family members. Failure to submit required information may result in civil monetary penalties of up to an aggregate of $150,000 per year (or up to an aggregate of $1 million per year for “knowing failures”), for all payments, transfers of value or ownership or investment interests that are not timely, accurately and completely reported in an annual submission. Drug manufacturers were required to begin collecting data on August 1, 2013 and were required to submit reports to CMS by March 31, 2014 (and by the 90th day of each subsequent calendar year). In addition, many states have adopted laws similar to the federal laws discussed above. Some of these state prohibitions apply to the referral of patients for healthcare services reimbursed by any insurer, not just federal healthcare programs such as Medicare and Medicaid. There has also been a recent trend of increased federal and state regulation of payments made to physicians. Certain states mandate implementation of compliance programs, impose restrictions on drug manufacturers’ marketing practices and/or require the tracking and reporting of gifts, compensation and other remuneration to physicians. 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On January 2, 2013, President Obama signed into law the American Taxpayer Relief Act of 2012, or the ATRA, which delayed for another two months the budget cuts mandated by these sequestration provisions of the Budget Control Act of 2011. The ATRA,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products and services, and in turn could significantly reduce the projected value of certain development projects and reduce our profitability.</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products. Historically, products launched in the European Union do not follow price structures of the United States and generally prices tend to be significantly lower.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Stem Cell Technology - United States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procedures we use to obtain clinical samples, and the procedures we use to isolate hESCs, are consistent with the informed consent and ethical guidelines promulgated by either the U.S. National Academy of Science, the International Society of Stem Cell Research (“</w:t>
      </w:r>
      <w:r>
        <w:rPr>
          <w:rFonts w:ascii="Arial" w:cs="Arial" w:eastAsia="Arial" w:hAnsi="Arial"/>
          <w:sz w:val="18"/>
          <w:szCs w:val="18"/>
          <w:i w:val="1"/>
          <w:iCs w:val="1"/>
          <w:color w:val="auto"/>
        </w:rPr>
        <w:t>ISSCR”</w:t>
      </w:r>
      <w:r>
        <w:rPr>
          <w:rFonts w:ascii="Arial" w:cs="Arial" w:eastAsia="Arial" w:hAnsi="Arial"/>
          <w:sz w:val="18"/>
          <w:szCs w:val="18"/>
          <w:color w:val="auto"/>
        </w:rPr>
        <w:t>), or the NIH. These procedures and documentation have been reviewed by an external Stem Cell Research Oversight Committee, and all cell lines we use have been approved under one or more of these guidelines.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U.S. government and its agencies on July 7, 2009 published guidelines for the ethical derivation of hESCs required for receiving federal funding for hESC research. Should we seek further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Stem Cell Technology - Canada</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Canada, stem cell research and development is governed by two policy documents and by one legislative statute: the Guidelines for Human Pluripotent Stem Cell Research (the </w:t>
      </w:r>
      <w:r>
        <w:rPr>
          <w:rFonts w:ascii="Arial" w:cs="Arial" w:eastAsia="Arial" w:hAnsi="Arial"/>
          <w:sz w:val="18"/>
          <w:szCs w:val="18"/>
          <w:i w:val="1"/>
          <w:iCs w:val="1"/>
          <w:color w:val="auto"/>
        </w:rPr>
        <w:t>Guidelines</w:t>
      </w:r>
      <w:r>
        <w:rPr>
          <w:rFonts w:ascii="Arial" w:cs="Arial" w:eastAsia="Arial" w:hAnsi="Arial"/>
          <w:sz w:val="18"/>
          <w:szCs w:val="18"/>
          <w:color w:val="auto"/>
        </w:rPr>
        <w:t>) issued by the Canadian Institutes of Health Research; the Tri-Council Statement: Ethical Conduct for Research Involving Humans (“</w:t>
      </w:r>
      <w:r>
        <w:rPr>
          <w:rFonts w:ascii="Arial" w:cs="Arial" w:eastAsia="Arial" w:hAnsi="Arial"/>
          <w:sz w:val="18"/>
          <w:szCs w:val="18"/>
          <w:i w:val="1"/>
          <w:iCs w:val="1"/>
          <w:color w:val="auto"/>
        </w:rPr>
        <w:t>TCPS”</w:t>
      </w:r>
      <w:r>
        <w:rPr>
          <w:rFonts w:ascii="Arial" w:cs="Arial" w:eastAsia="Arial" w:hAnsi="Arial"/>
          <w:sz w:val="18"/>
          <w:szCs w:val="18"/>
          <w:color w:val="auto"/>
        </w:rPr>
        <w:t>); and the Assisted Human Reproduction Act (</w:t>
      </w:r>
      <w:r>
        <w:rPr>
          <w:rFonts w:ascii="Arial" w:cs="Arial" w:eastAsia="Arial" w:hAnsi="Arial"/>
          <w:sz w:val="18"/>
          <w:szCs w:val="18"/>
          <w:i w:val="1"/>
          <w:iCs w:val="1"/>
          <w:color w:val="auto"/>
        </w:rPr>
        <w:t>Act</w:t>
      </w:r>
      <w:r>
        <w:rPr>
          <w:rFonts w:ascii="Arial" w:cs="Arial" w:eastAsia="Arial" w:hAnsi="Arial"/>
          <w:sz w:val="18"/>
          <w:szCs w:val="18"/>
          <w:color w:val="auto"/>
        </w:rPr>
        <w: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Act subjects all research conducted in Canada involving the human embryo, including hESC derivation (but not the stem cells once derived), to a licensing process overseen by a federal licensing agency. However, as of the date of this prospectus, the provisions of the Act regarding the licensing of hESC derivation were not in force</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not currently conducting stem cell research in Canada. We have, however, sponsored pluripotent stem cell research in Canada by Dr. Gordon Keller at UHN’s McEwen Centre. We anticipate conducting additional hPSC research (with both hESCs and hiPSCs), in collaboration with Dr. Keller and his research team, at UHN’s McEwen Centre during 2015 and beyond. Should the provisions of the Act come into force, we may have to apply for a license for all hESC research we may sponsor or conduct in Canada and ensure compliance of such research with the provisions of the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and Inter-Corporate Relationships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Canada should we elect to expand our U.S. operations into Canada; and Artemis Neuroscience, Inc., a corporation incorporated pursuant to the laws of the State of Maryland. The operations of VistaGen Therapeutics, Inc., a California corporation, and each of its two wholly owned subsidiaries are managed by our senior management team based in South San Francisco, California.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July 15, 2015, we employed nine full-time employees, three of whom have doctorate degrees. Six full-time employees work in research and development and laboratory support services and three full-time employees work in general and administrative roles. Staffing for all other functional areas is achieved through strategic relationships with service providers and consultants, each of whom provides services on a real-time, as-needed basis, including human resources and payroll, information technology, facilities, legal, stock plan administration, investor relations and website maintenance, regulatory affairs, and FDA program management.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never had a work stoppage, and none of our employees is represented by a labor organization or under any collective bargaining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consider our employee relations to be is good.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lease our office and laboratory space, which consists of approximately 10,000 square feet located in South San Francisco, California. Our lease expires on July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of the date of this prospectus, we were not party to any legal matters or claims. In the future, we may become party to legal matters and claims arising in the ordinary course of business, the resolution of which we do not anticipate would have a material adverse impact on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does not require us to comply with any particular unique environmental regulations.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9" w:name="page80"/>
    <w:bookmarkEnd w:id="79"/>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PRICE OF COMMON STOCK AND OTHER STOCKHOLDER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21, 2011, our common stock began trading on the OTC Marketplace (“</w:t>
      </w:r>
      <w:r>
        <w:rPr>
          <w:rFonts w:ascii="Arial" w:cs="Arial" w:eastAsia="Arial" w:hAnsi="Arial"/>
          <w:sz w:val="18"/>
          <w:szCs w:val="18"/>
          <w:i w:val="1"/>
          <w:iCs w:val="1"/>
          <w:color w:val="auto"/>
        </w:rPr>
        <w:t>OTCQB”</w:t>
      </w:r>
      <w:r>
        <w:rPr>
          <w:rFonts w:ascii="Arial" w:cs="Arial" w:eastAsia="Arial" w:hAnsi="Arial"/>
          <w:sz w:val="18"/>
          <w:szCs w:val="18"/>
          <w:color w:val="auto"/>
        </w:rPr>
        <w:t>), under the symbol “VSTA”. There was no established trading market for our common stock prior to that date.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Shown below is the range of high and low sales prices for our common stock for the periods indicated as reported by the OTCQB. The market quotations reflect inter-dealer prices, without retail mark-up, mark-down or commissions and may not necessarily represent actual transactions. Effective August 14, 2014, we consummated a 1-for-20 reverse split of our authorized, and issued and outstanding shares of common stock (the </w:t>
      </w:r>
      <w:r>
        <w:rPr>
          <w:rFonts w:ascii="Arial" w:cs="Arial" w:eastAsia="Arial" w:hAnsi="Arial"/>
          <w:sz w:val="18"/>
          <w:szCs w:val="18"/>
          <w:i w:val="1"/>
          <w:iCs w:val="1"/>
          <w:color w:val="auto"/>
        </w:rPr>
        <w:t>Stock Consolidation</w:t>
      </w:r>
      <w:r>
        <w:rPr>
          <w:rFonts w:ascii="Arial" w:cs="Arial" w:eastAsia="Arial" w:hAnsi="Arial"/>
          <w:sz w:val="18"/>
          <w:szCs w:val="18"/>
          <w:color w:val="auto"/>
        </w:rPr>
        <w:t>). Each reference to the price per share of common stock in the table below is on a post-Stock Consolidation basis, and reflects the 1-for-20 adjustment as a result of the Stock Consolidation.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03"/>
        </w:trPr>
        <w:tc>
          <w:tcPr>
            <w:tcW w:w="596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Year Ending March 31, 2015</w:t>
            </w:r>
          </w:p>
        </w:tc>
        <w:tc>
          <w:tcPr>
            <w:tcW w:w="28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80" w:type="dxa"/>
            <w:vAlign w:val="bottom"/>
            <w:tcBorders>
              <w:top w:val="single" w:sz="8" w:color="auto"/>
            </w:tcBorders>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 ending June 30, 2015</w:t>
            </w:r>
          </w:p>
        </w:tc>
        <w:tc>
          <w:tcPr>
            <w:tcW w:w="3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18"/>
                <w:szCs w:val="18"/>
                <w:color w:val="auto"/>
              </w:rPr>
            </w:pPr>
          </w:p>
        </w:tc>
        <w:tc>
          <w:tcPr>
            <w:tcW w:w="37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Ending March 31, 2015</w:t>
            </w:r>
          </w:p>
        </w:tc>
        <w:tc>
          <w:tcPr>
            <w:tcW w:w="2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First quarter ending June 30, 2014</w:t>
            </w:r>
          </w:p>
        </w:tc>
        <w:tc>
          <w:tcPr>
            <w:tcW w:w="3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ending September 30, 2014</w:t>
            </w:r>
          </w:p>
        </w:tc>
        <w:tc>
          <w:tcPr>
            <w:tcW w:w="3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Third quarter ending December 31, 2014</w:t>
            </w:r>
          </w:p>
        </w:tc>
        <w:tc>
          <w:tcPr>
            <w:tcW w:w="3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ending March 31, 2015</w:t>
            </w:r>
          </w:p>
        </w:tc>
        <w:tc>
          <w:tcPr>
            <w:tcW w:w="3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18"/>
                <w:szCs w:val="18"/>
                <w:color w:val="auto"/>
              </w:rPr>
            </w:pPr>
          </w:p>
        </w:tc>
        <w:tc>
          <w:tcPr>
            <w:tcW w:w="376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Ending March 31, 2014</w:t>
            </w:r>
          </w:p>
        </w:tc>
        <w:tc>
          <w:tcPr>
            <w:tcW w:w="2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376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First quarter ending June 30, 2013</w:t>
            </w:r>
          </w:p>
        </w:tc>
        <w:tc>
          <w:tcPr>
            <w:tcW w:w="3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 ending September 30, 2013</w:t>
            </w:r>
          </w:p>
        </w:tc>
        <w:tc>
          <w:tcPr>
            <w:tcW w:w="3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Third quarter ending December 31, 2013</w:t>
            </w:r>
          </w:p>
        </w:tc>
        <w:tc>
          <w:tcPr>
            <w:tcW w:w="3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ending March 31, 2014</w:t>
            </w:r>
          </w:p>
        </w:tc>
        <w:tc>
          <w:tcPr>
            <w:tcW w:w="3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On July 17, 2015 the closing price of our common stock on the OTCQB was $10.00 per share.</w:t>
      </w:r>
    </w:p>
    <w:p>
      <w:pPr>
        <w:spacing w:after="0" w:line="225" w:lineRule="exact"/>
        <w:rPr>
          <w:sz w:val="20"/>
          <w:szCs w:val="20"/>
          <w:color w:val="auto"/>
        </w:rPr>
      </w:pPr>
    </w:p>
    <w:p>
      <w:pPr>
        <w:jc w:val="both"/>
        <w:ind w:firstLine="792"/>
        <w:spacing w:after="0" w:line="259" w:lineRule="auto"/>
        <w:rPr>
          <w:sz w:val="20"/>
          <w:szCs w:val="20"/>
          <w:color w:val="auto"/>
        </w:rPr>
      </w:pPr>
      <w:r>
        <w:rPr>
          <w:rFonts w:ascii="Arial" w:cs="Arial" w:eastAsia="Arial" w:hAnsi="Arial"/>
          <w:sz w:val="18"/>
          <w:szCs w:val="18"/>
          <w:color w:val="auto"/>
        </w:rPr>
        <w:t>As of July 17, 2015, we had 1,594,461 shares of common stock outstanding and approximately 300 stockholders of record. On the same date, two stockholders held all 500,000 outstanding restricted shares of our Series A Preferred Stock, which shares are convertible into 750,000 shares of common stock, and 59 stockholders held 3,136,352 outstanding shares of Series B 10% Convertible Preferred Stock, which shares are convertible into 3,136,652 shares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or declared any cash dividends on our common stock, and we do not anticipate paying any cash dividends on our common stock in the foreseeable future. Covenants in certain of our debt agreements prohibit us from paying dividends while the debt remains outstanding. Our Series B Preferred accrues dividends at a rate of 10% per annum, which dividends are payable solely in unregistered shares of our common stock at the time the Series B Preferred is converted into 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Transfer Agent for our Common Stock is ComputerShare. The transfer agent’s address is 480 Washington Boulevard, 29</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Floor, Jersey City, NJ</w:t>
      </w:r>
    </w:p>
    <w:p>
      <w:pPr>
        <w:spacing w:after="0"/>
        <w:rPr>
          <w:sz w:val="20"/>
          <w:szCs w:val="20"/>
          <w:color w:val="auto"/>
        </w:rPr>
      </w:pPr>
      <w:r>
        <w:rPr>
          <w:rFonts w:ascii="Arial" w:cs="Arial" w:eastAsia="Arial" w:hAnsi="Arial"/>
          <w:sz w:val="18"/>
          <w:szCs w:val="18"/>
          <w:color w:val="auto"/>
        </w:rPr>
        <w:t>07310.</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0" w:name="page81"/>
    <w:bookmarkEnd w:id="80"/>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This prospectus includes forward-looking statements. All statements contained in this prospectus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this prospectus.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prospectus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 clinical-stage biopharmaceutical company committed to developing and commercializing innovative product candidates for patients with depression, other diseases and various disorders related to the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as well as cancer.</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More than one billion people worldwide suffer from CNS disorders. Recently, the economic burden of these disorders was estimated at $2.0 trillion in the U.S. and European Union alone, a figure that is expected to triple by 2030. The World Health Organization estimates that 350 million people worldwide are affected by depression. According to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major depression is one of the most common mental disorders in the U.S.. In 2012, the NIH estimated 16 million adults aged 18 or older in the U.S. had at least one major depressive episode. This represented 6.9 percent of all U.S. adults.</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lead product candidate, AV-101, is an orally available small molecule prodrug in Phase 2 clinical development for Major Depressive Disorder (“</w:t>
      </w:r>
      <w:r>
        <w:rPr>
          <w:rFonts w:ascii="Arial" w:cs="Arial" w:eastAsia="Arial" w:hAnsi="Arial"/>
          <w:sz w:val="17"/>
          <w:szCs w:val="17"/>
          <w:i w:val="1"/>
          <w:iCs w:val="1"/>
          <w:color w:val="auto"/>
        </w:rPr>
        <w:t>MDD</w:t>
      </w:r>
      <w:r>
        <w:rPr>
          <w:rFonts w:ascii="Arial" w:cs="Arial" w:eastAsia="Arial" w:hAnsi="Arial"/>
          <w:sz w:val="17"/>
          <w:szCs w:val="17"/>
          <w:color w:val="auto"/>
        </w:rPr>
        <w:t>”). AV-101’s mechanism of action (“</w:t>
      </w:r>
      <w:r>
        <w:rPr>
          <w:rFonts w:ascii="Arial" w:cs="Arial" w:eastAsia="Arial" w:hAnsi="Arial"/>
          <w:sz w:val="17"/>
          <w:szCs w:val="17"/>
          <w:i w:val="1"/>
          <w:iCs w:val="1"/>
          <w:color w:val="auto"/>
        </w:rPr>
        <w:t>MOA</w:t>
      </w:r>
      <w:r>
        <w:rPr>
          <w:rFonts w:ascii="Arial" w:cs="Arial" w:eastAsia="Arial" w:hAnsi="Arial"/>
          <w:sz w:val="17"/>
          <w:szCs w:val="17"/>
          <w:color w:val="auto"/>
        </w:rPr>
        <w:t>”), as an N-methyl-D-aspartate receptor (“</w:t>
      </w:r>
      <w:r>
        <w:rPr>
          <w:rFonts w:ascii="Arial" w:cs="Arial" w:eastAsia="Arial" w:hAnsi="Arial"/>
          <w:sz w:val="17"/>
          <w:szCs w:val="17"/>
          <w:i w:val="1"/>
          <w:iCs w:val="1"/>
          <w:color w:val="auto"/>
        </w:rPr>
        <w:t>NMDAR</w:t>
      </w:r>
      <w:r>
        <w:rPr>
          <w:rFonts w:ascii="Arial" w:cs="Arial" w:eastAsia="Arial" w:hAnsi="Arial"/>
          <w:sz w:val="17"/>
          <w:szCs w:val="17"/>
          <w:color w:val="auto"/>
        </w:rPr>
        <w:t>”) antagonist binding selectively at the glycine-binding (“</w:t>
      </w:r>
      <w:r>
        <w:rPr>
          <w:rFonts w:ascii="Arial" w:cs="Arial" w:eastAsia="Arial" w:hAnsi="Arial"/>
          <w:sz w:val="17"/>
          <w:szCs w:val="17"/>
          <w:i w:val="1"/>
          <w:iCs w:val="1"/>
          <w:color w:val="auto"/>
        </w:rPr>
        <w:t>GlyB</w:t>
      </w:r>
      <w:r>
        <w:rPr>
          <w:rFonts w:ascii="Arial" w:cs="Arial" w:eastAsia="Arial" w:hAnsi="Arial"/>
          <w:sz w:val="17"/>
          <w:szCs w:val="17"/>
          <w:color w:val="auto"/>
        </w:rPr>
        <w:t>”) co-agonist site of the NMDAR, is fundamentally different from all antidepressants by the U.S. Food and Drug Administration (“</w:t>
      </w:r>
      <w:r>
        <w:rPr>
          <w:rFonts w:ascii="Arial" w:cs="Arial" w:eastAsia="Arial" w:hAnsi="Arial"/>
          <w:sz w:val="17"/>
          <w:szCs w:val="17"/>
          <w:i w:val="1"/>
          <w:iCs w:val="1"/>
          <w:color w:val="auto"/>
        </w:rPr>
        <w:t>FDA</w:t>
      </w:r>
      <w:r>
        <w:rPr>
          <w:rFonts w:ascii="Arial" w:cs="Arial" w:eastAsia="Arial" w:hAnsi="Arial"/>
          <w:sz w:val="17"/>
          <w:szCs w:val="17"/>
          <w:color w:val="auto"/>
        </w:rPr>
        <w:t>”). In four preclinical studies utilizing well-validated animal models of depression, AV-101 was shown to induce fast-acting, dose-dependent, persistent and statistically significant antidepressant-like responses, following a single treatment, which was equivalent to responses seen with a control single sub-anesthetic dose of ketamine (sometimes used by clinicians off-label to treat suicidal behavior). In the same studies, fluoxetine (Prozac)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1" w:name="page82"/>
    <w:bookmarkEnd w:id="81"/>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two successful randomized, double-blind, placebo-controlled Phase 1 safety studies funded by the NIH, in February 2015, we entered into a Cooperative Research and Development Agreement (“</w:t>
      </w:r>
      <w:r>
        <w:rPr>
          <w:rFonts w:ascii="Arial" w:cs="Arial" w:eastAsia="Arial" w:hAnsi="Arial"/>
          <w:sz w:val="18"/>
          <w:szCs w:val="18"/>
          <w:i w:val="1"/>
          <w:iCs w:val="1"/>
          <w:color w:val="auto"/>
        </w:rPr>
        <w:t>CRADA</w:t>
      </w:r>
      <w:r>
        <w:rPr>
          <w:rFonts w:ascii="Arial" w:cs="Arial" w:eastAsia="Arial" w:hAnsi="Arial"/>
          <w:sz w:val="18"/>
          <w:szCs w:val="18"/>
          <w:color w:val="auto"/>
        </w:rPr>
        <w:t>”) with the U.S. National Institute of Mental Health (“</w:t>
      </w:r>
      <w:r>
        <w:rPr>
          <w:rFonts w:ascii="Arial" w:cs="Arial" w:eastAsia="Arial" w:hAnsi="Arial"/>
          <w:sz w:val="18"/>
          <w:szCs w:val="18"/>
          <w:i w:val="1"/>
          <w:iCs w:val="1"/>
          <w:color w:val="auto"/>
        </w:rPr>
        <w:t>NIMH</w:t>
      </w:r>
      <w:r>
        <w:rPr>
          <w:rFonts w:ascii="Arial" w:cs="Arial" w:eastAsia="Arial" w:hAnsi="Arial"/>
          <w:sz w:val="18"/>
          <w:szCs w:val="18"/>
          <w:color w:val="auto"/>
        </w:rPr>
        <w:t>”), part of the NIH. Under the CRADA, we will collaborate with the NIMH on the initial Phase 2 clinical study of AV-101 in subjects with treatment-resistant MDD. Pursuant to the CRADA, the study will be conducted at the NIMH and be fully funded by the NIMH. It is contemplated that this clinical study will begin in Fall 2015 under the direction of Dr. Carlos Zarate, Jr., the NIMH’s Chief of Experimental Therapeutics &amp; Pathophysiology Branch and of the Section on Neurobiology and Treatment of Mood and Anxiety Disorders.</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to developing AV-101 for MDD and other CNS indications, we apply our stem cell technology for drug rescue programs intended to identify and develop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for our internal drug candidate pipeline. Drug rescue involves (1) using our customized </w:t>
      </w:r>
      <w:r>
        <w:rPr>
          <w:rFonts w:ascii="Arial" w:cs="Arial" w:eastAsia="Arial" w:hAnsi="Arial"/>
          <w:sz w:val="16"/>
          <w:szCs w:val="16"/>
          <w:i w:val="1"/>
          <w:iCs w:val="1"/>
          <w:color w:val="auto"/>
        </w:rPr>
        <w:t xml:space="preserve">invitro </w:t>
      </w:r>
      <w:r>
        <w:rPr>
          <w:rFonts w:ascii="Arial" w:cs="Arial" w:eastAsia="Arial" w:hAnsi="Arial"/>
          <w:sz w:val="16"/>
          <w:szCs w:val="16"/>
          <w:color w:val="auto"/>
        </w:rPr>
        <w:t>bioassay systems to predict potential heart and liver toxicity of NCEs, (2) leveraging prior investments by pharmaceutical companies and others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related to screening large-scale compound libraries, optimizing and testing for efficacy NCEs that were terminated before FDA approval due to heart or liver toxicity and are now available in the public domain, and (3) applying modern medicinal chemistry to produce safer NCEs for our internal development pipeline. Our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bioassay system uses our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xml:space="preserve">”)-derived cardiomyocytes, or human heart cells. We believe </w:t>
      </w:r>
      <w:r>
        <w:rPr>
          <w:rFonts w:ascii="Arial" w:cs="Arial" w:eastAsia="Arial" w:hAnsi="Arial"/>
          <w:sz w:val="16"/>
          <w:szCs w:val="16"/>
          <w:i w:val="1"/>
          <w:iCs w:val="1"/>
          <w:color w:val="auto"/>
        </w:rPr>
        <w:t xml:space="preserve">CardioSafe </w:t>
      </w:r>
      <w:r>
        <w:rPr>
          <w:rFonts w:ascii="Arial" w:cs="Arial" w:eastAsia="Arial" w:hAnsi="Arial"/>
          <w:sz w:val="16"/>
          <w:szCs w:val="16"/>
          <w:color w:val="auto"/>
        </w:rPr>
        <w:t>3D is more comprehensive and clinically predictive than the hERG assay, which is currently the only</w:t>
      </w:r>
      <w:r>
        <w:rPr>
          <w:rFonts w:ascii="Arial" w:cs="Arial" w:eastAsia="Arial" w:hAnsi="Arial"/>
          <w:sz w:val="16"/>
          <w:szCs w:val="16"/>
          <w:i w:val="1"/>
          <w:iCs w:val="1"/>
          <w:color w:val="auto"/>
        </w:rPr>
        <w:t xml:space="preserve"> in vitro </w:t>
      </w:r>
      <w:r>
        <w:rPr>
          <w:rFonts w:ascii="Arial" w:cs="Arial" w:eastAsia="Arial" w:hAnsi="Arial"/>
          <w:sz w:val="16"/>
          <w:szCs w:val="16"/>
          <w:color w:val="auto"/>
        </w:rPr>
        <w:t>cardiac safety assay required by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FDA guidelines. We use our hPSC-derived hepatocytes, or human liver cells, in our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bioassay system to predict potential liver toxicity of NCEs, including potential drug metabolism issues and adverse drug-drug interactions.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and </w:t>
      </w:r>
      <w:r>
        <w:rPr>
          <w:rFonts w:ascii="Arial" w:cs="Arial" w:eastAsia="Arial" w:hAnsi="Arial"/>
          <w:sz w:val="16"/>
          <w:szCs w:val="16"/>
          <w:i w:val="1"/>
          <w:iCs w:val="1"/>
          <w:color w:val="auto"/>
        </w:rPr>
        <w:t>LiverSafe</w:t>
      </w:r>
      <w:r>
        <w:rPr>
          <w:rFonts w:ascii="Arial" w:cs="Arial" w:eastAsia="Arial" w:hAnsi="Arial"/>
          <w:sz w:val="16"/>
          <w:szCs w:val="16"/>
          <w:color w:val="auto"/>
        </w:rPr>
        <w:t xml:space="preserve"> 3D offer a new paradigm for evaluating and predicting potential heart and liver toxicity of NCEs, including drug rescue NCEs, early in the development process, long before costly, high risk animal studies and human clinical trials. We intend to develop internally for our pipeline each lead drug rescue NCEs we produce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Merger</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VistaGen Therapeutics, Inc., a California corporation incorporated on May 26, 1998 (“</w:t>
      </w:r>
      <w:r>
        <w:rPr>
          <w:rFonts w:ascii="Arial" w:cs="Arial" w:eastAsia="Arial" w:hAnsi="Arial"/>
          <w:sz w:val="18"/>
          <w:szCs w:val="18"/>
          <w:i w:val="1"/>
          <w:iCs w:val="1"/>
          <w:color w:val="auto"/>
        </w:rPr>
        <w:t>VistaGen California”</w:t>
      </w:r>
      <w:r>
        <w:rPr>
          <w:rFonts w:ascii="Arial" w:cs="Arial" w:eastAsia="Arial" w:hAnsi="Arial"/>
          <w:sz w:val="18"/>
          <w:szCs w:val="18"/>
          <w:color w:val="auto"/>
        </w:rPr>
        <w:t>), is our wholly-owned subsidiary. Excaliber Enterprises, Ltd. (</w:t>
      </w:r>
      <w:r>
        <w:rPr>
          <w:rFonts w:ascii="Arial" w:cs="Arial" w:eastAsia="Arial" w:hAnsi="Arial"/>
          <w:sz w:val="18"/>
          <w:szCs w:val="18"/>
          <w:i w:val="1"/>
          <w:iCs w:val="1"/>
          <w:color w:val="auto"/>
        </w:rPr>
        <w:t>“Excaliber”</w:t>
      </w:r>
      <w:r>
        <w:rPr>
          <w:rFonts w:ascii="Arial" w:cs="Arial" w:eastAsia="Arial" w:hAnsi="Arial"/>
          <w:sz w:val="18"/>
          <w:szCs w:val="18"/>
          <w:color w:val="auto"/>
        </w:rPr>
        <w:t>), a publicly-held company (formerly OTCBB: EXCA) was incorporated under the laws of the State of Nevada on October 6, 2005. Pursuant to a strategic merger transaction on May 11, 2011, Excaliber acquired all outstanding shares of VistaGen California in exchange for 341,823 shares of our common stock and assumed all of VistaGen California’s pre-Merger obligations (the “</w:t>
      </w:r>
      <w:r>
        <w:rPr>
          <w:rFonts w:ascii="Arial" w:cs="Arial" w:eastAsia="Arial" w:hAnsi="Arial"/>
          <w:sz w:val="18"/>
          <w:szCs w:val="18"/>
          <w:i w:val="1"/>
          <w:iCs w:val="1"/>
          <w:color w:val="auto"/>
        </w:rPr>
        <w:t>Merger”</w:t>
      </w:r>
      <w:r>
        <w:rPr>
          <w:rFonts w:ascii="Arial" w:cs="Arial" w:eastAsia="Arial" w:hAnsi="Arial"/>
          <w:sz w:val="18"/>
          <w:szCs w:val="18"/>
          <w:color w:val="auto"/>
        </w:rPr>
        <w:t>). Shortly after the Merger, Excaliber’s name was changed to “VistaGen Therapeutics, Inc.” (a Nevada corporation).</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VistaGen California,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we recorded no goodwill or other intangible assets. A total of 78,450 shares of our common stock, representing the shares held by stockholders of Excaliber immediately prior to the Merger and effected for a post-Merger two-for-one (2:1) stock split, have been reflected as outstanding for all periods presented in the Consolidated Financial Statements of the Company included elsewhere in this prospectus. Additionally, the Consolidated Balance Sheets reflect the $0.001 par value of Excaliber’s common stock.</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Consolidated Financial Statements included elsewhere in this prospectus represent the activity of VistaGen California from May 26, 1998, and the consolidated activity of VistaGen California and Excaliber (now VistaGen Therapeutics, Inc., a Nevada corporation), from May 11, 2011 (the date of the Merger). The Consolidated Financial Statements also include the accounts of VistaGen California’s two inactive wholly-owned subsidiaries, Artemis Neuroscience, Inc., a Maryland corporation (</w:t>
      </w:r>
      <w:r>
        <w:rPr>
          <w:rFonts w:ascii="Arial" w:cs="Arial" w:eastAsia="Arial" w:hAnsi="Arial"/>
          <w:sz w:val="18"/>
          <w:szCs w:val="18"/>
          <w:i w:val="1"/>
          <w:iCs w:val="1"/>
          <w:color w:val="auto"/>
        </w:rPr>
        <w:t>Artemis</w:t>
      </w:r>
      <w:r>
        <w:rPr>
          <w:rFonts w:ascii="Arial" w:cs="Arial" w:eastAsia="Arial" w:hAnsi="Arial"/>
          <w:sz w:val="18"/>
          <w:szCs w:val="18"/>
          <w:color w:val="auto"/>
        </w:rPr>
        <w:t>), and VistaStem Canada, Inc., a corporation organized under the laws of Ontario, Canada (“</w:t>
      </w:r>
      <w:r>
        <w:rPr>
          <w:rFonts w:ascii="Arial" w:cs="Arial" w:eastAsia="Arial" w:hAnsi="Arial"/>
          <w:sz w:val="18"/>
          <w:szCs w:val="18"/>
          <w:i w:val="1"/>
          <w:iCs w:val="1"/>
          <w:color w:val="auto"/>
        </w:rPr>
        <w:t>VistaStem</w:t>
      </w:r>
      <w:r>
        <w:rPr>
          <w:rFonts w:ascii="Arial" w:cs="Arial" w:eastAsia="Arial" w:hAnsi="Arial"/>
          <w:sz w:val="18"/>
          <w:szCs w:val="18"/>
          <w:color w:val="auto"/>
        </w:rPr>
        <w:t xml:space="preserve"> </w:t>
      </w:r>
      <w:r>
        <w:rPr>
          <w:rFonts w:ascii="Arial" w:cs="Arial" w:eastAsia="Arial" w:hAnsi="Arial"/>
          <w:sz w:val="18"/>
          <w:szCs w:val="18"/>
          <w:i w:val="1"/>
          <w:iCs w:val="1"/>
          <w:color w:val="auto"/>
        </w:rPr>
        <w:t>Canada”</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not yet achieved revenue-generating status from any of our potential products. Since inception, we have devoted substantially all of our time and efforts to development of AV-101 through its Phase 1 clinical trials and to hPSC research and bioassay development, small molecule drug development, and creating, protecting and patenting intellectual property in support of our drug rescue model, with the corollary initiatives of recruiting personnel and raising working capital. As of March 31, 2015, we had an accumulated deficit of approximately $84.5 million. Our net loss for the years ended March 31, 2015 and 2014 was $13.9 million and $3.0 million, respectively. We expect such losses to continue for the foreseeable future as we engage in Phase 2 clinical trials of AV-101 and its further development and expand our drug rescue activities and the capabilities of our stem cell technology.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Fiscal Year 2015</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Throughout our fiscal years ended March 31, 2015 and 2014, with very limited resources, our scientific personnel have successfully continued to expand the drug rescue capabilities of our novel, customized bioassay systems,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and </w:t>
      </w:r>
      <w:r>
        <w:rPr>
          <w:rFonts w:ascii="Arial" w:cs="Arial" w:eastAsia="Arial" w:hAnsi="Arial"/>
          <w:sz w:val="17"/>
          <w:szCs w:val="17"/>
          <w:i w:val="1"/>
          <w:iCs w:val="1"/>
          <w:color w:val="auto"/>
        </w:rPr>
        <w:t>LiverSafe</w:t>
      </w:r>
      <w:r>
        <w:rPr>
          <w:rFonts w:ascii="Arial" w:cs="Arial" w:eastAsia="Arial" w:hAnsi="Arial"/>
          <w:sz w:val="17"/>
          <w:szCs w:val="17"/>
          <w:color w:val="auto"/>
        </w:rPr>
        <w:t xml:space="preserve"> 3D™, and advance our internal review and assessment in </w:t>
      </w:r>
      <w:r>
        <w:rPr>
          <w:rFonts w:ascii="Arial" w:cs="Arial" w:eastAsia="Arial" w:hAnsi="Arial"/>
          <w:sz w:val="17"/>
          <w:szCs w:val="17"/>
          <w:i w:val="1"/>
          <w:iCs w:val="1"/>
          <w:color w:val="auto"/>
        </w:rPr>
        <w:t>CardioSafe</w:t>
      </w:r>
      <w:r>
        <w:rPr>
          <w:rFonts w:ascii="Arial" w:cs="Arial" w:eastAsia="Arial" w:hAnsi="Arial"/>
          <w:sz w:val="17"/>
          <w:szCs w:val="17"/>
          <w:color w:val="auto"/>
        </w:rPr>
        <w:t xml:space="preserve"> 3D of multiple prospective drug rescue opportunities. Additionally, as indicated previously, we have entered into a CRADA with the NIH providing for an NIH-sponsored Phase 2 clinical study of AV-101 in Major Depressive Disorder beginning in 2015.</w:t>
      </w:r>
    </w:p>
    <w:p>
      <w:pPr>
        <w:spacing w:after="0" w:line="19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Throughout both fiscal 2015 and 2014, our executive management has been significantly focused on providing sufficient operating capital to continue to advance our AV-101 initiatives, and drug development and research objectives while meeting our continuing operational needs.</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meet our working capital needs during fiscal 2015, between late-March 2014 and March 31, 2015, we entered into securities purchase agreements with accredited investors pursuant to which we sold units to such accredited investors, in private placement transactions, for aggregate cash proceeds of $3,113,500, consisting of (i) convertible promissory notes in the aggregate face amount of $3,113,500 which matured between March 31, 2015 and April 30, 2015, or were automatically convertible into securities we might issue upon the consummation of a Qualified Financing, as defined therein, (ii) an aggregate of 282,850 restricted shares of our common stock; and (iii) warrants exercisable through December 31, 2016 to purchase an aggregate of 282,850 restricted shares of our common stock at an exercise price of $10.00 per share. Through May 2015, we sold an additional $280,000 of such units to accredited investors in private placement transactions. Between May 26, 2015 and the date of the filing of the registration statement, of which this prospectus forms a part, we received gross process of $1,112,500 from the sale of shares of our Series B Preferred and Warrants, as more fully described under “</w:t>
      </w:r>
      <w:r>
        <w:rPr>
          <w:rFonts w:ascii="Arial" w:cs="Arial" w:eastAsia="Arial" w:hAnsi="Arial"/>
          <w:sz w:val="17"/>
          <w:szCs w:val="17"/>
          <w:i w:val="1"/>
          <w:iCs w:val="1"/>
          <w:color w:val="auto"/>
        </w:rPr>
        <w:t>Description of Securities</w:t>
      </w:r>
      <w:r>
        <w:rPr>
          <w:rFonts w:ascii="Arial" w:cs="Arial" w:eastAsia="Arial" w:hAnsi="Arial"/>
          <w:sz w:val="17"/>
          <w:szCs w:val="17"/>
          <w:color w:val="auto"/>
        </w:rPr>
        <w:t xml:space="preserve"> </w:t>
      </w:r>
      <w:r>
        <w:rPr>
          <w:rFonts w:ascii="Arial" w:cs="Arial" w:eastAsia="Arial" w:hAnsi="Arial"/>
          <w:sz w:val="17"/>
          <w:szCs w:val="17"/>
          <w:i w:val="1"/>
          <w:iCs w:val="1"/>
          <w:color w:val="auto"/>
        </w:rPr>
        <w:t>to be Registered</w:t>
      </w:r>
      <w:r>
        <w:rPr>
          <w:rFonts w:ascii="Arial" w:cs="Arial" w:eastAsia="Arial" w:hAnsi="Arial"/>
          <w:sz w:val="17"/>
          <w:szCs w:val="17"/>
          <w:color w:val="auto"/>
        </w:rPr>
        <w:t>” on page 105 of this prospectus.</w:t>
      </w:r>
    </w:p>
    <w:p>
      <w:pPr>
        <w:spacing w:after="0" w:line="20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Given our working capital constraints during fiscal 2015 and the latter portion of fiscal 2014, we attempted to minimize cash commitments and expenditures for both internal and external research and development and general and administrative services to the greatest extent possible. As a consequence, during our fiscal year ended March 31, 2015, Shawn Singh, our CEO, voluntarily elected to receive cash compensation equal to only 24% of his contractual salary. In addition, during fiscal 2015, each of Ralph Snodgrass, PhD, our President and CSO, and Jerrold Dotson, our CFO, voluntarily elected to receive only 52% and 62% of his contractual salary, respectively. Such unpaid compensation has been accrued for accounting purposes, but remains unpaid at the date of this prospectus.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results of our operations for the fiscal years ended March 31, 2015 and 2014 (amounts in $000):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2,433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20" w:type="dxa"/>
            <w:vAlign w:val="bottom"/>
            <w:shd w:val="clear" w:color="auto" w:fill="CCEEFF"/>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6,777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Other expenses, net:</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Change in warrant liabilities</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Income taxes</w:t>
            </w:r>
          </w:p>
        </w:tc>
        <w:tc>
          <w:tcPr>
            <w:tcW w:w="3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(13,886)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reported no revenue for the fiscal years ended March 31, 2015 or 2014. We have successfully completed our Phase 1 clinical development of AV-101, our orally available, new generation prodrug candidate in clinical development for the treatment of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with additional potential as a new therapy for neuropathic pain, epilepsy, Parkinson’s disease and Huntington’s disease. Additionally, as indicated previously, we have entered into a CRADA with the NIH providing for an NIH-sponsored Phase 2 clinical study of AV-101 in Major Depressive Disorder beginning in 2015. We presently have no revenue generating arrangements.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3" w:name="page84"/>
    <w:bookmarkEnd w:id="83"/>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Research and development expense represented approximately 36% and 49% of our operating expenses for the fiscal years ended March 31, 2015 and 2014, respectively. Research and development costs are expensed as incurred. Research and development expense consists of both internal and external expenses incurred in drug development activities, costs associated with the development of AV-101, sponsored stem cell research and costs related to the licensing, application and prosecution of our intellectual property. These expenses primarily consist of the following:</w:t>
      </w:r>
    </w:p>
    <w:p>
      <w:pPr>
        <w:spacing w:after="0" w:line="171" w:lineRule="exact"/>
        <w:rPr>
          <w:sz w:val="20"/>
          <w:szCs w:val="20"/>
          <w:color w:val="auto"/>
        </w:rPr>
      </w:pPr>
    </w:p>
    <w:p>
      <w:pPr>
        <w:ind w:left="920" w:hanging="259"/>
        <w:spacing w:after="0" w:line="277"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salaries and benefits, including stock-based compensation costs, travel and related expense for personnel associated with internal research and development activities;</w:t>
      </w:r>
    </w:p>
    <w:p>
      <w:pPr>
        <w:spacing w:after="0" w:line="170" w:lineRule="exact"/>
        <w:rPr>
          <w:rFonts w:ascii="Arial" w:cs="Arial" w:eastAsia="Arial" w:hAnsi="Arial"/>
          <w:sz w:val="18"/>
          <w:szCs w:val="18"/>
          <w:color w:val="auto"/>
        </w:rPr>
      </w:pPr>
    </w:p>
    <w:p>
      <w:pPr>
        <w:ind w:left="920" w:hanging="259"/>
        <w:spacing w:after="0" w:line="277"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to contract research organizations and other professional service providers for services related to the conduct and analysis of clinical trials and other drug development activities;</w:t>
      </w:r>
    </w:p>
    <w:p>
      <w:pPr>
        <w:spacing w:after="0" w:line="170" w:lineRule="exact"/>
        <w:rPr>
          <w:rFonts w:ascii="Arial" w:cs="Arial" w:eastAsia="Arial" w:hAnsi="Arial"/>
          <w:sz w:val="18"/>
          <w:szCs w:val="18"/>
          <w:color w:val="auto"/>
        </w:rPr>
      </w:pPr>
    </w:p>
    <w:p>
      <w:pPr>
        <w:ind w:left="920" w:hanging="259"/>
        <w:spacing w:after="0" w:line="277" w:lineRule="auto"/>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fees to third parties for access to licensed technology and costs associated with securing and maintaining patents related to our internally generated inventions:</w:t>
      </w:r>
    </w:p>
    <w:p>
      <w:pPr>
        <w:spacing w:after="0" w:line="170" w:lineRule="exact"/>
        <w:rPr>
          <w:rFonts w:ascii="Arial" w:cs="Arial" w:eastAsia="Arial" w:hAnsi="Arial"/>
          <w:sz w:val="18"/>
          <w:szCs w:val="18"/>
          <w:color w:val="auto"/>
        </w:rPr>
      </w:pPr>
    </w:p>
    <w:p>
      <w:pPr>
        <w:ind w:left="920" w:hanging="259"/>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laboratory supplies and materials;</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leasing and depreciation of laboratory equipment; and</w:t>
      </w:r>
    </w:p>
    <w:p>
      <w:pPr>
        <w:spacing w:after="0" w:line="225" w:lineRule="exact"/>
        <w:rPr>
          <w:rFonts w:ascii="Arial" w:cs="Arial" w:eastAsia="Arial" w:hAnsi="Arial"/>
          <w:sz w:val="18"/>
          <w:szCs w:val="18"/>
          <w:color w:val="auto"/>
        </w:rPr>
      </w:pPr>
    </w:p>
    <w:p>
      <w:pPr>
        <w:ind w:left="920" w:hanging="259"/>
        <w:spacing w:after="0"/>
        <w:tabs>
          <w:tab w:leader="none" w:pos="9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allocated costs of facilities and infrastructure.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General and administrative expense consists primarily of salaries and benefits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 Net</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both fiscal 2015 and 2014, we incurred interest expense, including significant amounts of non-cash discount amortization attributable to certain notes, on the outstanding balances of our Senior Secured Convertible Promissory Notes issued to Platinum between October 2012 and July 2013, on subordinated convertible promissory notes issued between March 2013 and March 2015 as components of our Unit Private Placements and on unsecured promissory notes issued to various contract research organizations, technology licensors and other professional service providers since fiscal 2011. In fiscal 2015 and 2014, we recorded non-cash expense and income, respectively, related to changes in the fair values of the warrants issued or issuable to Platinum in connection with the various Senior Secured Convertible Promissory Notes we issued to Platinum between October 2012 and July 2013. In fiscal 2015, we incurred non-cash losses on extinguishment of debt resulting from settlements or modifications of indebtedness to Platinum, to various holders of promissory notes issued in connection with our 2013 Unit Private Placement and scheduled to mature on July 30, 2014, and to a technology licensor and a professional service provider. Additionally, in fiscal 2015 we incurred non-cash expense related to the settlement of a note receivable we accepted in fiscal 2012.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consider certain accounting policies related to revenue recognition, impairment of long-lived assets, research and development, stock-based compensation, warrant liability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8"/>
          <w:szCs w:val="18"/>
          <w:i w:val="1"/>
          <w:iCs w:val="1"/>
          <w:color w:val="auto"/>
        </w:rPr>
        <w:t>GAAP</w:t>
      </w:r>
      <w:r>
        <w:rPr>
          <w:rFonts w:ascii="Arial" w:cs="Arial" w:eastAsia="Arial" w:hAnsi="Arial"/>
          <w:sz w:val="18"/>
          <w:szCs w:val="18"/>
          <w:color w:val="auto"/>
        </w:rPr>
        <w:t>) requires us to make estimates and assumptions that affect the amounts reported in the financial statements and accompanying notes to the consolidated financial statements. These estimates include useful lives for property and equipment and related depreciation calculations, and assumptions for valuing options, warrants and other stock-based compensation. Our actual results could differ from these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Although we do not currently have any such arrangements, we have historically generated revenue principally from collaborative research and development arrangements, technology access fees and government grants. We recognize revenue under the provisions of the SEC issued Staff Accounting Bulletin 104, Topic 13, </w:t>
      </w:r>
      <w:r>
        <w:rPr>
          <w:rFonts w:ascii="Arial" w:cs="Arial" w:eastAsia="Arial" w:hAnsi="Arial"/>
          <w:sz w:val="18"/>
          <w:szCs w:val="18"/>
          <w:i w:val="1"/>
          <w:iCs w:val="1"/>
          <w:color w:val="auto"/>
        </w:rPr>
        <w:t>Revenue Recognition Revised and Updated</w:t>
      </w:r>
      <w:r>
        <w:rPr>
          <w:rFonts w:ascii="Arial" w:cs="Arial" w:eastAsia="Arial" w:hAnsi="Arial"/>
          <w:sz w:val="18"/>
          <w:szCs w:val="18"/>
          <w:color w:val="auto"/>
        </w:rPr>
        <w:t xml:space="preserve"> (</w:t>
      </w:r>
      <w:r>
        <w:rPr>
          <w:rFonts w:ascii="Arial" w:cs="Arial" w:eastAsia="Arial" w:hAnsi="Arial"/>
          <w:sz w:val="18"/>
          <w:szCs w:val="18"/>
          <w:i w:val="1"/>
          <w:iCs w:val="1"/>
          <w:color w:val="auto"/>
        </w:rPr>
        <w:t>SAB 104</w:t>
      </w:r>
      <w:r>
        <w:rPr>
          <w:rFonts w:ascii="Arial" w:cs="Arial" w:eastAsia="Arial" w:hAnsi="Arial"/>
          <w:sz w:val="18"/>
          <w:szCs w:val="18"/>
          <w:color w:val="auto"/>
        </w:rPr>
        <w:t>) and Accounting Standards Codification (</w:t>
      </w:r>
      <w:r>
        <w:rPr>
          <w:rFonts w:ascii="Arial" w:cs="Arial" w:eastAsia="Arial" w:hAnsi="Arial"/>
          <w:sz w:val="18"/>
          <w:szCs w:val="18"/>
          <w:i w:val="1"/>
          <w:iCs w:val="1"/>
          <w:color w:val="auto"/>
        </w:rPr>
        <w:t>ASC</w:t>
      </w:r>
      <w:r>
        <w:rPr>
          <w:rFonts w:ascii="Arial" w:cs="Arial" w:eastAsia="Arial" w:hAnsi="Arial"/>
          <w:sz w:val="18"/>
          <w:szCs w:val="18"/>
          <w:color w:val="auto"/>
        </w:rPr>
        <w:t xml:space="preserve">) 605-25, </w:t>
      </w:r>
      <w:r>
        <w:rPr>
          <w:rFonts w:ascii="Arial" w:cs="Arial" w:eastAsia="Arial" w:hAnsi="Arial"/>
          <w:sz w:val="18"/>
          <w:szCs w:val="18"/>
          <w:i w:val="1"/>
          <w:iCs w:val="1"/>
          <w:color w:val="auto"/>
        </w:rPr>
        <w:t xml:space="preserve">Revenue Arrangements-Multiple Element Arrangements </w:t>
      </w:r>
      <w:r>
        <w:rPr>
          <w:rFonts w:ascii="Arial" w:cs="Arial" w:eastAsia="Arial" w:hAnsi="Arial"/>
          <w:sz w:val="18"/>
          <w:szCs w:val="18"/>
          <w:color w:val="auto"/>
        </w:rPr>
        <w:t>(</w:t>
      </w:r>
      <w:r>
        <w:rPr>
          <w:rFonts w:ascii="Arial" w:cs="Arial" w:eastAsia="Arial" w:hAnsi="Arial"/>
          <w:sz w:val="18"/>
          <w:szCs w:val="18"/>
          <w:i w:val="1"/>
          <w:iCs w:val="1"/>
          <w:color w:val="auto"/>
        </w:rPr>
        <w:t>ASC 605-25</w:t>
      </w:r>
      <w:r>
        <w:rPr>
          <w:rFonts w:ascii="Arial" w:cs="Arial" w:eastAsia="Arial" w:hAnsi="Arial"/>
          <w:sz w:val="18"/>
          <w:szCs w:val="18"/>
          <w:color w:val="auto"/>
        </w:rPr>
        <w:t>). Revenue for arrangements not having multiple deliverables, as outlined in ASC 605-25, is recognized once</w:t>
      </w:r>
      <w:r>
        <w:rPr>
          <w:rFonts w:ascii="Arial" w:cs="Arial" w:eastAsia="Arial" w:hAnsi="Arial"/>
          <w:sz w:val="18"/>
          <w:szCs w:val="18"/>
          <w:i w:val="1"/>
          <w:iCs w:val="1"/>
          <w:color w:val="auto"/>
        </w:rPr>
        <w:t xml:space="preserve"> </w:t>
      </w:r>
      <w:r>
        <w:rPr>
          <w:rFonts w:ascii="Arial" w:cs="Arial" w:eastAsia="Arial" w:hAnsi="Arial"/>
          <w:sz w:val="18"/>
          <w:szCs w:val="18"/>
          <w:color w:val="auto"/>
        </w:rPr>
        <w:t>costs are incurred and collectability is reasonably assured.</w:t>
      </w:r>
    </w:p>
    <w:p>
      <w:pPr>
        <w:sectPr>
          <w:pgSz w:w="11900" w:h="16838" w:orient="portrait"/>
          <w:cols w:equalWidth="0" w:num="1">
            <w:col w:w="11420"/>
          </w:cols>
          <w:pgMar w:left="240" w:top="130"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84" w:name="page85"/>
    <w:bookmarkEnd w:id="84"/>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w:t>
      </w:r>
      <w:r>
        <w:rPr>
          <w:rFonts w:ascii="Arial" w:cs="Arial" w:eastAsia="Arial" w:hAnsi="Arial"/>
          <w:sz w:val="18"/>
          <w:szCs w:val="18"/>
          <w:i w:val="1"/>
          <w:iCs w:val="1"/>
          <w:color w:val="auto"/>
        </w:rPr>
        <w:t>VSOE</w:t>
      </w:r>
      <w:r>
        <w:rPr>
          <w:rFonts w:ascii="Arial" w:cs="Arial" w:eastAsia="Arial" w:hAnsi="Arial"/>
          <w:sz w:val="18"/>
          <w:szCs w:val="18"/>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208" w:lineRule="exact"/>
        <w:rPr>
          <w:sz w:val="20"/>
          <w:szCs w:val="20"/>
          <w:color w:val="auto"/>
        </w:rPr>
      </w:pPr>
    </w:p>
    <w:p>
      <w:pPr>
        <w:jc w:val="both"/>
        <w:ind w:left="920" w:hanging="259"/>
        <w:spacing w:after="0" w:line="269" w:lineRule="auto"/>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09" w:lineRule="exact"/>
        <w:rPr>
          <w:rFonts w:ascii="Arial" w:cs="Arial" w:eastAsia="Arial" w:hAnsi="Arial"/>
          <w:sz w:val="17"/>
          <w:szCs w:val="17"/>
          <w:color w:val="auto"/>
        </w:rPr>
      </w:pPr>
    </w:p>
    <w:p>
      <w:pPr>
        <w:jc w:val="both"/>
        <w:ind w:left="920" w:hanging="259"/>
        <w:spacing w:after="0" w:line="279" w:lineRule="auto"/>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98" w:lineRule="exact"/>
        <w:rPr>
          <w:rFonts w:ascii="Arial" w:cs="Arial" w:eastAsia="Arial" w:hAnsi="Arial"/>
          <w:sz w:val="17"/>
          <w:szCs w:val="17"/>
          <w:color w:val="auto"/>
        </w:rPr>
      </w:pPr>
    </w:p>
    <w:p>
      <w:pPr>
        <w:ind w:left="920" w:hanging="259"/>
        <w:spacing w:after="0" w:line="27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ASC 360-10</w:t>
      </w:r>
      <w:r>
        <w:rPr>
          <w:rFonts w:ascii="Arial" w:cs="Arial" w:eastAsia="Arial" w:hAnsi="Arial"/>
          <w:sz w:val="18"/>
          <w:szCs w:val="18"/>
          <w:i w:val="1"/>
          <w:iCs w:val="1"/>
          <w:color w:val="auto"/>
        </w:rPr>
        <w:t>, Property, Plant &amp; Equipment -Overall</w:t>
      </w:r>
      <w:r>
        <w:rPr>
          <w:rFonts w:ascii="Arial" w:cs="Arial" w:eastAsia="Arial" w:hAnsi="Arial"/>
          <w:sz w:val="18"/>
          <w:szCs w:val="18"/>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Consolidated Statements of Operations and Comprehensive Loss.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5" w:name="page86"/>
    <w:bookmarkEnd w:id="85"/>
    <w:p>
      <w:pPr>
        <w:spacing w:after="0" w:line="59" w:lineRule="exact"/>
        <w:rPr>
          <w:sz w:val="20"/>
          <w:szCs w:val="20"/>
          <w:color w:val="auto"/>
        </w:rPr>
      </w:pPr>
    </w:p>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because of the limited period during which our stock has been publicly traded, is based on the historical daily trading data of the common stock of a peer group of public companies over the expected term of the option.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issued to Platinum Long Term Growth VII, LLC, our largest investor (“</w:t>
      </w:r>
      <w:r>
        <w:rPr>
          <w:rFonts w:ascii="Arial" w:cs="Arial" w:eastAsia="Arial" w:hAnsi="Arial"/>
          <w:sz w:val="17"/>
          <w:szCs w:val="17"/>
          <w:i w:val="1"/>
          <w:iCs w:val="1"/>
          <w:color w:val="auto"/>
        </w:rPr>
        <w:t>Platinum”</w:t>
      </w:r>
      <w:r>
        <w:rPr>
          <w:rFonts w:ascii="Arial" w:cs="Arial" w:eastAsia="Arial" w:hAnsi="Arial"/>
          <w:sz w:val="17"/>
          <w:szCs w:val="17"/>
          <w:color w:val="auto"/>
        </w:rPr>
        <w:t>), warrants to purchase a substantial number of unregistered shares of our common stock and, subject to Platinum’s exercise of its rights to exchange shares of our Series A Preferred Stock that it holds, we are obligated to issue to Platinum an additional warrant to purchase unregistered shares of common stock (collectively, the “</w:t>
      </w:r>
      <w:r>
        <w:rPr>
          <w:rFonts w:ascii="Arial" w:cs="Arial" w:eastAsia="Arial" w:hAnsi="Arial"/>
          <w:sz w:val="17"/>
          <w:szCs w:val="17"/>
          <w:i w:val="1"/>
          <w:iCs w:val="1"/>
          <w:color w:val="auto"/>
        </w:rPr>
        <w:t>Platinum Warrants”</w:t>
      </w:r>
      <w:r>
        <w:rPr>
          <w:rFonts w:ascii="Arial" w:cs="Arial" w:eastAsia="Arial" w:hAnsi="Arial"/>
          <w:sz w:val="17"/>
          <w:szCs w:val="17"/>
          <w:color w:val="auto"/>
        </w:rPr>
        <w:t>). The Platinum Warrants contain an exercise price adjustment feature that will reduce the exercise price of the warrants in the event we subsequently issue equity instruments at a price lower than the exercise price of the Platinum Warrants. We account for the Platinum Warrants as non-cash liabilities and estimate their fair value at the end of each financial reporting period and 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income or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Notwithstanding the foregoing, and as described in Note 16, </w:t>
      </w:r>
      <w:r>
        <w:rPr>
          <w:rFonts w:ascii="Arial" w:cs="Arial" w:eastAsia="Arial" w:hAnsi="Arial"/>
          <w:sz w:val="17"/>
          <w:szCs w:val="17"/>
          <w:i w:val="1"/>
          <w:iCs w:val="1"/>
          <w:color w:val="auto"/>
        </w:rPr>
        <w:t>Subsequent Events</w:t>
      </w:r>
      <w:r>
        <w:rPr>
          <w:rFonts w:ascii="Arial" w:cs="Arial" w:eastAsia="Arial" w:hAnsi="Arial"/>
          <w:sz w:val="17"/>
          <w:szCs w:val="17"/>
          <w:color w:val="auto"/>
        </w:rPr>
        <w:t>, to the Consolidated Financial Statements included in this prospectus, on May 12, 2015, we entered into an agreement with Platinum pursuant to which Platinum agreed to amend the Platinum Warrants to (A) fix the exercise price thereof at $7.00 per share, (B) eliminate the exercise price reset features and (C) fix the number of shares of our common stock issuable thereunder. This agreement and the related amendments to the Platinum Warrants will result in the elimination of the warrant liability with respect to the Platinum Warrants during the quarter ending June 30, 2015, which is the first quarter of our fiscal year ending March 31,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See Note 3 to the consolidated financial statements included in Item 8 in this prospectus for information on recent accounting pronouncements.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March 31, 2015 and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reported no revenue for the fiscal years ended March 31, 2015 or 2014. We have successfully completed our Phase 1 development of AV-101. Additionally, as indicated previously, we have entered into a CRADA with the NIH providing for an NIH-sponsored Phase 2 clinical study of AV-101 in Major Depressive Disorder beginning in the second half of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Research and development expense decreased by 2% in fiscal 2015 compared to fiscal 2014. The following table compares the primary components of research and development expense between the periods (in $000):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ind w:left="40"/>
              <w:spacing w:after="0"/>
              <w:rPr>
                <w:sz w:val="20"/>
                <w:szCs w:val="20"/>
                <w:color w:val="auto"/>
              </w:rPr>
            </w:pPr>
            <w:r>
              <w:rPr>
                <w:rFonts w:ascii="Arial" w:cs="Arial" w:eastAsia="Arial" w:hAnsi="Arial"/>
                <w:sz w:val="18"/>
                <w:szCs w:val="18"/>
                <w:color w:val="auto"/>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UHN research under SRCA</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Consulting services</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Technology licenses and royalties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Project-related third-party research and supplies: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AV-101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All other including CardioSafe and LiverSafe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420"/>
          </w:cols>
          <w:pgMar w:left="240" w:top="130" w:right="239" w:bottom="0" w:gutter="0" w:footer="0" w:header="0"/>
        </w:sectPr>
      </w:pPr>
    </w:p>
    <w:bookmarkStart w:id="86" w:name="page87"/>
    <w:bookmarkEnd w:id="86"/>
    <w:p>
      <w:pPr>
        <w:jc w:val="cente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5748655</wp:posOffset>
            </wp:positionH>
            <wp:positionV relativeFrom="page">
              <wp:posOffset>97790</wp:posOffset>
            </wp:positionV>
            <wp:extent cx="15862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86230" cy="8890"/>
                    </a:xfrm>
                    <a:prstGeom prst="rect">
                      <a:avLst/>
                    </a:prstGeom>
                    <a:noFill/>
                  </pic:spPr>
                </pic:pic>
              </a:graphicData>
            </a:graphic>
          </wp:anchor>
        </w:drawing>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To conserve cash resources, during fiscal 2015 and 2014, Ralph Snodgrass, PhD, our Chief Scientific Officer (</w:t>
      </w:r>
      <w:r>
        <w:rPr>
          <w:rFonts w:ascii="Arial" w:cs="Arial" w:eastAsia="Arial" w:hAnsi="Arial"/>
          <w:sz w:val="16"/>
          <w:szCs w:val="16"/>
          <w:i w:val="1"/>
          <w:iCs w:val="1"/>
          <w:color w:val="auto"/>
        </w:rPr>
        <w:t>CSO</w:t>
      </w:r>
      <w:r>
        <w:rPr>
          <w:rFonts w:ascii="Arial" w:cs="Arial" w:eastAsia="Arial" w:hAnsi="Arial"/>
          <w:sz w:val="16"/>
          <w:szCs w:val="16"/>
          <w:color w:val="auto"/>
        </w:rPr>
        <w:t>), has accepted a voluntary cash pay reduction to substantially less than his contractual pay rate. For fiscal 2015, the CSO’s actual cash pay represented approximately 52% of his contractual pay rate. In fiscal 2014, the CSO voluntarily agreed to accept a cash pay rate of approximately 82% of his contractual rate, not all of which amount was paid. In fiscal 2015, we have accrued the difference between the CSO’s contractual pay rate and his actual cash pay, $147,700, for future payment. In fiscal 2014, we accrued the difference between the CSO’s reduced pay rate and his actual cash pay, $100,400, for future payment. Such accrued amounts for both fiscal 2014 and fiscal 2015 remain unpaid. Pay rates for other scientific personnel remained constant between years. One member of our scientific staff voluntarily resigned at the end of September 2014 and another member has voluntarily reduced her work hours and pay since September 2014.</w:t>
      </w:r>
    </w:p>
    <w:p>
      <w:pPr>
        <w:spacing w:after="0" w:line="1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January 2015, we granted five-year fully vested warrants to purchase an aggregate of 115,000 restricted shares of our common stock at an exercise price of $8.00 per share to our CSO and other scientific consultants and service providers, recognizing approximately $528,000 in stock-based compensation expense. Stock based compensation expense for fiscal 2015 and fiscal 2014 also reflects approximately $176,000 and $297,000, respectively, related to the ratable four-year amortization of option grants made to scientific staff and consultants in October 2013 and March 2014 and earlier. The ratable amortization of stock compensation expense related to certain options granted in October 2012 with a two-year vesting period ceased when the options became fully-vested in October 2014. An additional component of stock compensation expense is the amortization attributable to grants of warrants made to our CSO in March 2014 and March 2013, amounting to $145,000 in fiscal 2015 and $156,000 in fiscal 2014. The warrants are being amortized over a two-year vesting period, but are subject to certain vesting acceleration events. No further expense will be recognized with respect to the warrants granted in March 2013.</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most recent sponsored research project budget under the collaboration agreement with Dr. Gordon Keller’s laboratory at UHN ended on September 30, 2013, and we have incurred no sponsored research expense under the agreement since that date. We are engaged in discussions with Dr. Keller and UHN regarding the scope of subsequent sponsored research projects and budget under the agreement, but have not yet finalized such project definitions and budgets.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Consulting services reflects fees paid or accrued for scientific services rendered to us by third-parties, primarily by members of our scientific advisory board.</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Stem cell technology license expense reflects both recurring annual fees as well as costs for patent prosecution and protection that we are required to fund under the terms of certain of our license agreements. We recognize the latter costs as they are invoiced to us by the licensors and they do not occur ratably throughout the year or between years. Certain of our technology licensors invoiced us for significant legal fees for patent protection and prosecution during fiscal 2014.</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AV-101 expenses in both fiscal years 2015 and 2014 primarily reflect the costs associated with monitoring for and responding to potential feedback related to the Phase 1 clinical trial and preparing other reports required under the terms of our prior NIH grant, primarily through our contract research collaborator, Cato Research Ltd.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increase in rent expense versus FY 2014 reflects the full-year impact of rental costs related to our relocation to our current facilities in late-July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 increased by 70% in fiscal 2015 compared to fiscal 2014. The following table compares the primary components of general and administrative expense between the periods (in $000):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ind w:left="40"/>
              <w:spacing w:after="0"/>
              <w:rPr>
                <w:sz w:val="20"/>
                <w:szCs w:val="20"/>
                <w:color w:val="auto"/>
              </w:rPr>
            </w:pPr>
            <w:r>
              <w:rPr>
                <w:rFonts w:ascii="Arial" w:cs="Arial" w:eastAsia="Arial" w:hAnsi="Arial"/>
                <w:sz w:val="18"/>
                <w:szCs w:val="18"/>
                <w:color w:val="auto"/>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Services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and entertainment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General and Administrative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4,344</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88" w:name="page89"/>
    <w:bookmarkEnd w:id="88"/>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To conserve cash resources, during fiscal 2015 and 2014, both Shawn Singh, our Chief Executive Officer (</w:t>
      </w:r>
      <w:r>
        <w:rPr>
          <w:rFonts w:ascii="Arial" w:cs="Arial" w:eastAsia="Arial" w:hAnsi="Arial"/>
          <w:sz w:val="16"/>
          <w:szCs w:val="16"/>
          <w:i w:val="1"/>
          <w:iCs w:val="1"/>
          <w:color w:val="auto"/>
        </w:rPr>
        <w:t>CEO</w:t>
      </w:r>
      <w:r>
        <w:rPr>
          <w:rFonts w:ascii="Arial" w:cs="Arial" w:eastAsia="Arial" w:hAnsi="Arial"/>
          <w:sz w:val="16"/>
          <w:szCs w:val="16"/>
          <w:color w:val="auto"/>
        </w:rPr>
        <w:t>), and Jerrold Dotson, our Chief Financial Officer (</w:t>
      </w:r>
      <w:r>
        <w:rPr>
          <w:rFonts w:ascii="Arial" w:cs="Arial" w:eastAsia="Arial" w:hAnsi="Arial"/>
          <w:sz w:val="16"/>
          <w:szCs w:val="16"/>
          <w:i w:val="1"/>
          <w:iCs w:val="1"/>
          <w:color w:val="auto"/>
        </w:rPr>
        <w:t>CFO</w:t>
      </w:r>
      <w:r>
        <w:rPr>
          <w:rFonts w:ascii="Arial" w:cs="Arial" w:eastAsia="Arial" w:hAnsi="Arial"/>
          <w:sz w:val="16"/>
          <w:szCs w:val="16"/>
          <w:color w:val="auto"/>
        </w:rPr>
        <w:t>), have accepted voluntary cash pay reductions to substantially less than their contractual pay rates. For fiscal 2015, the CEO’s and CFO’s actual cash pay represented approximately 24% and 62%, respectively, of contractual rates. In fiscal 2014, the CEO and CFO voluntarily agreed to accept cash pay rates of approximately 72% and 80%, respectively, of their contractual rates, not all of which amounts were paid. In fiscal 2015, we have accrued the difference between the CEO’s and CFO’s contractual pay rate and his actual cash pay, $264,700 and $96,100, respectively, for future payment. In fiscal 2014, we accrued the difference between the CEO’s and CFO’s reduced pay rates and his actual cash pay, $125,000 and $56,700, respectively, for future payment. Such accrued amounts for both fiscal 2014 and fiscal 2015 remain unpaid and owing. Offsetting the impact of the accrual to contractual pay rates for the CEO and CFO for fiscal 2015 is the annual impact of the voluntary resignations of two administrative employees in August and November 2013 who have not been replaced. Pay rates for other administrative employees remained stable between the periods presented.</w:t>
      </w:r>
    </w:p>
    <w:p>
      <w:pPr>
        <w:spacing w:after="0" w:line="19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January 2015, we granted five-year fully vested warrants to purchase an aggregate of 271,715 restricted shares of our common stock at an exercise price of $8.00 per share to our CEO and CFO, independent members of our Board of Directors and other consultants and service providers, recognizing approximately $1,229,000 in stock-based compensation expense. Stock based compensation expense for fiscal 2015 and fiscal 2014 also reflects approximately $99,000 and $385,000, respectively, related to the ratable four-year amortization of option grants made to employees and consultants in October 2013 and March 2014 and earlier. The ratable amortization of stock compensation expense related to certain options granted in October 2012 with a two-year vesting period ceased when the options became fully-vested in October 2014. An additional component of stock compensation expense is the amortization attributable to grants of warrants made to our CEO, CFO and independent members of our Board of Directors in March 2014 and March 2013, amounting to $283,000 in fiscal 2015 and $299,000 in fiscal 2014. The warrants are being amortized over a two-year vesting period, but are subject to certain vesting acceleration events. No further expense will be recognized with respect to the warrants granted in March 2013.</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Consulting services primarily reflects fees paid or accrued for the services of the independent members of our Board of Directors.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increase in legal, accounting and other professional fees results primarily from the impact of (i) two consulting agreements for strategic advisory and business development services pursuant to which we issued an aggregate of 55,000 restricted shares of our common stock valued at $469,000 at the date of issuance and paid $100,000 as cash compensation for such professional services during fiscal 2015; (ii) direct legal fees aggregating $150,000 related to services provided with respect to our prospective public offering of our equity securities and a proposed private offering of our equity securities; (iii) the expensing of approximately $102,000 of investment banker, banker’s counsel, accounting and other fees and costs related to the cancellation of our prospective public offering; (iv) legal and other costs related to the 1:20 reverse split of our common stock in August 2014 and legal and filing fees for our private placement Unit financing offerings; and (v) costs related to temporary employee fees for part-time administrative services.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Outsourced investor relations service expenses are essentially flat between periods; we have conducted no special awareness or other initiatives during either fiscal 2015 or 2014. Travel expenses related to meetings with potential investors in our attempted registered public offering account for the increase compared to fiscal 2014.</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fiscal 2015 increase in rent and utilities expense reflects the full-year impact of increased costs related to our relocation to expanded facilities in late-July 2013.</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Warrant modification expense in fiscal 2015 reflects the extension by one year of the term of outstanding warrants otherwise scheduled to expire during calendar 2015, as approved by our Board of Directors in January 2015. Warrant modification expense in fiscal 2014 reflects the impact of October 2013 and December 2013 reductions in the exercise price of certain outstanding warrants, generally from $35.00 per share or $30.00 per share, to $10.00 per share, and in limited cases, the extension of the term of certain outstanding warrants, and from which we used the proceeds of the warrant exercises as a source of short-term working capital.</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fiscal 2015 decrease in other expenses is attributable to one-time relocation costs incurred in fiscal 2014 in connection with our relocation to expanded facilities in late-July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Expenses, Net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both fiscal 2015 and 2014, other expenses, net includes interest expense, including non-cash discount amortization, on our outstanding promissory notes, as well as the non-cash impact of changes in the fair value of the warrant liabilities related to warrants issued or issuable to Platinum between October 2012 and July 2013. In fiscal 2015, other expenses, net also includes the non-cash loss on extinguishment of debt resulting from the modification of indebtedness to Platinum, holders of convertible promissory notes originally scheduled to mature on July 30, 2014, and to a technology licensor and a professional service provider. Additionally, in fiscal 2015 we incurred non-cash expense related to the settlement of a note receivable we accepted in fiscal 2012.</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84"/>
        </w:trPr>
        <w:tc>
          <w:tcPr>
            <w:tcW w:w="8820" w:type="dxa"/>
            <w:vAlign w:val="bottom"/>
            <w:gridSpan w:val="3"/>
          </w:tcPr>
          <w:p>
            <w:pPr>
              <w:spacing w:after="0"/>
              <w:rPr>
                <w:rFonts w:ascii="Arial" w:cs="Arial" w:eastAsia="Arial" w:hAnsi="Arial"/>
                <w:sz w:val="16"/>
                <w:szCs w:val="16"/>
                <w:i w:val="1"/>
                <w:iCs w:val="1"/>
                <w:color w:val="0000EE"/>
              </w:rPr>
            </w:pPr>
            <w:hyperlink w:anchor="page4">
              <w:r>
                <w:rPr>
                  <w:rFonts w:ascii="Arial" w:cs="Arial" w:eastAsia="Arial" w:hAnsi="Arial"/>
                  <w:sz w:val="16"/>
                  <w:szCs w:val="16"/>
                  <w:i w:val="1"/>
                  <w:iCs w:val="1"/>
                  <w:color w:val="0000EE"/>
                </w:rPr>
                <w:t>Table of Contents</w:t>
              </w:r>
            </w:hyperlink>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8800" w:type="dxa"/>
            <w:vAlign w:val="bottom"/>
            <w:gridSpan w:val="2"/>
          </w:tcPr>
          <w:p>
            <w:pPr>
              <w:ind w:left="640"/>
              <w:spacing w:after="0"/>
              <w:rPr>
                <w:sz w:val="20"/>
                <w:szCs w:val="20"/>
                <w:color w:val="auto"/>
              </w:rPr>
            </w:pPr>
            <w:r>
              <w:rPr>
                <w:rFonts w:ascii="Arial" w:cs="Arial" w:eastAsia="Arial" w:hAnsi="Arial"/>
                <w:sz w:val="18"/>
                <w:szCs w:val="18"/>
                <w:color w:val="auto"/>
                <w:w w:val="93"/>
              </w:rPr>
              <w:t>The following table compares the primary components of net interest expense between the periods (in $000):</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6"/>
          </w:tcPr>
          <w:p>
            <w:pPr>
              <w:jc w:val="right"/>
              <w:ind w:right="280"/>
              <w:spacing w:after="0"/>
              <w:rPr>
                <w:sz w:val="20"/>
                <w:szCs w:val="20"/>
                <w:color w:val="auto"/>
              </w:rPr>
            </w:pPr>
            <w:r>
              <w:rPr>
                <w:rFonts w:ascii="Arial" w:cs="Arial" w:eastAsia="Arial" w:hAnsi="Arial"/>
                <w:sz w:val="18"/>
                <w:szCs w:val="18"/>
                <w:color w:val="auto"/>
                <w:w w:val="90"/>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on promissory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Amortization of discount on promissory notes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interest expense, including on capital leases and premium financing</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76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4,617</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currency fluctuations on notes payable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4,549</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increase in interest expense between the periods is primarily attributable to the accrued interest recorded for the issuances between August 2013 and March 2015 of an aggregate of approximately $4.1 million of unsecured 10% convertible promissory notes pursuant to the 2013 Unit Private Placement and the 2014 Unit Private Placement. As a result of the significant inception-date discounts recorded in connection with the Unit Notes, approximately $2.7 million in fiscal 2015; the relatively short period between issuance and maturity over which the discount on the Unit Notes must be amortized, generally less than 12 months; and the accelerating amount of discount amortization recorded using the effective interest rate method as the notes approach maturity, discount amortization expense increased by approximately $2.7 million between the periods shown in the preceding table.</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Under the terms of the October 2012 Note Exchange and Purchase Agreement we entered with Platinum, we issued Senior Secured Convertible Promissory Notes and a related Exchange Warrant and Investment Warrants between October 2012 and March 2013. We issued a similar senior secured promissory note and related warrant to Platinum in July 2013. Upon Platinum’s exchange of the shares of our Series A preferred stock it holds into shares of our common stock, we will also be required to issue a Series A Exchange Warrant to Platinum. We determined that certain exercise price and share adjustment features contained in the various warrants require us to treat the warrants as liabilities. Accordingly, we recorded a non-cash warrant liability at its estimated fair value as of the date the warrant was issued or the contract executed. During fiscal 2015, we recognized a non-cash loss of $34,600 related to the net increase in the estimated fair value of these non-cash liabilities since March 31, 2014, which resulted primarily from the change in the market price of our common stock in relation to the exercise price of the warrants and an additional year elapsed in the remaining term for all but the Series A Exchange Warrant. During fiscal 2014, we recognized a non-cash gain of $3,556,900 related to the net decrease in the estimated fair value of the warrant liabilities since March 31, 2013, which resulted primarily from the decrease in the market price of our common stock in relation to the exercise price of the warrants.</w:t>
      </w:r>
    </w:p>
    <w:p>
      <w:pPr>
        <w:spacing w:after="0" w:line="16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As described more fully in Note 8,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xml:space="preserve">, and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in the Consolidated Financial Statements included in Item 8 of this prospectus, effective May 31, 2014, we entered into agreements with substantially all holders of our 2013 Unit Notes and 2013 Unit Warrants to amend certain terms of the notes and the warrants. We treated the amendments as an extinguishment of debt for accounting purposes. Accordingly, since the fair value of the amended notes and warrants exceeded the carrying amount of the original notes, we recognized non-cash losses on the extinguishment of debt in the aggregate amount of $526,200 attributable to the amendments. We recognized an additional $241,800 as a non-cash loss on extinguishment of debt as a result of the promissory note, shares of our common stock and warrants issued to Icahn School of Medicine at Mount Sinai in settlement of stem cell technology license maintenance fees and reimbursable patent prosecution costs, as described more completely in Note 9, </w:t>
      </w:r>
      <w:r>
        <w:rPr>
          <w:rFonts w:ascii="Arial" w:cs="Arial" w:eastAsia="Arial" w:hAnsi="Arial"/>
          <w:sz w:val="16"/>
          <w:szCs w:val="16"/>
          <w:i w:val="1"/>
          <w:iCs w:val="1"/>
          <w:color w:val="auto"/>
        </w:rPr>
        <w:t xml:space="preserve">Capital Stock, </w:t>
      </w:r>
      <w:r>
        <w:rPr>
          <w:rFonts w:ascii="Arial" w:cs="Arial" w:eastAsia="Arial" w:hAnsi="Arial"/>
          <w:sz w:val="16"/>
          <w:szCs w:val="16"/>
          <w:color w:val="auto"/>
        </w:rPr>
        <w:t>to the Consolidated Financial Statements included in Item 8 of this prospectus. We recognized a further $16,700 non-cash loss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extinguishment of debt as a result of the shares of our unregistered common stock issued to a professional services provider in settlement of fees for prior services rendered, as also described more completely in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to the Consolidated Financial Statements included in Item 8 of this prospectus.</w:t>
      </w:r>
    </w:p>
    <w:p>
      <w:pPr>
        <w:spacing w:after="0" w:line="19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As described more completely in Note 8,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 to the Consolidated Financial Statements included in this prospectus, in July 2014, we entered into an agreement with Platinum, as further amended in September 2014, pursuant to which Platinum agreed to convert into our unregistered equity securities all Senior Notes and accrued but unpaid interest thereon held by Platinum upon our consummation prior to October 31, 2014 (the “</w:t>
      </w:r>
      <w:r>
        <w:rPr>
          <w:rFonts w:ascii="Arial" w:cs="Arial" w:eastAsia="Arial" w:hAnsi="Arial"/>
          <w:sz w:val="17"/>
          <w:szCs w:val="17"/>
          <w:i w:val="1"/>
          <w:iCs w:val="1"/>
          <w:color w:val="auto"/>
        </w:rPr>
        <w:t>Closing Date</w:t>
      </w:r>
      <w:r>
        <w:rPr>
          <w:rFonts w:ascii="Arial" w:cs="Arial" w:eastAsia="Arial" w:hAnsi="Arial"/>
          <w:sz w:val="17"/>
          <w:szCs w:val="17"/>
          <w:color w:val="auto"/>
        </w:rPr>
        <w:t>”) of either (i) a Private Financing or a Public Offering, each as defined in the agreement.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a newly created Series B Convertible Preferred Stock with an aggregate liquidation preference equal to the Outstanding Balance on the Closing Date. Prior to the agreement, the Senior Notes were convertible, at Platinum’s option, at any time prior to maturity at a conversion price of $10.00 per share. The modification of the conversion feature in the Senior Notes was treated as an extinguishment of the debt for accounting purposes. Accordingly, since the fair value of the amended Senior Notes substantially exceeded the carrying amount of the original notes, we recognized a non-cash loss on the extinguishment of debt in the aggregate amount of $1,603,400 attributable to the amendment.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0" w:name="page91"/>
    <w:bookmarkEnd w:id="90"/>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As described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to the Consolidated Financial Statements included in this prospectus, in October 2014, we accepted a cash payment of $60,000 as settlement in full for a promissory note issued to us in May 2011 for the purchase of shares of our common stock. At the time of the payment, the principal and accrued interest due to us under the note receivable was $194,900, resulting in a recognized loss of $134,900 related to the settlement.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Since our inception in May 1998 through March 31, 2015, we have financed our operations and technology acquisitions primarily through the issuance and sale of equity and debt securities, including secured and unsecured convertible promissory notes and short-term promissory notes, for cash proceeds of approximately $29.0 million. In addition, we have obtained an aggregate of approximately $16.4 million in government research grant awards, strategic collaboration payments and other revenues. Additionally, we have issued equity securities with an approximate value at issuance of $13.5 million in non-cash settlements of certain liabilities, including liabilities for professional services rendered to us or as compensation for such services.</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Between late-March 2014 and March 31, 2015, we entered into securities purchase agreements with accredited investors, including Platinum, pursuant to which we sold units to such accredited investors, in private placement transactions (“</w:t>
      </w:r>
      <w:r>
        <w:rPr>
          <w:rFonts w:ascii="Arial" w:cs="Arial" w:eastAsia="Arial" w:hAnsi="Arial"/>
          <w:sz w:val="16"/>
          <w:szCs w:val="16"/>
          <w:i w:val="1"/>
          <w:iCs w:val="1"/>
          <w:color w:val="auto"/>
        </w:rPr>
        <w:t>2014 Units”</w:t>
      </w:r>
      <w:r>
        <w:rPr>
          <w:rFonts w:ascii="Arial" w:cs="Arial" w:eastAsia="Arial" w:hAnsi="Arial"/>
          <w:sz w:val="16"/>
          <w:szCs w:val="16"/>
          <w:color w:val="auto"/>
        </w:rPr>
        <w:t xml:space="preserve"> or “</w:t>
      </w:r>
      <w:r>
        <w:rPr>
          <w:rFonts w:ascii="Arial" w:cs="Arial" w:eastAsia="Arial" w:hAnsi="Arial"/>
          <w:sz w:val="16"/>
          <w:szCs w:val="16"/>
          <w:i w:val="1"/>
          <w:iCs w:val="1"/>
          <w:color w:val="auto"/>
        </w:rPr>
        <w:t>2014 Unit Private Placement”</w:t>
      </w:r>
      <w:r>
        <w:rPr>
          <w:rFonts w:ascii="Arial" w:cs="Arial" w:eastAsia="Arial" w:hAnsi="Arial"/>
          <w:sz w:val="16"/>
          <w:szCs w:val="16"/>
          <w:color w:val="auto"/>
        </w:rPr>
        <w:t>), for aggregate cash proceeds of $3,113,500, consisting of (i) 2014 Unit Notes in the aggregate face amount of $3,113,500 which matured between March 31, 2015 and April 30, 2015, or were automatically convertible into securities we might issue upon the consummation of a Qualified Financing, as defined, (ii) an aggregate of 282,850 restricted shares of our common stock (“</w:t>
      </w:r>
      <w:r>
        <w:rPr>
          <w:rFonts w:ascii="Arial" w:cs="Arial" w:eastAsia="Arial" w:hAnsi="Arial"/>
          <w:sz w:val="16"/>
          <w:szCs w:val="16"/>
          <w:i w:val="1"/>
          <w:iCs w:val="1"/>
          <w:color w:val="auto"/>
        </w:rPr>
        <w:t>2014 Unit Stock”)</w:t>
      </w:r>
      <w:r>
        <w:rPr>
          <w:rFonts w:ascii="Arial" w:cs="Arial" w:eastAsia="Arial" w:hAnsi="Arial"/>
          <w:sz w:val="16"/>
          <w:szCs w:val="16"/>
          <w:color w:val="auto"/>
        </w:rPr>
        <w:t>; and (iii) warrants exercisable through December 31, 2016 to purchase an aggregate of 282,850 restricted shares of our common stock at an exercise price of $10.00 per share (“</w:t>
      </w:r>
      <w:r>
        <w:rPr>
          <w:rFonts w:ascii="Arial" w:cs="Arial" w:eastAsia="Arial" w:hAnsi="Arial"/>
          <w:sz w:val="16"/>
          <w:szCs w:val="16"/>
          <w:i w:val="1"/>
          <w:iCs w:val="1"/>
          <w:color w:val="auto"/>
        </w:rPr>
        <w:t>2014 Unit Warrants”</w:t>
      </w:r>
      <w:r>
        <w:rPr>
          <w:rFonts w:ascii="Arial" w:cs="Arial" w:eastAsia="Arial" w:hAnsi="Arial"/>
          <w:sz w:val="16"/>
          <w:szCs w:val="16"/>
          <w:color w:val="auto"/>
        </w:rPr>
        <w:t>). We currently anticipate that we will need to obtain approximately $7.0 million in financing over the course of the next twelve months to execute our business plan.</w:t>
      </w:r>
    </w:p>
    <w:p>
      <w:pPr>
        <w:spacing w:after="0" w:line="1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At March 31, 2015, we did not have sufficient cash and cash equivalents to enable us to fund our planned operations, including expected cash expenditures of approximately $7.0 million through the next twelve months. To meet our operational needs and fund our working capital requirements after March 31, 2015, we extended the 2014 Unit Private Placement and, through May 14, 2015, we entered into additional securities purchase agreements with accredited investors pursuant to which we sold to such accredited investors 2014 Units, for aggregate cash proceeds of $280,000, consisting of: (i) 10% convertible promissory notes maturing between April 30, 2015 and May 15, 2015, in the aggregate face amount of $280,000, (ii) an aggregate of 33,000 shares of our restricted common stock, and (iii) warrants exercisable through December 31, 2016 to purchase an aggregate of 24,250 restricted shares of our common stock at an exercise price of $10.00 per share.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 May 12, 2015, we entered into an agreement with Platinum (“</w:t>
      </w:r>
      <w:r>
        <w:rPr>
          <w:rFonts w:ascii="Arial" w:cs="Arial" w:eastAsia="Arial" w:hAnsi="Arial"/>
          <w:sz w:val="18"/>
          <w:szCs w:val="18"/>
          <w:i w:val="1"/>
          <w:iCs w:val="1"/>
          <w:color w:val="auto"/>
        </w:rPr>
        <w:t>Platinum Agreement”</w:t>
      </w:r>
      <w:r>
        <w:rPr>
          <w:rFonts w:ascii="Arial" w:cs="Arial" w:eastAsia="Arial" w:hAnsi="Arial"/>
          <w:sz w:val="18"/>
          <w:szCs w:val="18"/>
          <w:color w:val="auto"/>
        </w:rPr>
        <w:t>), pursuant to which Platinum:</w:t>
      </w:r>
    </w:p>
    <w:p>
      <w:pPr>
        <w:spacing w:after="0" w:line="252" w:lineRule="exact"/>
        <w:rPr>
          <w:sz w:val="20"/>
          <w:szCs w:val="20"/>
          <w:color w:val="auto"/>
        </w:rPr>
      </w:pPr>
    </w:p>
    <w:p>
      <w:pPr>
        <w:jc w:val="both"/>
        <w:ind w:left="960" w:hanging="286"/>
        <w:spacing w:after="0" w:line="264"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Converted the approximately $4.5 million outstanding balance (principal and accrued but unpaid interest) of the Senior Notes we issued to Platinum into 641,335 shares of our newly-created Series B 10% Convertible Preferred Stock (“</w:t>
      </w:r>
      <w:r>
        <w:rPr>
          <w:rFonts w:ascii="Arial" w:cs="Arial" w:eastAsia="Arial" w:hAnsi="Arial"/>
          <w:sz w:val="18"/>
          <w:szCs w:val="18"/>
          <w:i w:val="1"/>
          <w:iCs w:val="1"/>
          <w:color w:val="auto"/>
        </w:rPr>
        <w:t>Series B Preferred”</w:t>
      </w:r>
      <w:r>
        <w:rPr>
          <w:rFonts w:ascii="Arial" w:cs="Arial" w:eastAsia="Arial" w:hAnsi="Arial"/>
          <w:sz w:val="18"/>
          <w:szCs w:val="18"/>
          <w:color w:val="auto"/>
        </w:rPr>
        <w:t>), thereby cancelling approximately $4.5 million of our outstanding indebtedness;</w:t>
      </w:r>
    </w:p>
    <w:p>
      <w:pPr>
        <w:spacing w:after="0" w:line="208" w:lineRule="exact"/>
        <w:rPr>
          <w:rFonts w:ascii="Arial" w:cs="Arial" w:eastAsia="Arial" w:hAnsi="Arial"/>
          <w:sz w:val="18"/>
          <w:szCs w:val="18"/>
          <w:color w:val="auto"/>
        </w:rPr>
      </w:pPr>
    </w:p>
    <w:p>
      <w:pPr>
        <w:ind w:left="960" w:right="20" w:hanging="286"/>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Released all of its security interests in our assets and those of our subsidiaries by terminating the Amended and Restated Security Agreement, IP Security Agreement and Negative Covenant, each dated October 11, 2012 between us and Platinum;</w:t>
      </w:r>
    </w:p>
    <w:p>
      <w:pPr>
        <w:spacing w:after="0" w:line="197" w:lineRule="exact"/>
        <w:rPr>
          <w:rFonts w:ascii="Arial" w:cs="Arial" w:eastAsia="Arial" w:hAnsi="Arial"/>
          <w:sz w:val="18"/>
          <w:szCs w:val="18"/>
          <w:color w:val="auto"/>
        </w:rPr>
      </w:pPr>
    </w:p>
    <w:p>
      <w:pPr>
        <w:jc w:val="both"/>
        <w:ind w:left="960" w:hanging="286"/>
        <w:spacing w:after="0" w:line="259"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Converted the approximately $1.3 million outstanding balance (principal and accrued but unpaid interest) of the convertible promissory Notes we issued to Platinum in our 2014 Unit Private Placement (“</w:t>
      </w:r>
      <w:r>
        <w:rPr>
          <w:rFonts w:ascii="Arial" w:cs="Arial" w:eastAsia="Arial" w:hAnsi="Arial"/>
          <w:sz w:val="18"/>
          <w:szCs w:val="18"/>
          <w:i w:val="1"/>
          <w:iCs w:val="1"/>
          <w:color w:val="auto"/>
        </w:rPr>
        <w:t>2014 Unit Notes”</w:t>
      </w:r>
      <w:r>
        <w:rPr>
          <w:rFonts w:ascii="Arial" w:cs="Arial" w:eastAsia="Arial" w:hAnsi="Arial"/>
          <w:sz w:val="18"/>
          <w:szCs w:val="18"/>
          <w:color w:val="auto"/>
        </w:rPr>
        <w:t>) into 240,305 shares of Series B Preferred and five-year warrants to purchase 240,305 shares of our common stock at a fixed exercise price of $7.00 per share (“</w:t>
      </w:r>
      <w:r>
        <w:rPr>
          <w:rFonts w:ascii="Arial" w:cs="Arial" w:eastAsia="Arial" w:hAnsi="Arial"/>
          <w:sz w:val="18"/>
          <w:szCs w:val="18"/>
          <w:i w:val="1"/>
          <w:iCs w:val="1"/>
          <w:color w:val="auto"/>
        </w:rPr>
        <w:t>Series B Warrants”</w:t>
      </w:r>
      <w:r>
        <w:rPr>
          <w:rFonts w:ascii="Arial" w:cs="Arial" w:eastAsia="Arial" w:hAnsi="Arial"/>
          <w:sz w:val="18"/>
          <w:szCs w:val="18"/>
          <w:color w:val="auto"/>
        </w:rPr>
        <w:t>), thereby cancelling approximately $1.3 million of our outstanding indebtedness;</w:t>
      </w:r>
    </w:p>
    <w:p>
      <w:pPr>
        <w:spacing w:after="0" w:line="213" w:lineRule="exact"/>
        <w:rPr>
          <w:rFonts w:ascii="Arial" w:cs="Arial" w:eastAsia="Arial" w:hAnsi="Arial"/>
          <w:sz w:val="18"/>
          <w:szCs w:val="18"/>
          <w:color w:val="auto"/>
        </w:rPr>
      </w:pPr>
    </w:p>
    <w:p>
      <w:pPr>
        <w:jc w:val="both"/>
        <w:ind w:left="960" w:hanging="286"/>
        <w:spacing w:after="0" w:line="259"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Purchased approximately $1.5 million (including accrued but unpaid interest thereon) of outstanding 2014 Unit Notes we issued to various investors from the respective holders thereof (“</w:t>
      </w:r>
      <w:r>
        <w:rPr>
          <w:rFonts w:ascii="Arial" w:cs="Arial" w:eastAsia="Arial" w:hAnsi="Arial"/>
          <w:sz w:val="18"/>
          <w:szCs w:val="18"/>
          <w:i w:val="1"/>
          <w:iCs w:val="1"/>
          <w:color w:val="auto"/>
        </w:rPr>
        <w:t>Investor 2014 Unit Notes”</w:t>
      </w:r>
      <w:r>
        <w:rPr>
          <w:rFonts w:ascii="Arial" w:cs="Arial" w:eastAsia="Arial" w:hAnsi="Arial"/>
          <w:sz w:val="18"/>
          <w:szCs w:val="18"/>
          <w:color w:val="auto"/>
        </w:rPr>
        <w:t>) and converted the entire outstanding balance of the Investor 2014 Unit Notes into 265,699 shares of Series B Preferred and Series B Warrants to purchase 265,699 shares of our common stock, thereby cancelling approximately $1.5 million of our outstanding indebtedness;</w:t>
      </w:r>
    </w:p>
    <w:p>
      <w:pPr>
        <w:spacing w:after="0" w:line="213" w:lineRule="exact"/>
        <w:rPr>
          <w:rFonts w:ascii="Arial" w:cs="Arial" w:eastAsia="Arial" w:hAnsi="Arial"/>
          <w:sz w:val="18"/>
          <w:szCs w:val="18"/>
          <w:color w:val="auto"/>
        </w:rPr>
      </w:pPr>
    </w:p>
    <w:p>
      <w:pPr>
        <w:jc w:val="both"/>
        <w:ind w:left="960" w:hanging="286"/>
        <w:spacing w:after="0" w:line="264"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Signed and delivered a Securities Purchase Agreement (“</w:t>
      </w:r>
      <w:r>
        <w:rPr>
          <w:rFonts w:ascii="Arial" w:cs="Arial" w:eastAsia="Arial" w:hAnsi="Arial"/>
          <w:sz w:val="18"/>
          <w:szCs w:val="18"/>
          <w:i w:val="1"/>
          <w:iCs w:val="1"/>
          <w:color w:val="auto"/>
        </w:rPr>
        <w:t>SPA”</w:t>
      </w:r>
      <w:r>
        <w:rPr>
          <w:rFonts w:ascii="Arial" w:cs="Arial" w:eastAsia="Arial" w:hAnsi="Arial"/>
          <w:sz w:val="18"/>
          <w:szCs w:val="18"/>
          <w:color w:val="auto"/>
        </w:rPr>
        <w:t>) to purchase, for $1.0 million, a total of 142,857 shares of Series B Preferred and a Series B Warrant to purchase 142,857 shares of our common stock, on or before June 11, 2015 (a portion of which purchase has been consummated);</w:t>
      </w:r>
    </w:p>
    <w:p>
      <w:pPr>
        <w:spacing w:after="0" w:line="208" w:lineRule="exact"/>
        <w:rPr>
          <w:rFonts w:ascii="Arial" w:cs="Arial" w:eastAsia="Arial" w:hAnsi="Arial"/>
          <w:sz w:val="18"/>
          <w:szCs w:val="18"/>
          <w:color w:val="auto"/>
        </w:rPr>
      </w:pPr>
    </w:p>
    <w:p>
      <w:pPr>
        <w:ind w:left="960" w:hanging="286"/>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Amended the Platinum Warrants (all warrants previously issued by us to Platinum in connection with the Senior Notes) and the Series A Exchange Warrant to:</w:t>
      </w:r>
    </w:p>
    <w:p>
      <w:pPr>
        <w:spacing w:after="0" w:line="197" w:lineRule="exact"/>
        <w:rPr>
          <w:rFonts w:ascii="Arial" w:cs="Arial" w:eastAsia="Arial" w:hAnsi="Arial"/>
          <w:sz w:val="18"/>
          <w:szCs w:val="18"/>
          <w:color w:val="auto"/>
        </w:rPr>
      </w:pPr>
    </w:p>
    <w:p>
      <w:pPr>
        <w:ind w:left="1300" w:hanging="126"/>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fix the exercise price of Platinum Warrants and the Series A Exchange Warrant at $7.00 per share;</w:t>
      </w:r>
    </w:p>
    <w:p>
      <w:pPr>
        <w:spacing w:after="0" w:line="23" w:lineRule="exact"/>
        <w:rPr>
          <w:rFonts w:ascii="Arial" w:cs="Arial" w:eastAsia="Arial" w:hAnsi="Arial"/>
          <w:sz w:val="18"/>
          <w:szCs w:val="18"/>
          <w:color w:val="auto"/>
        </w:rPr>
      </w:pPr>
    </w:p>
    <w:p>
      <w:pPr>
        <w:ind w:left="1300" w:hanging="126"/>
        <w:spacing w:after="0"/>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eliminate the exercise price reset features and fix the number of shares of our common stock issuable under the Platinum Warrants; and</w:t>
      </w:r>
    </w:p>
    <w:p>
      <w:pPr>
        <w:spacing w:after="0" w:line="32" w:lineRule="exact"/>
        <w:rPr>
          <w:rFonts w:ascii="Arial" w:cs="Arial" w:eastAsia="Arial" w:hAnsi="Arial"/>
          <w:sz w:val="16"/>
          <w:szCs w:val="16"/>
          <w:color w:val="auto"/>
        </w:rPr>
      </w:pPr>
    </w:p>
    <w:p>
      <w:pPr>
        <w:ind w:left="1300" w:hanging="126"/>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eliminate the cashless exercise provisions from the Platinum Warrants and the Series A Exchange Warrant; and</w:t>
      </w:r>
    </w:p>
    <w:p>
      <w:pPr>
        <w:spacing w:after="0" w:line="237" w:lineRule="exact"/>
        <w:rPr>
          <w:rFonts w:ascii="Arial" w:cs="Arial" w:eastAsia="Arial" w:hAnsi="Arial"/>
          <w:sz w:val="18"/>
          <w:szCs w:val="18"/>
          <w:color w:val="auto"/>
        </w:rPr>
      </w:pPr>
    </w:p>
    <w:p>
      <w:pPr>
        <w:jc w:val="both"/>
        <w:ind w:left="960" w:hanging="286"/>
        <w:spacing w:after="0" w:line="264"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ectPr>
          <w:pgSz w:w="11900" w:h="16838" w:orient="portrait"/>
          <w:cols w:equalWidth="0" w:num="1">
            <w:col w:w="11420"/>
          </w:cols>
          <w:pgMar w:left="240" w:top="130"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91" w:name="page92"/>
    <w:bookmarkEnd w:id="91"/>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additional consideration for the agreements of Platinum under the Platinum Agreement, we issued to Platinum 400,000 shares of Series B Preferred and Warrants to purchase 1.2 million shares of our common stock and exchanged 30,000 shares of our common stock currently beneficially owned or controlled by Platinum for 30,000 shares of Series B Preferred.</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May 20, 2015, holders of the remaining approximately $1.8 million outstanding balance (principal and accrued but unpaid interest) of unsecured 2014 Unit Notes converted such notes into 327,016 shares of Series B Preferred and Series B Warrants to purchase 327,016 shares of our common stock, thereby cancelling an additional approximately $1.8 million of our outstanding indebtedness.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Between May 26, 2015 and July 17,2015, we sold to accredited investors an aggregate of $1,112,500 of units in our Series B Preferred Unit offering, which units consist of Series B Preferred and Series B Warrants (together </w:t>
      </w:r>
      <w:r>
        <w:rPr>
          <w:rFonts w:ascii="Arial" w:cs="Arial" w:eastAsia="Arial" w:hAnsi="Arial"/>
          <w:sz w:val="17"/>
          <w:szCs w:val="17"/>
          <w:i w:val="1"/>
          <w:iCs w:val="1"/>
          <w:color w:val="auto"/>
        </w:rPr>
        <w:t>Series B Preferred Units</w:t>
      </w:r>
      <w:r>
        <w:rPr>
          <w:rFonts w:ascii="Arial" w:cs="Arial" w:eastAsia="Arial" w:hAnsi="Arial"/>
          <w:sz w:val="17"/>
          <w:szCs w:val="17"/>
          <w:color w:val="auto"/>
        </w:rPr>
        <w:t xml:space="preserve">), including $500,000 to Platinum. We have issued 160,363 shares of Series B Preferred and Series B Warrants to purchase 160,363 shares of our common stock and we have received an aggregate of $557,500 in cash proceeds from the sale of the Series B Preferred Units. As described more completely in Note 16, </w:t>
      </w:r>
      <w:r>
        <w:rPr>
          <w:rFonts w:ascii="Arial" w:cs="Arial" w:eastAsia="Arial" w:hAnsi="Arial"/>
          <w:sz w:val="17"/>
          <w:szCs w:val="17"/>
          <w:i w:val="1"/>
          <w:iCs w:val="1"/>
          <w:color w:val="auto"/>
        </w:rPr>
        <w:t>Subsequent Events</w:t>
      </w:r>
      <w:r>
        <w:rPr>
          <w:rFonts w:ascii="Arial" w:cs="Arial" w:eastAsia="Arial" w:hAnsi="Arial"/>
          <w:sz w:val="17"/>
          <w:szCs w:val="17"/>
          <w:color w:val="auto"/>
        </w:rPr>
        <w:t>, to the Consolidated Financial Statements included in this prospectus, each share of Series B Preferred is convertible into one share of our common stock and the Series B Warrants are exercisable at a fixed price of $7.00 per share for a term of five years following issuance.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through July 17, 2015, holders of certain of our promissory notes outstanding at March 31, 2015 and thereafter, including Morrison &amp; Foerster, University Health Network, Cato Research Ltd., McCarthy Tetrault, and certain other service providers converted notes payable or accounts payable having an aggregate balance of approximately $6.6 million (principal and accrued but unpaid interest and certain strategic adjustments) into 946,934 shares of Series B Preferred.</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March 31, 2015, we have eliminated approximately $15.8 million of promissory notes, other debt and certain adjustments thereto that was either already due and payable or would have otherwise matured prior to March 31, 2016, through conversion into our Series B Preferred and, with respect to a portion of the indebtedness converted, warrants to purchase common stock. Together with the cash proceeds from our Series B Preferred Unit Offering, our working capital position has improved significantly since March 31, 2015. We will, however, need to raise additional capital to fund our operations and execute our business plan over the next year and thereafter.</w:t>
      </w:r>
    </w:p>
    <w:p>
      <w:pPr>
        <w:spacing w:after="0" w:line="2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believe that our participation in potential strategic collaborations, including potential transactions involving AV-101 such as our February 2015 CRADA with the NIH for an NIH-funded and sponsored Phase 2 study of AV-101 in MDD, may provide resources to support a portion of our future cash needs and working capital requirements, however, no assurances can be provided. When and as necessary, we will seek to raise a material amount of financing through a combination of additional private placements and/or registered public offerings of our securities, which may include both debt and equity securities, stem cell technology-based research and development collaborations, stem cell technology and drug candidate license fees, and government grant awards and collaborations. Our future working capital requirements will depend on many factors, including, without limitation, the scope and nature of strategic opportunities related to our success in clinical trials of and further developing AV-101 as a treatment for MDD and/or other conditions; our stem cell technology platform, including drug rescue and cell therapy research and development efforts and the success of such programs, our ability to obtain government grant awards and our ability to enter into strategic collaborations with institutions on terms acceptable to us. To further advance the clinical development of AV-101 and potential drug rescue applications of our stem cell technology platform, as well as support our operating activities, we plan to continue to carefully manage our routine operating costs, including salaries and benefits, regulatory consulting, contract research and development, legal, accounting, public company compliance and other professional services and working capital costs.</w:t>
      </w:r>
    </w:p>
    <w:p>
      <w:pPr>
        <w:spacing w:after="0" w:line="1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580" w:type="dxa"/>
            <w:vAlign w:val="bottom"/>
          </w:tcPr>
          <w:p>
            <w:pPr>
              <w:ind w:left="640"/>
              <w:spacing w:after="0"/>
              <w:rPr>
                <w:sz w:val="20"/>
                <w:szCs w:val="20"/>
                <w:color w:val="auto"/>
              </w:rPr>
            </w:pPr>
            <w:r>
              <w:rPr>
                <w:rFonts w:ascii="Arial" w:cs="Arial" w:eastAsia="Arial" w:hAnsi="Arial"/>
                <w:sz w:val="18"/>
                <w:szCs w:val="18"/>
                <w:color w:val="auto"/>
                <w:w w:val="92"/>
              </w:rPr>
              <w:t>The following table summarizes changes in cash and cash equivalents for the periods stated (in thousands):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Fiscal Years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(2,769)</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Off-Balance Sheet Arrangements</w:t>
            </w: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6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VistaGen California has two inactive, wholly-owned subsidiaries, Artemis Neuroscience, Inc., a Maryland corporation, and VistaStem Canada, Inc., an Ontario corporation.</w:t>
      </w:r>
    </w:p>
    <w:p>
      <w:pPr>
        <w:sectPr>
          <w:pgSz w:w="11900" w:h="16838" w:orient="portrait"/>
          <w:cols w:equalWidth="0" w:num="1">
            <w:col w:w="11420"/>
          </w:cols>
          <w:pgMar w:left="240" w:top="130" w:right="239" w:bottom="703"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703" w:gutter="0" w:footer="0" w:header="0"/>
          <w:type w:val="continuous"/>
        </w:sectPr>
      </w:pPr>
    </w:p>
    <w:bookmarkStart w:id="92" w:name="page93"/>
    <w:bookmarkEnd w:id="92"/>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senior management is composed of individuals with significant management experience. Our directors and executive officers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80" w:type="dxa"/>
            <w:vAlign w:val="bottom"/>
          </w:tcPr>
          <w:p>
            <w:pPr>
              <w:spacing w:after="0"/>
              <w:rPr>
                <w:sz w:val="20"/>
                <w:szCs w:val="20"/>
                <w:color w:val="auto"/>
              </w:rPr>
            </w:pPr>
          </w:p>
        </w:tc>
        <w:tc>
          <w:tcPr>
            <w:tcW w:w="1340" w:type="dxa"/>
            <w:vAlign w:val="bottom"/>
          </w:tcPr>
          <w:p>
            <w:pPr>
              <w:jc w:val="right"/>
              <w:ind w:right="430"/>
              <w:spacing w:after="0"/>
              <w:rPr>
                <w:sz w:val="20"/>
                <w:szCs w:val="20"/>
                <w:color w:val="auto"/>
              </w:rPr>
            </w:pPr>
            <w:r>
              <w:rPr>
                <w:rFonts w:ascii="Arial" w:cs="Arial" w:eastAsia="Arial" w:hAnsi="Arial"/>
                <w:sz w:val="18"/>
                <w:szCs w:val="18"/>
                <w:b w:val="1"/>
                <w:bCs w:val="1"/>
                <w:color w:val="auto"/>
              </w:rPr>
              <w:t>Age</w:t>
            </w:r>
          </w:p>
        </w:tc>
        <w:tc>
          <w:tcPr>
            <w:tcW w:w="14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 w:type="dxa"/>
            <w:vAlign w:val="bottom"/>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28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5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H. Ralph Snodgrass, Ph.D.</w:t>
            </w:r>
          </w:p>
        </w:tc>
        <w:tc>
          <w:tcPr>
            <w:tcW w:w="1620" w:type="dxa"/>
            <w:vAlign w:val="bottom"/>
            <w:gridSpan w:val="2"/>
          </w:tcPr>
          <w:p>
            <w:pPr>
              <w:jc w:val="right"/>
              <w:ind w:right="43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Founder, President, Chief Scientific Officer and Director</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Jerrold D. Dotson</w:t>
            </w:r>
          </w:p>
        </w:tc>
        <w:tc>
          <w:tcPr>
            <w:tcW w:w="16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Vice President, Chief Financial Officer and Secretary</w:t>
            </w:r>
          </w:p>
        </w:tc>
      </w:tr>
      <w:tr>
        <w:trPr>
          <w:trHeight w:val="216"/>
        </w:trPr>
        <w:tc>
          <w:tcPr>
            <w:tcW w:w="20" w:type="dxa"/>
            <w:vAlign w:val="bottom"/>
          </w:tcPr>
          <w:p>
            <w:pPr>
              <w:spacing w:after="0"/>
              <w:rPr>
                <w:sz w:val="18"/>
                <w:szCs w:val="18"/>
                <w:color w:val="auto"/>
              </w:rPr>
            </w:pPr>
          </w:p>
        </w:tc>
        <w:tc>
          <w:tcPr>
            <w:tcW w:w="4180" w:type="dxa"/>
            <w:vAlign w:val="bottom"/>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5"/>
                <w:szCs w:val="25"/>
                <w:color w:val="auto"/>
                <w:vertAlign w:val="superscript"/>
              </w:rPr>
              <w:t>(1)</w:t>
            </w:r>
          </w:p>
        </w:tc>
        <w:tc>
          <w:tcPr>
            <w:tcW w:w="1620" w:type="dxa"/>
            <w:vAlign w:val="bottom"/>
            <w:gridSpan w:val="2"/>
          </w:tcPr>
          <w:p>
            <w:pPr>
              <w:jc w:val="right"/>
              <w:ind w:right="43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5"/>
                <w:szCs w:val="25"/>
                <w:color w:val="auto"/>
                <w:vertAlign w:val="superscript"/>
              </w:rPr>
              <w:t>(2)</w:t>
            </w:r>
          </w:p>
        </w:tc>
        <w:tc>
          <w:tcPr>
            <w:tcW w:w="162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bl>
    <w:p>
      <w:pPr>
        <w:spacing w:after="0" w:line="229" w:lineRule="exact"/>
        <w:rPr>
          <w:sz w:val="20"/>
          <w:szCs w:val="20"/>
          <w:color w:val="auto"/>
        </w:rPr>
      </w:pPr>
    </w:p>
    <w:p>
      <w:pPr>
        <w:ind w:left="900" w:hanging="300"/>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Chairman of the audit committee and member of the compensation committee and corporate governance and nominating committee</w:t>
      </w:r>
    </w:p>
    <w:p>
      <w:pPr>
        <w:spacing w:after="0" w:line="34" w:lineRule="exact"/>
        <w:rPr>
          <w:rFonts w:ascii="Arial" w:cs="Arial" w:eastAsia="Arial" w:hAnsi="Arial"/>
          <w:sz w:val="17"/>
          <w:szCs w:val="17"/>
          <w:color w:val="auto"/>
        </w:rPr>
      </w:pPr>
    </w:p>
    <w:p>
      <w:pPr>
        <w:ind w:left="900" w:hanging="300"/>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Member of the audit committee and chairman of the compensation committee and corporate governance and nominating committee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Shawn K. Singh, J.D. </w:t>
      </w:r>
      <w:r>
        <w:rPr>
          <w:rFonts w:ascii="Arial" w:cs="Arial" w:eastAsia="Arial" w:hAnsi="Arial"/>
          <w:sz w:val="17"/>
          <w:szCs w:val="17"/>
          <w:color w:val="auto"/>
        </w:rPr>
        <w:t>has served as our Chief Executive Officer since August 2009; he joined our Board of Directors in 2000 and served on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team (part-time) from late-2003, following our acquisition of Artemis Neuroscience, of which he was President, to August 2009. Mr. Singh has over 20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w:t>
      </w:r>
      <w:r>
        <w:rPr>
          <w:rFonts w:ascii="Arial" w:cs="Arial" w:eastAsia="Arial" w:hAnsi="Arial"/>
          <w:sz w:val="17"/>
          <w:szCs w:val="17"/>
          <w:i w:val="1"/>
          <w:iCs w:val="1"/>
          <w:color w:val="auto"/>
        </w:rPr>
        <w:t>CRO</w:t>
      </w:r>
      <w:r>
        <w:rPr>
          <w:rFonts w:ascii="Arial" w:cs="Arial" w:eastAsia="Arial" w:hAnsi="Arial"/>
          <w:sz w:val="17"/>
          <w:szCs w:val="17"/>
          <w:color w:val="auto"/>
        </w:rPr>
        <w:t>) affiliated with Cato BioVentures. Mr. Singh served as President (part-time) of Echo Therapeutics (NASDAQ: ECTE), a medical device company,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US-based, China-focused specialty pharmaceutical company with a substantial revenue-generating and profitable commercial business and a marketed product portfolio of differentiated therapies for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J.D. degree from the University of Maryland School of Law. Mr. Singh is a member of the State Bar of California.</w:t>
      </w:r>
    </w:p>
    <w:p>
      <w:pPr>
        <w:spacing w:after="0" w:line="21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H. Ralph Snodgrass, Ph.D. </w:t>
      </w:r>
      <w:r>
        <w:rPr>
          <w:rFonts w:ascii="Arial" w:cs="Arial" w:eastAsia="Arial" w:hAnsi="Arial"/>
          <w:sz w:val="17"/>
          <w:szCs w:val="17"/>
          <w:color w:val="auto"/>
        </w:rPr>
        <w:t>co-founded VistaGen with Dr. Gordon Keller in 1998 and served as our Chief Executive Officer until August 2009. Dr.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Snodgrass has served as our President and Chief Scientific Officer since August 2009. He has served as a member of our Board of Directors since 1998. Prior to founding VistaGen, Dr. Snodgrass served as a key member of the executive management team which lead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20 years of experience in senior biotechnology management and over 10 years research experience as a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7"/>
          <w:szCs w:val="17"/>
          <w:i w:val="1"/>
          <w:iCs w:val="1"/>
          <w:color w:val="auto"/>
        </w:rPr>
        <w:t>BIO</w:t>
      </w:r>
      <w:r>
        <w:rPr>
          <w:rFonts w:ascii="Arial" w:cs="Arial" w:eastAsia="Arial" w:hAnsi="Arial"/>
          <w:sz w:val="17"/>
          <w:szCs w:val="17"/>
          <w:color w:val="auto"/>
        </w:rPr>
        <w:t>),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28 years’ experience in the uses of stem cells as biological tools for research, drug discovery and development.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3" w:name="page94"/>
    <w:bookmarkEnd w:id="93"/>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i w:val="1"/>
          <w:iCs w:val="1"/>
          <w:color w:val="auto"/>
        </w:rPr>
        <w:t xml:space="preserve">Jerrold D. Dotson, CPA </w:t>
      </w:r>
      <w:r>
        <w:rPr>
          <w:rFonts w:ascii="Arial" w:cs="Arial" w:eastAsia="Arial" w:hAnsi="Arial"/>
          <w:sz w:val="18"/>
          <w:szCs w:val="18"/>
          <w:color w:val="auto"/>
        </w:rPr>
        <w:t>has served as our Chief Financial Officer since September 2011, as our Corporate Secretary since October 2013 and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since February 2014. Mr. Dotson served as Corporate Controller for 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Jon S. Saxe, J.D. </w:t>
      </w:r>
      <w:r>
        <w:rPr>
          <w:rFonts w:ascii="Arial" w:cs="Arial" w:eastAsia="Arial" w:hAnsi="Arial"/>
          <w:sz w:val="17"/>
          <w:szCs w:val="17"/>
          <w:color w:val="auto"/>
        </w:rPr>
        <w:t>has served as Chairman of our Board of Directors since 2000. He also serves as the Chairman of our Audit Committee. Mr. Saxe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SciClone Pharmaceuticals, Inc. (NASDAQ: SCLN) and Durect Corporation (NASDAQ: DRRX), and five private life science companies, Arbor Vita Corporation, Arcuo Medical, LLC, Armetheon, Inc., Lumos Pharma, Inc. and Trellis Bioscience.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20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selected Mr. Saxe to serve as Chairman of our Board of Directors due to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Brian J. Underdown, Ph.D. </w:t>
      </w:r>
      <w:r>
        <w:rPr>
          <w:rFonts w:ascii="Arial" w:cs="Arial" w:eastAsia="Arial" w:hAnsi="Arial"/>
          <w:sz w:val="17"/>
          <w:szCs w:val="17"/>
          <w:color w:val="auto"/>
        </w:rPr>
        <w:t>has served as a member of our Board of Directors since November 2009. Dr. Underdown has served as Managing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of Lumira Capital Corp. since September 1997, having started in the venture capital industry in 1997 with MDS Capital Corporation (MDSCC). His investment focus has been on therapeutics in both new and established companies in both Canada and the United States. Prior to joining MDSCC, Dr. Underdown held a number of senior management positions in the biopharmaceutical industry and at universities. Dr. Underdown’s past and current board positions include: ID Biomedical, Trillium Therapeutics, Cytochroma Inc., Argos Therapeutics, Locus Therapeutics, Nysa Membrane Technologies, Ception Therapeutics and Transmolecular Therapeutics. He has served on a number of Boards and advisory bodies of government sponsored research organizations including CANVAC, the Canadian National Centre of Excellence in Vaccines, Ontario Genomics Institute, Allergen, the Canadian National Centre of Excellence in Allergy and Asthma. Dr. Underdown obtained his Ph.D. in immunology from McGill University and undertook post-doctoral studies at Washington University School of Medicine.</w:t>
      </w:r>
    </w:p>
    <w:p>
      <w:pPr>
        <w:spacing w:after="0" w:line="20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Executive Officers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4" w:name="page95"/>
    <w:bookmarkEnd w:id="94"/>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amended and restated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four members. Accordingly, there are currently three vacancies on our Board of Directors. Our Board of Directors anticipates filling each of such vacancies as soon as practicable. All actions of the Board of Directors require the approval of a majority of the directors in attendance at a meeting at which a quorum is present.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Our independent directors, Mr. Saxe and Dr. Underdown, are each members of the audit committee. Mr. Saxe and Dr. Underdown also currently serve as members of the compensation committee and the corporate governance and nominating committee.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 committee is comprised of Mr. Saxe and Dr. Underdown.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214" w:lineRule="exact"/>
        <w:rPr>
          <w:sz w:val="20"/>
          <w:szCs w:val="20"/>
          <w:color w:val="auto"/>
        </w:rPr>
      </w:pPr>
    </w:p>
    <w:p>
      <w:pPr>
        <w:ind w:left="980" w:hanging="292"/>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overseeing our accounting and financial reporting process;</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selecting, retaining and replacing our independent auditors and evaluating their qualifications, independence and performance;</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and approving scope of the annual audit and audit fees;</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monitoring rotation of partners of independent auditors on engagement team as required by law;</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discussing with management and independent auditors the results of annual audit and review of quarterly financial statements;</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reviewing adequacy and effectiveness of internal control policies and procedures;</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approving retention of independent auditors to perform any proposed permissible non-audit services;</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overseeing internal audit functions and annually reviewing audit committee charter and committee performance; and</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Our compensation committee is comprised of Mr. Saxe and Dr. Underdown, who serves as the committee chairman. Our compensation committee charter is available on our website. Under its charter, the compensation committee is primarily responsible for, among other things,</w:t>
      </w:r>
    </w:p>
    <w:p>
      <w:pPr>
        <w:spacing w:after="0" w:line="147" w:lineRule="exact"/>
        <w:rPr>
          <w:sz w:val="20"/>
          <w:szCs w:val="20"/>
          <w:color w:val="auto"/>
        </w:rPr>
      </w:pPr>
    </w:p>
    <w:p>
      <w:pPr>
        <w:jc w:val="both"/>
        <w:ind w:left="980" w:hanging="292"/>
        <w:spacing w:after="0" w:line="259"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213" w:lineRule="exact"/>
        <w:rPr>
          <w:rFonts w:ascii="Arial" w:cs="Arial" w:eastAsia="Arial" w:hAnsi="Arial"/>
          <w:sz w:val="18"/>
          <w:szCs w:val="18"/>
          <w:color w:val="auto"/>
        </w:rPr>
      </w:pPr>
    </w:p>
    <w:p>
      <w:pPr>
        <w:ind w:left="980" w:hanging="292"/>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Determining the objectives of our executive officer compensation programs;</w:t>
      </w:r>
    </w:p>
    <w:p>
      <w:pPr>
        <w:spacing w:after="0" w:line="252" w:lineRule="exact"/>
        <w:rPr>
          <w:rFonts w:ascii="Arial" w:cs="Arial" w:eastAsia="Arial" w:hAnsi="Arial"/>
          <w:sz w:val="18"/>
          <w:szCs w:val="18"/>
          <w:color w:val="auto"/>
        </w:rPr>
      </w:pPr>
    </w:p>
    <w:p>
      <w:pPr>
        <w:ind w:left="980" w:hanging="292"/>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Ensuring corporate performance measures and goals regarding executive officer compensation are set and determining the extent to which they are achieved and any related compensation earned;</w:t>
      </w:r>
    </w:p>
    <w:p>
      <w:pPr>
        <w:spacing w:after="0" w:line="197" w:lineRule="exact"/>
        <w:rPr>
          <w:rFonts w:ascii="Arial" w:cs="Arial" w:eastAsia="Arial" w:hAnsi="Arial"/>
          <w:sz w:val="18"/>
          <w:szCs w:val="18"/>
          <w:color w:val="auto"/>
        </w:rPr>
      </w:pPr>
    </w:p>
    <w:p>
      <w:pPr>
        <w:ind w:left="980" w:hanging="292"/>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Establishing goals and objectives relevant to CEO compensation, evaluating CEO performance in light of such goals and objectives, and determining CEO compensation based on the evaluation; and</w:t>
      </w:r>
    </w:p>
    <w:p>
      <w:pPr>
        <w:spacing w:after="0" w:line="197" w:lineRule="exact"/>
        <w:rPr>
          <w:rFonts w:ascii="Arial" w:cs="Arial" w:eastAsia="Arial" w:hAnsi="Arial"/>
          <w:sz w:val="18"/>
          <w:szCs w:val="18"/>
          <w:color w:val="auto"/>
        </w:rPr>
      </w:pPr>
    </w:p>
    <w:p>
      <w:pPr>
        <w:jc w:val="both"/>
        <w:ind w:left="980" w:hanging="292"/>
        <w:spacing w:after="0" w:line="264"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Endeavoring to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p>
      <w:pPr>
        <w:spacing w:after="0" w:line="208" w:lineRule="exact"/>
        <w:rPr>
          <w:rFonts w:ascii="Arial" w:cs="Arial" w:eastAsia="Arial" w:hAnsi="Arial"/>
          <w:sz w:val="18"/>
          <w:szCs w:val="18"/>
          <w:color w:val="auto"/>
        </w:rPr>
      </w:pPr>
    </w:p>
    <w:p>
      <w:pPr>
        <w:ind w:left="980" w:hanging="292"/>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approving any new equity compensation plan or any material change to an existing plan.</w:t>
      </w:r>
    </w:p>
    <w:p>
      <w:pPr>
        <w:spacing w:after="0" w:line="252" w:lineRule="exact"/>
        <w:rPr>
          <w:rFonts w:ascii="Arial" w:cs="Arial" w:eastAsia="Arial" w:hAnsi="Arial"/>
          <w:sz w:val="18"/>
          <w:szCs w:val="18"/>
          <w:color w:val="auto"/>
        </w:rPr>
      </w:pPr>
    </w:p>
    <w:p>
      <w:pPr>
        <w:ind w:left="980" w:hanging="292"/>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ectPr>
          <w:pgSz w:w="11900" w:h="16838" w:orient="portrait"/>
          <w:cols w:equalWidth="0" w:num="1">
            <w:col w:w="11420"/>
          </w:cols>
          <w:pgMar w:left="240" w:top="130" w:right="239" w:bottom="325"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325" w:gutter="0" w:footer="0" w:header="0"/>
          <w:type w:val="continuous"/>
        </w:sectPr>
      </w:pPr>
    </w:p>
    <w:bookmarkStart w:id="95" w:name="page96"/>
    <w:bookmarkEnd w:id="95"/>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Governance and Nominating Committee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181" w:lineRule="exact"/>
        <w:rPr>
          <w:sz w:val="20"/>
          <w:szCs w:val="20"/>
          <w:color w:val="auto"/>
        </w:rPr>
      </w:pPr>
    </w:p>
    <w:p>
      <w:pPr>
        <w:ind w:left="980" w:hanging="292"/>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Monitoring the size and composition of the board;</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the nominations or elections of our directors;</w:t>
      </w:r>
    </w:p>
    <w:p>
      <w:pPr>
        <w:spacing w:after="0" w:line="252" w:lineRule="exact"/>
        <w:rPr>
          <w:rFonts w:ascii="Arial" w:cs="Arial" w:eastAsia="Arial" w:hAnsi="Arial"/>
          <w:sz w:val="18"/>
          <w:szCs w:val="18"/>
          <w:color w:val="auto"/>
        </w:rPr>
      </w:pPr>
    </w:p>
    <w:p>
      <w:pPr>
        <w:ind w:left="980" w:hanging="292"/>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the adequacy of our corporate governance policies and procedures and our Code of Business Conduct and Ethics, and recommending any proposed changes to the board for approval; and</w:t>
      </w:r>
    </w:p>
    <w:p>
      <w:pPr>
        <w:spacing w:after="0" w:line="197" w:lineRule="exact"/>
        <w:rPr>
          <w:rFonts w:ascii="Arial" w:cs="Arial" w:eastAsia="Arial" w:hAnsi="Arial"/>
          <w:sz w:val="18"/>
          <w:szCs w:val="18"/>
          <w:color w:val="auto"/>
        </w:rPr>
      </w:pPr>
    </w:p>
    <w:p>
      <w:pPr>
        <w:ind w:left="980" w:hanging="292"/>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All potential candidates for director nominees, including candidates recommended by our stockholders, are reviewed in the context of the current composition of the Board, our operating requirements and the long-term interests of our stockholders. In conducting this assessment, the Committee considers such factors as it deems appropriate given our current needs and those of our Board, to maintain a balance of expertise, experience and capability. The Corporate Governance and Nominating Committee reviews directors’ overall service during their term, including the number of meetings attended, their level of participation and quality of performance. The Committee also determines whether the nominee would be independent, which determination is based upon applicable NASDAQ or other exchange listing standards, applicable SEC rules and regulations and the advice of counsel, if necessary.</w:t>
      </w:r>
    </w:p>
    <w:p>
      <w:pPr>
        <w:spacing w:after="0" w:line="1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Corporate Governance and Nominating Committee will consider director candidates recommended by stockholders in the same manner as it considers recommendations from current directors or other sources. Stockholders who wish to recommend individuals for consideration by the Corporate Governance and Nominating Committee to become nominees for election to the Board may do so by delivering a written recommendation to the Company Secretary at the following address: 343 Allerton Avenue, South San Francisco, CA 94080 at least 60 days prior, but no more than 90 days prior, to the anniversary date of the last annual meeting of stockholders. Submissions should include the full name, address and age of the proposed nominee, a description of the proposed nominee’s business experience for at least the previous five years, complete biographical information, a description of the proposed nominee’s qualifications as a director, and the number of shares of our stock beneficially owned by the proposed nominee. The nominating stockholder must also provide his or her name and address of record and the number of shares of our stock that he or she owns beneficially or of record.</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Corporate Governance and Nominating Committee has not established specific minimum qualifications for recommended nominees or specific qualities or skills for one or more of our directors to possess, other than as are necessary to meet any requirements under rules and regulations (including any stock exchange rules) applicable to the Company. The Corporate Governance and Nominating Committee uses a subjective process for identifying and evaluating nominees for director, based on the information available to, and the subjective judgments of, the members of the Committee and our then current needs for the Board as a whole. Although it does not have a formal policy regarding the consideration of diversity, the Corporate Governance and Nominating Committee considers the needs for the Board as a whole when identifying and evaluating nominees and, among other things, considers diversity in background, age, experience, qualifications, attributes and skills in identifying nominees.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Corporate Governance and Nominating Committee’s process for identification and evaluation of director candidates is generally as follows:</w:t>
      </w:r>
    </w:p>
    <w:p>
      <w:pPr>
        <w:spacing w:after="0" w:line="264" w:lineRule="exact"/>
        <w:rPr>
          <w:sz w:val="20"/>
          <w:szCs w:val="20"/>
          <w:color w:val="auto"/>
        </w:rPr>
      </w:pPr>
    </w:p>
    <w:p>
      <w:pPr>
        <w:jc w:val="both"/>
        <w:ind w:firstLine="656"/>
        <w:spacing w:after="0" w:line="264" w:lineRule="auto"/>
        <w:tabs>
          <w:tab w:leader="none" w:pos="901"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event of a vacancy or the establishment of a new directorship on the Board, candidate(s) for director nominee(s) shall be presented to the full Board for consideration and approval upon the recommendation of no less than a majority of the independent members of the Board (as independence is defined under any stock exchange rules that may be applicable to the Company at such time).</w:t>
      </w:r>
    </w:p>
    <w:p>
      <w:pPr>
        <w:spacing w:after="0" w:line="208" w:lineRule="exact"/>
        <w:rPr>
          <w:rFonts w:ascii="Arial" w:cs="Arial" w:eastAsia="Arial" w:hAnsi="Arial"/>
          <w:sz w:val="18"/>
          <w:szCs w:val="18"/>
          <w:color w:val="auto"/>
        </w:rPr>
      </w:pPr>
    </w:p>
    <w:p>
      <w:pPr>
        <w:jc w:val="both"/>
        <w:ind w:firstLine="656"/>
        <w:spacing w:after="0" w:line="255" w:lineRule="auto"/>
        <w:tabs>
          <w:tab w:leader="none" w:pos="917"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believe that the continuing service of qualified incumbents promotes stability and continuity in the boardroom, contributing to the Board's ability to work as a collective body, while giving us the benefit of the familiarity and insight into our affairs that our directors have accumulated during their tenure. Accordingly, the process for identifying nominees reflects our practice of re-nominating incumbent directors who continue to satisfy the criteria for membership on the Board, whom the independent members of the Board believe continue to make important contributions to the Board and who consent to continue their service on the Board. Consistent with this policy, in considering candidates for election at annual meetings of stockholders, the independent members of the Board will first determine the incumbent directors whose terms expire at the upcoming meeting and who wish to continue their service on the Board.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6" w:name="page97"/>
    <w:bookmarkEnd w:id="96"/>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56"/>
        <w:spacing w:after="0" w:line="257" w:lineRule="auto"/>
        <w:tabs>
          <w:tab w:leader="none" w:pos="9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independent members of the Board will evaluate the qualifications and performance of the incumbent directors that desire to continue their service. In particular, as to each such incumbent director, the independent members of the Board will (i) consider if the director continues to satisfy the minimum qualifications for director candidates adopted by the independent members of the Board, (ii) review any assessments of the performance of the director during the preceding term made by the Board, and (iii) determine whether there exist any special, countervailing considerations against re-nomination of the director.</w:t>
      </w:r>
    </w:p>
    <w:p>
      <w:pPr>
        <w:spacing w:after="0" w:line="215" w:lineRule="exact"/>
        <w:rPr>
          <w:rFonts w:ascii="Arial" w:cs="Arial" w:eastAsia="Arial" w:hAnsi="Arial"/>
          <w:sz w:val="18"/>
          <w:szCs w:val="18"/>
          <w:color w:val="auto"/>
        </w:rPr>
      </w:pPr>
    </w:p>
    <w:p>
      <w:pPr>
        <w:jc w:val="both"/>
        <w:ind w:firstLine="656"/>
        <w:spacing w:after="0" w:line="279" w:lineRule="auto"/>
        <w:tabs>
          <w:tab w:leader="none" w:pos="9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the independent members of the Board determine that an incumbent director consenting to re-nomination continues to be qualified and has satisfactorily performed his or her duties as director during the preceding term, and there exist no reasons, including considerations relating to the composition and functional needs of the Board as a whole, why in the view of the independent members of the Board the incumbent should not be re-nominated, the independent members of the Board will, absent special circumstances, propose the incumbent director for reelection.</w:t>
      </w:r>
    </w:p>
    <w:p>
      <w:pPr>
        <w:spacing w:after="0" w:line="198" w:lineRule="exact"/>
        <w:rPr>
          <w:rFonts w:ascii="Arial" w:cs="Arial" w:eastAsia="Arial" w:hAnsi="Arial"/>
          <w:sz w:val="17"/>
          <w:szCs w:val="17"/>
          <w:color w:val="auto"/>
        </w:rPr>
      </w:pPr>
    </w:p>
    <w:p>
      <w:pPr>
        <w:ind w:firstLine="656"/>
        <w:spacing w:after="0" w:line="277" w:lineRule="auto"/>
        <w:tabs>
          <w:tab w:leader="none" w:pos="89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process by the independent members of the Board for identifying and evaluating nominees for director, including nominees recommended by a stockholder, involves (with or without the assistance of a retained search firm):</w:t>
      </w:r>
    </w:p>
    <w:p>
      <w:pPr>
        <w:spacing w:after="0" w:line="170" w:lineRule="exact"/>
        <w:rPr>
          <w:rFonts w:ascii="Arial" w:cs="Arial" w:eastAsia="Arial" w:hAnsi="Arial"/>
          <w:sz w:val="18"/>
          <w:szCs w:val="18"/>
          <w:color w:val="auto"/>
        </w:rPr>
      </w:pPr>
    </w:p>
    <w:p>
      <w:pPr>
        <w:ind w:left="920" w:hanging="259"/>
        <w:spacing w:after="0"/>
        <w:tabs>
          <w:tab w:leader="none" w:pos="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compiling names of potentially eligible candidates;</w:t>
      </w:r>
    </w:p>
    <w:p>
      <w:pPr>
        <w:spacing w:after="0" w:line="23" w:lineRule="exact"/>
        <w:rPr>
          <w:rFonts w:ascii="Arial" w:cs="Arial" w:eastAsia="Arial" w:hAnsi="Arial"/>
          <w:sz w:val="18"/>
          <w:szCs w:val="18"/>
          <w:color w:val="auto"/>
        </w:rPr>
      </w:pPr>
    </w:p>
    <w:p>
      <w:pPr>
        <w:ind w:left="920" w:hanging="259"/>
        <w:spacing w:after="0"/>
        <w:tabs>
          <w:tab w:leader="none" w:pos="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conducting background and reference checks;</w:t>
      </w:r>
    </w:p>
    <w:p>
      <w:pPr>
        <w:spacing w:after="0" w:line="9" w:lineRule="exact"/>
        <w:rPr>
          <w:rFonts w:ascii="Arial" w:cs="Arial" w:eastAsia="Arial" w:hAnsi="Arial"/>
          <w:sz w:val="18"/>
          <w:szCs w:val="18"/>
          <w:color w:val="auto"/>
        </w:rPr>
      </w:pPr>
    </w:p>
    <w:p>
      <w:pPr>
        <w:ind w:left="920" w:hanging="259"/>
        <w:spacing w:after="0"/>
        <w:tabs>
          <w:tab w:leader="none" w:pos="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conducting interviews with candidates and/or others;</w:t>
      </w:r>
    </w:p>
    <w:p>
      <w:pPr>
        <w:spacing w:after="0" w:line="9" w:lineRule="exact"/>
        <w:rPr>
          <w:rFonts w:ascii="Arial" w:cs="Arial" w:eastAsia="Arial" w:hAnsi="Arial"/>
          <w:sz w:val="18"/>
          <w:szCs w:val="18"/>
          <w:color w:val="auto"/>
        </w:rPr>
      </w:pPr>
    </w:p>
    <w:p>
      <w:pPr>
        <w:ind w:left="920" w:hanging="259"/>
        <w:spacing w:after="0"/>
        <w:tabs>
          <w:tab w:leader="none" w:pos="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meeting to consider and approve final candidates; and, as appropriate,</w:t>
      </w:r>
    </w:p>
    <w:p>
      <w:pPr>
        <w:spacing w:after="0" w:line="9" w:lineRule="exact"/>
        <w:rPr>
          <w:rFonts w:ascii="Arial" w:cs="Arial" w:eastAsia="Arial" w:hAnsi="Arial"/>
          <w:sz w:val="18"/>
          <w:szCs w:val="18"/>
          <w:color w:val="auto"/>
        </w:rPr>
      </w:pPr>
    </w:p>
    <w:p>
      <w:pPr>
        <w:ind w:left="920" w:hanging="259"/>
        <w:spacing w:after="0"/>
        <w:tabs>
          <w:tab w:leader="none" w:pos="9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preparing and presenting to the full Board an analysis with regard to particular recommended candidates.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search process, the independent directors shall endeavor to identify director nominees who have the highest personal and professional integrity, have demonstrated exceptional ability and judgment, and, together with other director nominees and current Board members, shall effectively serve the long-term interests of our stockholders and contribute to our overall corporate goals.</w:t>
      </w:r>
    </w:p>
    <w:p>
      <w:pPr>
        <w:spacing w:after="0" w:line="208" w:lineRule="exact"/>
        <w:rPr>
          <w:sz w:val="20"/>
          <w:szCs w:val="20"/>
          <w:color w:val="auto"/>
        </w:rPr>
      </w:pPr>
    </w:p>
    <w:p>
      <w:pPr>
        <w:ind w:firstLine="656"/>
        <w:spacing w:after="0" w:line="277"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considering potential new directors, the independent members of the Board will review individuals from various disciplines and backgrounds. Among the qualifications to be considered in the selection of candidates are:</w:t>
      </w:r>
    </w:p>
    <w:p>
      <w:pPr>
        <w:spacing w:after="0" w:line="170" w:lineRule="exact"/>
        <w:rPr>
          <w:sz w:val="20"/>
          <w:szCs w:val="20"/>
          <w:color w:val="auto"/>
        </w:rPr>
      </w:pPr>
    </w:p>
    <w:p>
      <w:pPr>
        <w:ind w:left="920" w:hanging="259"/>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23" w:lineRule="exact"/>
        <w:rPr>
          <w:rFonts w:ascii="Arial" w:cs="Arial" w:eastAsia="Arial" w:hAnsi="Arial"/>
          <w:sz w:val="18"/>
          <w:szCs w:val="18"/>
          <w:color w:val="auto"/>
        </w:rPr>
      </w:pPr>
    </w:p>
    <w:p>
      <w:pPr>
        <w:ind w:left="920" w:hanging="259"/>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broad experience in business, finance or administration;</w:t>
      </w:r>
    </w:p>
    <w:p>
      <w:pPr>
        <w:spacing w:after="0" w:line="9" w:lineRule="exact"/>
        <w:rPr>
          <w:rFonts w:ascii="Arial" w:cs="Arial" w:eastAsia="Arial" w:hAnsi="Arial"/>
          <w:sz w:val="18"/>
          <w:szCs w:val="18"/>
          <w:color w:val="auto"/>
        </w:rPr>
      </w:pPr>
    </w:p>
    <w:p>
      <w:pPr>
        <w:ind w:left="920" w:hanging="259"/>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familiarity with our industry; and</w:t>
      </w:r>
    </w:p>
    <w:p>
      <w:pPr>
        <w:spacing w:after="0" w:line="9" w:lineRule="exact"/>
        <w:rPr>
          <w:rFonts w:ascii="Arial" w:cs="Arial" w:eastAsia="Arial" w:hAnsi="Arial"/>
          <w:sz w:val="18"/>
          <w:szCs w:val="18"/>
          <w:color w:val="auto"/>
        </w:rPr>
      </w:pPr>
    </w:p>
    <w:p>
      <w:pPr>
        <w:ind w:left="920" w:hanging="259"/>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prominence and reputation.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We have adopted a Code of Business Conduct and Ethics applicable to our employees, officers and directors. Our Code of Business Conduct and Ethics is available on our website at </w:t>
      </w:r>
      <w:r>
        <w:rPr>
          <w:rFonts w:ascii="Arial" w:cs="Arial" w:eastAsia="Arial" w:hAnsi="Arial"/>
          <w:sz w:val="18"/>
          <w:szCs w:val="18"/>
          <w:u w:val="single" w:color="auto"/>
          <w:color w:val="auto"/>
        </w:rPr>
        <w:t>www.vistagen.com</w:t>
      </w:r>
      <w:r>
        <w:rPr>
          <w:rFonts w:ascii="Arial" w:cs="Arial" w:eastAsia="Arial" w:hAnsi="Arial"/>
          <w:sz w:val="18"/>
          <w:szCs w:val="18"/>
          <w:color w:val="auto"/>
        </w:rPr>
        <w:t>. We intend to disclose any future amendments to certain provisions of our Code of Business Conduct and Ethics, or waivers of these provisions, on our website or in filings with the SEC under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Board of Directors, Committee and Stockholder Meetings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met two times and acted by unanimous written consent six times during the fiscal year ended March 31, 2015. Our Audit Committee met four times and our Compensation Committee requested action by the entire Board of Directors for grants of warrants and the modification of certain warrants during the same period. Each director serving during fiscal 2015 attended all of the meetings of the Board and the committees of the Board upon which such director served.</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 formal policy regarding attendance by members of the Board at our annual meeting of stockholders, but directors are encouraged to attend. We did not hold an annual meeting of stockholders during our fiscal year ended March 31,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Compensation Committee consists of Dr. Underdown and Mr. Saxe, each of whom is a non-employee director. Neither member of the Compensation Committee has a relationship that would constitute an interlocking relationship with executive officers or directors of another entity.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16 Beneficial Ownership Reporting Compliance</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16(a) of the Exchange Act requires our officers, directors and persons who beneficially own more than ten percent of our common stock (collectively, </w:t>
      </w:r>
      <w:r>
        <w:rPr>
          <w:rFonts w:ascii="Arial" w:cs="Arial" w:eastAsia="Arial" w:hAnsi="Arial"/>
          <w:sz w:val="17"/>
          <w:szCs w:val="17"/>
          <w:i w:val="1"/>
          <w:iCs w:val="1"/>
          <w:color w:val="auto"/>
        </w:rPr>
        <w:t>Reporting Persons</w:t>
      </w:r>
      <w:r>
        <w:rPr>
          <w:rFonts w:ascii="Arial" w:cs="Arial" w:eastAsia="Arial" w:hAnsi="Arial"/>
          <w:sz w:val="17"/>
          <w:szCs w:val="17"/>
          <w:color w:val="auto"/>
        </w:rPr>
        <w:t>) to file reports of ownership on Form 3 and changes in ownership on Form 4 or Form 5 with the Commission. The Reporting Persons are also required by SEC rules to furnish us with copies of all reports that they file pursuant to Section 16(a). We believe that during our fiscal year ended March 31, 2015, all of the Reporting Persons complied with all applicable reporting requirements.</w:t>
      </w:r>
    </w:p>
    <w:p>
      <w:pPr>
        <w:sectPr>
          <w:pgSz w:w="11900" w:h="16838" w:orient="portrait"/>
          <w:cols w:equalWidth="0" w:num="1">
            <w:col w:w="11420"/>
          </w:cols>
          <w:pgMar w:left="240" w:top="130"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97" w:name="page98"/>
    <w:bookmarkEnd w:id="97"/>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Compensation Objectives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compensation practices are designed to attract key employees and to retain, motivate and reward our executive officers for their performance and contribution to our long-term success. Our Board of Directors, through the Compensation Committee, seeks to compensate our executive officers by combining short and long-term cash and equity incentives. It also seeks to reward the achievement of corporate and individual performance objectives, and to align executive officers’ incentives with shareholder value creation. When possible, the Compensation Committee seeks to tie individual goals to the area of the executive officer’s primary responsibility. These goals may include the achievement of specific financial or business development goals. Also, when possible and appropriate taking into account the Company’s financial condition and other related facts and circumstances, the Compensation Committee seeks to set performance goals that reach across all business areas and include achievements in finance/business development and corporate development.</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makes decisions regarding salaries, annual bonuses, if any, and equity incentive compensation for our executive officers, approves corporate goals and objectives relevant to the compensation of the Chief Executive Officer and our other executive officers. The Compensation Committee solicits input from our Chief Executive Officer regarding the performance of our other executive officers. Finally, the Compensation Committee also administers our incentive compensation and benefit plans.</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no formal policy for a specific allocation between current and long-term compensation, or cash and non-cash compensation, when possible and appropriate taking into account the Company’s financial condition and other related facts and circumstances, we seek to implement a pay mix for our officers with a relatively equal balance of both, providing a competitive salary with a significant portion of compensation awarded on both corporate and personal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general rule, and when possible and appropriate taking into account the Company’s financial condition and other related facts and circumstances, our compensation consists primarily of three elements: base salary, annual bonus and long-term equity incentives. We describe each element of compensation in more detail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 salaries for our executive officers are established based on the scope of their responsibilities and their prior relevant experience, taking into account competitive market compensation paid by other companies in our industry for similar positions and the overall market demand for such executives at the time of hire. An executive officer’s base salary is also determined by reviewing the executive officer’s other compensation to ensure that the executive officer’s total compensation is in line with our overall compensation philosophy.</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Base salaries are reviewed annually and increased for merit reasons, based on the executive officers’ success in meeting or exceeding individual objectives. Additionally, we adjust base salaries as warranted throughout the year for promotions or other changes in the scope or breadth of an executive officer’s role or responsibilities. As indicated in the Summary Compensation Table following, to conserve our cash resources during fiscal 2015 and 2014 the cash amounts of annual base salary that we paid to our executives was significantly less than their stated annual base salary rates.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Compensation Committee assesses the level of the executive officer’s achievement of meeting individual goals, as well as that executive officer’s contribution towards our corporate-wide goals. The amount of the cash bonus depends on the level of achievement of the individual performance goals, with a target bonus generally set as a percentage of base salary and based on the achievement of pre-determined milestones. To conserve our cash resources, our management team did not seek, and our Compensation Committee did not award, cash bonuses to executive officers during fiscal 2014 or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Compensation Committee believes that to attract and retain management, key employees and non-management directors the compensation paid to these persons should include, in addition to base salary and potential annual cash incentives, equity based compensation that is competitive with peer companies. The Compensation Committee determines the amount and terms of equity based compensation granted under our stock option plans or pursuant to other awards made to our executives and key employees.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8" w:name="page99"/>
    <w:bookmarkEnd w:id="98"/>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information regarding the compensation of our Named Executive Officers (</w:t>
      </w:r>
      <w:r>
        <w:rPr>
          <w:rFonts w:ascii="Arial" w:cs="Arial" w:eastAsia="Arial" w:hAnsi="Arial"/>
          <w:sz w:val="18"/>
          <w:szCs w:val="18"/>
          <w:i w:val="1"/>
          <w:iCs w:val="1"/>
          <w:color w:val="auto"/>
        </w:rPr>
        <w:t>NEO’s</w:t>
      </w:r>
      <w:r>
        <w:rPr>
          <w:rFonts w:ascii="Arial" w:cs="Arial" w:eastAsia="Arial" w:hAnsi="Arial"/>
          <w:sz w:val="18"/>
          <w:szCs w:val="18"/>
          <w:color w:val="auto"/>
        </w:rPr>
        <w:t>) for services performed in the fiscal years ended March 31, 2015 and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Option and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Warrant</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All Other</w:t>
            </w: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Fiscal</w:t>
            </w:r>
          </w:p>
        </w:tc>
        <w:tc>
          <w:tcPr>
            <w:tcW w:w="1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Salary</w:t>
            </w: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Bonus</w:t>
            </w:r>
          </w:p>
        </w:tc>
        <w:tc>
          <w:tcPr>
            <w:tcW w:w="220" w:type="dxa"/>
            <w:vAlign w:val="bottom"/>
          </w:tcPr>
          <w:p>
            <w:pPr>
              <w:spacing w:after="0"/>
              <w:rPr>
                <w:sz w:val="18"/>
                <w:szCs w:val="18"/>
                <w:color w:val="auto"/>
              </w:rPr>
            </w:pPr>
          </w:p>
        </w:tc>
        <w:tc>
          <w:tcPr>
            <w:tcW w:w="1460" w:type="dxa"/>
            <w:vAlign w:val="bottom"/>
            <w:gridSpan w:val="2"/>
          </w:tcPr>
          <w:p>
            <w:pPr>
              <w:jc w:val="center"/>
              <w:ind w:right="300"/>
              <w:spacing w:after="0" w:line="216" w:lineRule="exact"/>
              <w:rPr>
                <w:sz w:val="20"/>
                <w:szCs w:val="20"/>
                <w:color w:val="auto"/>
              </w:rPr>
            </w:pPr>
            <w:r>
              <w:rPr>
                <w:rFonts w:ascii="Arial" w:cs="Arial" w:eastAsia="Arial" w:hAnsi="Arial"/>
                <w:sz w:val="18"/>
                <w:szCs w:val="18"/>
                <w:b w:val="1"/>
                <w:bCs w:val="1"/>
                <w:color w:val="auto"/>
                <w:w w:val="84"/>
              </w:rPr>
              <w:t xml:space="preserve">Awards </w:t>
            </w:r>
            <w:r>
              <w:rPr>
                <w:rFonts w:ascii="Arial" w:cs="Arial" w:eastAsia="Arial" w:hAnsi="Arial"/>
                <w:sz w:val="25"/>
                <w:szCs w:val="25"/>
                <w:b w:val="1"/>
                <w:bCs w:val="1"/>
                <w:color w:val="auto"/>
                <w:w w:val="84"/>
                <w:vertAlign w:val="superscript"/>
              </w:rPr>
              <w:t>(10)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tcPr>
          <w:p>
            <w:pPr>
              <w:ind w:left="600"/>
              <w:spacing w:after="0"/>
              <w:rPr>
                <w:sz w:val="20"/>
                <w:szCs w:val="20"/>
                <w:color w:val="auto"/>
              </w:rPr>
            </w:pPr>
            <w:r>
              <w:rPr>
                <w:rFonts w:ascii="Arial" w:cs="Arial" w:eastAsia="Arial" w:hAnsi="Arial"/>
                <w:sz w:val="18"/>
                <w:szCs w:val="18"/>
                <w:b w:val="1"/>
                <w:bCs w:val="1"/>
                <w:color w:val="auto"/>
              </w:rPr>
              <w:t>Name and Principal Position</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2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Shawn K. Singh, J.D. </w:t>
            </w:r>
            <w:r>
              <w:rPr>
                <w:rFonts w:ascii="Arial" w:cs="Arial" w:eastAsia="Arial" w:hAnsi="Arial"/>
                <w:sz w:val="25"/>
                <w:szCs w:val="25"/>
                <w:color w:val="auto"/>
                <w:vertAlign w:val="superscript"/>
              </w:rPr>
              <w:t>(1)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347,500</w:t>
            </w:r>
            <w:r>
              <w:rPr>
                <w:rFonts w:ascii="Arial" w:cs="Arial" w:eastAsia="Arial" w:hAnsi="Arial"/>
                <w:sz w:val="12"/>
                <w:szCs w:val="12"/>
                <w:color w:val="auto"/>
              </w:rPr>
              <w:t>(4)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688,050</w:t>
            </w:r>
            <w:r>
              <w:rPr>
                <w:rFonts w:ascii="Arial" w:cs="Arial" w:eastAsia="Arial" w:hAnsi="Arial"/>
                <w:sz w:val="12"/>
                <w:szCs w:val="12"/>
                <w:color w:val="auto"/>
              </w:rPr>
              <w:t>(11)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1,035,550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250,000</w:t>
            </w:r>
            <w:r>
              <w:rPr>
                <w:rFonts w:ascii="Arial" w:cs="Arial" w:eastAsia="Arial" w:hAnsi="Arial"/>
                <w:sz w:val="12"/>
                <w:szCs w:val="12"/>
                <w:color w:val="auto"/>
              </w:rPr>
              <w:t>(5)</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120"/>
              <w:spacing w:after="0"/>
              <w:rPr>
                <w:sz w:val="20"/>
                <w:szCs w:val="20"/>
                <w:color w:val="auto"/>
              </w:rPr>
            </w:pPr>
            <w:r>
              <w:rPr>
                <w:rFonts w:ascii="Arial" w:cs="Arial" w:eastAsia="Arial" w:hAnsi="Arial"/>
                <w:sz w:val="18"/>
                <w:szCs w:val="18"/>
                <w:color w:val="auto"/>
              </w:rPr>
              <w:t>159,802</w:t>
            </w:r>
            <w:r>
              <w:rPr>
                <w:rFonts w:ascii="Arial" w:cs="Arial" w:eastAsia="Arial" w:hAnsi="Arial"/>
                <w:sz w:val="12"/>
                <w:szCs w:val="12"/>
                <w:color w:val="auto"/>
              </w:rPr>
              <w:t>(12)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409,802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line="216"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5"/>
                <w:szCs w:val="25"/>
                <w:color w:val="auto"/>
                <w:vertAlign w:val="superscript"/>
              </w:rPr>
              <w:t>(2)</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305,000</w:t>
            </w:r>
            <w:r>
              <w:rPr>
                <w:rFonts w:ascii="Arial" w:cs="Arial" w:eastAsia="Arial" w:hAnsi="Arial"/>
                <w:sz w:val="12"/>
                <w:szCs w:val="12"/>
                <w:color w:val="auto"/>
              </w:rPr>
              <w:t>(6)</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120"/>
              <w:spacing w:after="0"/>
              <w:rPr>
                <w:sz w:val="20"/>
                <w:szCs w:val="20"/>
                <w:color w:val="auto"/>
              </w:rPr>
            </w:pPr>
            <w:r>
              <w:rPr>
                <w:rFonts w:ascii="Arial" w:cs="Arial" w:eastAsia="Arial" w:hAnsi="Arial"/>
                <w:sz w:val="18"/>
                <w:szCs w:val="18"/>
                <w:color w:val="auto"/>
              </w:rPr>
              <w:t>458,700</w:t>
            </w:r>
            <w:r>
              <w:rPr>
                <w:rFonts w:ascii="Arial" w:cs="Arial" w:eastAsia="Arial" w:hAnsi="Arial"/>
                <w:sz w:val="12"/>
                <w:szCs w:val="12"/>
                <w:color w:val="auto"/>
              </w:rPr>
              <w:t>(11)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763,700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Chief Scientific Officer</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250,000</w:t>
            </w:r>
            <w:r>
              <w:rPr>
                <w:rFonts w:ascii="Arial" w:cs="Arial" w:eastAsia="Arial" w:hAnsi="Arial"/>
                <w:sz w:val="12"/>
                <w:szCs w:val="12"/>
                <w:color w:val="auto"/>
              </w:rPr>
              <w:t>(7)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102,353</w:t>
            </w:r>
            <w:r>
              <w:rPr>
                <w:rFonts w:ascii="Arial" w:cs="Arial" w:eastAsia="Arial" w:hAnsi="Arial"/>
                <w:sz w:val="12"/>
                <w:szCs w:val="12"/>
                <w:color w:val="auto"/>
              </w:rPr>
              <w:t>(12)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5"/>
                <w:szCs w:val="25"/>
                <w:color w:val="auto"/>
                <w:vertAlign w:val="superscript"/>
              </w:rPr>
              <w:t>(3)</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250,000</w:t>
            </w:r>
            <w:r>
              <w:rPr>
                <w:rFonts w:ascii="Arial" w:cs="Arial" w:eastAsia="Arial" w:hAnsi="Arial"/>
                <w:sz w:val="12"/>
                <w:szCs w:val="12"/>
                <w:color w:val="auto"/>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229,350</w:t>
            </w:r>
            <w:r>
              <w:rPr>
                <w:rFonts w:ascii="Arial" w:cs="Arial" w:eastAsia="Arial" w:hAnsi="Arial"/>
                <w:sz w:val="12"/>
                <w:szCs w:val="12"/>
                <w:color w:val="auto"/>
              </w:rPr>
              <w:t>(11)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479,350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line="201" w:lineRule="exact"/>
              <w:rPr>
                <w:sz w:val="20"/>
                <w:szCs w:val="20"/>
                <w:color w:val="auto"/>
              </w:rPr>
            </w:pPr>
            <w:r>
              <w:rPr>
                <w:rFonts w:ascii="Arial" w:cs="Arial" w:eastAsia="Arial" w:hAnsi="Arial"/>
                <w:sz w:val="18"/>
                <w:szCs w:val="18"/>
                <w:i w:val="1"/>
                <w:iCs w:val="1"/>
                <w:color w:val="auto"/>
              </w:rPr>
              <w:t>Vice President, Chief Financial Officer,</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i w:val="1"/>
                <w:iCs w:val="1"/>
                <w:color w:val="auto"/>
              </w:rPr>
              <w:t>Secretary</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200,000</w:t>
            </w:r>
            <w:r>
              <w:rPr>
                <w:rFonts w:ascii="Arial" w:cs="Arial" w:eastAsia="Arial" w:hAnsi="Arial"/>
                <w:sz w:val="12"/>
                <w:szCs w:val="12"/>
                <w:color w:val="auto"/>
              </w:rPr>
              <w:t>(9)</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120"/>
              <w:spacing w:after="0"/>
              <w:rPr>
                <w:sz w:val="20"/>
                <w:szCs w:val="20"/>
                <w:color w:val="auto"/>
              </w:rPr>
            </w:pPr>
            <w:r>
              <w:rPr>
                <w:rFonts w:ascii="Arial" w:cs="Arial" w:eastAsia="Arial" w:hAnsi="Arial"/>
                <w:sz w:val="18"/>
                <w:szCs w:val="18"/>
                <w:color w:val="auto"/>
              </w:rPr>
              <w:t>36,846</w:t>
            </w:r>
            <w:r>
              <w:rPr>
                <w:rFonts w:ascii="Arial" w:cs="Arial" w:eastAsia="Arial" w:hAnsi="Arial"/>
                <w:sz w:val="12"/>
                <w:szCs w:val="12"/>
                <w:color w:val="auto"/>
              </w:rPr>
              <w:t>(12)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236,846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80" w:hanging="572"/>
        <w:spacing w:after="0" w:line="269" w:lineRule="auto"/>
        <w:tabs>
          <w:tab w:leader="none" w:pos="5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Mr. Singh became VistaGen California’s Chief Executive Officer on August 20, 2009 and our Chief Executive Officer in May 2011, in connection with the Merger. In our fiscal years ended March 31, 2015 and 2014, Mr. Singh’s annual base cash salary, pursuant to his January 2010 employment agreement, was contractually set at $347,500. However, to conserve cash for our operations during those years, Mr. Singh voluntarily agreed to receive cash payments of less than his contractual base cash salary. Further, in fiscal 2014 Mr. Singh voluntarily reduced his base cash salary to the amount indicated above. The figures reported above reflect the amount of Mr. Singh’s salary that we expensed for accounting purposes in our financial statements included in this prospectus for the respective fiscal years. As discussed in notes (4) and (5) below, only $82,813 and $125,000 was actually paid in cash to Mr. Singh in our fiscal years ended March 31, 2015 and 2014, respectively. The difference between the amounts expensed for accounting purposes and the amounts actually paid to Mr. Singh has been accrued for payment in the future. Additionally, pursuant to his employment agreement, Mr. Singh is eligible to receive an annual cash incentive bonus of up to fifty percent (50%) of his base cash salary. Again, to conserve cash for our operations during our fiscal years ended March 31, 2015 and 2014, Mr. Singh voluntarily refrained from receiving any cash bonus.</w:t>
      </w:r>
    </w:p>
    <w:p>
      <w:pPr>
        <w:spacing w:after="0" w:line="182" w:lineRule="exact"/>
        <w:rPr>
          <w:rFonts w:ascii="Arial" w:cs="Arial" w:eastAsia="Arial" w:hAnsi="Arial"/>
          <w:sz w:val="17"/>
          <w:szCs w:val="17"/>
          <w:color w:val="auto"/>
        </w:rPr>
      </w:pPr>
    </w:p>
    <w:p>
      <w:pPr>
        <w:jc w:val="both"/>
        <w:ind w:left="580" w:hanging="572"/>
        <w:spacing w:after="0" w:line="269" w:lineRule="auto"/>
        <w:tabs>
          <w:tab w:leader="none" w:pos="5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2015 and 2014, Dr. Snodgrass’ annual base cash salary, pursuant to his January 2010 employment agreement, was contractually set at $305,000. However, to conserve cash for our operations during those years, Dr. Snodgrass voluntarily agreed to receive cash payments of less than his contractual base cash salary. Further, in fiscal 2014 Dr. Snodgrass voluntarily reduced his base cash salary to the amount indicated. The figures reported above reflect the amount of Dr. Snodgrass’ salary that we expensed for accounting purposes in our financial statements included in this prospectus for the respective fiscal years. As discussed in notes (6) and (7) below, only $157,292 and $149,606 was actually paid in cash to Dr. Snodgrass in our fiscal years ended March 31, 2015 and 2014, respectively. The difference between the amounts expensed for accounting purposes and the amounts actually paid to Dr. Snodgrass has been accrued for payment in the future. Additionally, pursuant to his employment agreement, Dr. Snodgrass is eligible to receive an annual cash incentive bonus of up to fifty percent (50%) of his base cash salary. Again, to conserve cash for our operations during our fiscal years ended March 31, 2015 and 2014, Dr. Snodgrass voluntarily refrained from receiving any cash bonus.</w:t>
      </w:r>
    </w:p>
    <w:p>
      <w:pPr>
        <w:spacing w:after="0" w:line="179" w:lineRule="exact"/>
        <w:rPr>
          <w:rFonts w:ascii="Arial" w:cs="Arial" w:eastAsia="Arial" w:hAnsi="Arial"/>
          <w:sz w:val="17"/>
          <w:szCs w:val="17"/>
          <w:color w:val="auto"/>
        </w:rPr>
      </w:pPr>
    </w:p>
    <w:p>
      <w:pPr>
        <w:jc w:val="both"/>
        <w:ind w:left="580" w:hanging="572"/>
        <w:spacing w:after="0" w:line="290" w:lineRule="auto"/>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Mr. Dotson served as Chief Financial Officer on a part-time contract basis from September 19, 2011 through August 2012, at which time he became our full-time employee. In our fiscal years ended March 31, 2015 and 2014, Mr. Dotson’s annual base cash salary was $250,000 and $200,000, respectively. However, to conserve cash for our operations during those years, Mr. Dotson voluntarily agreed to receive cash payments of less than his base cash salary. The figures reported above reflect the amount of Mr. Dotson’s salary that we expensed for accounting purposes in our financial statements included in this prospectus for the respective fiscal years. As discussed in notes (8) and (9) below, only $153,917 and $143,333 was actually paid in cash to Mr. Dotson in our fiscal years ended March 31, 2015 and 2014, respectively. The difference between the amounts expensed for accounting purposes and the amounts actually paid to Mr. Dotson has been accrued for payment in the future. To conserve cash for our operations, Mr. Dotson did not receive a cash bonus in either of our fiscal years ended March 31, 2015 or 2014.</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9" w:name="page100"/>
    <w:bookmarkEnd w:id="99"/>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58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Singh received only $82,813 in cash compensation in our fiscal year ended March 31, 2015. The remaining balance has been accrued for future payment and remains unpaid at the date of this prospectus.</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Singh received only $125,000 in cash compensation in our fiscal year ended March 31, 2014. At March 31, 2014, the remaining balance was accrued for future payment and remained outstanding at March 31, 2015 and through the date of this prospectus.</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Dr. Snodgrass received only $157,292 in cash compensation in our fiscal year ended March 31, 2015 and the remaining balance has been accrued for future payment and remains unpaid at the date of this prospectus.</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Dr. Snodgrass received only $149,606 in cash compensation in our fiscal year ended March 31, 2014. At March 31, 2014, the remaining balance was accrued for future payment and remained outstanding at March 31, 2015 and through the date of this prospectus.</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Dotson received only $153,917 in cash compensation in our fiscal year ended March 31, 2015 and the remaining balance has been accrued for future payment and remains unpaid at the date of this prospectus.</w:t>
      </w:r>
    </w:p>
    <w:p>
      <w:pPr>
        <w:spacing w:after="0" w:line="17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Dotson received only $143,333 in cash compensation in our fiscal year ended March 31, 2014. At March 31, 2014, the remaining balance was accrued for future payment and remained outstanding at March 31, 2015 and through the date of this prospectus.</w:t>
      </w:r>
    </w:p>
    <w:p>
      <w:pPr>
        <w:spacing w:after="0" w:line="170" w:lineRule="exact"/>
        <w:rPr>
          <w:rFonts w:ascii="Arial" w:cs="Arial" w:eastAsia="Arial" w:hAnsi="Arial"/>
          <w:sz w:val="18"/>
          <w:szCs w:val="18"/>
          <w:color w:val="auto"/>
        </w:rPr>
      </w:pPr>
    </w:p>
    <w:p>
      <w:pPr>
        <w:jc w:val="both"/>
        <w:ind w:left="580" w:hanging="572"/>
        <w:spacing w:after="0" w:line="271" w:lineRule="auto"/>
        <w:tabs>
          <w:tab w:leader="none" w:pos="5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amounts in the Option and Warrant Awards column represent the aggregate grant date fair value of options or warrants to purchase restricted shares of our common stock awarded to Mr. Singh, Dr. Snodgrass and Mr. Dotson, or the effect of modifications to prior grants of options or warrants occurring during the fiscal year presented, computed in accordance with the Financial Accounting Standards Board’s Accounting Standards Codification Topic 718, Compensation – Stock Compensation ("</w:t>
      </w:r>
      <w:r>
        <w:rPr>
          <w:rFonts w:ascii="Arial" w:cs="Arial" w:eastAsia="Arial" w:hAnsi="Arial"/>
          <w:sz w:val="17"/>
          <w:szCs w:val="17"/>
          <w:i w:val="1"/>
          <w:iCs w:val="1"/>
          <w:color w:val="auto"/>
        </w:rPr>
        <w:t>ASC 718</w:t>
      </w:r>
      <w:r>
        <w:rPr>
          <w:rFonts w:ascii="Arial" w:cs="Arial" w:eastAsia="Arial" w:hAnsi="Arial"/>
          <w:sz w:val="17"/>
          <w:szCs w:val="17"/>
          <w:color w:val="auto"/>
        </w:rPr>
        <w:t>”). The amounts in this column do not represent any cash payments actually received by Mr. Singh, Dr. Snodgrass or Mr. Dotson with respect to any of such options or warrants to purchase restricted shares of our common stock awarded to them or modified during the periods presented. To date, Mr. Singh, Dr. Snodgrass and Mr. Dotson have not exercised any of such options or warrants to purchase common stock, and there can be no assurance that any of them will ever realize any of the ASC 718 grant date fair value amounts presented in the Option and Warrant Awards column.</w:t>
      </w:r>
    </w:p>
    <w:p>
      <w:pPr>
        <w:spacing w:after="0" w:line="178" w:lineRule="exact"/>
        <w:rPr>
          <w:rFonts w:ascii="Arial" w:cs="Arial" w:eastAsia="Arial" w:hAnsi="Arial"/>
          <w:sz w:val="17"/>
          <w:szCs w:val="17"/>
          <w:color w:val="auto"/>
        </w:rPr>
      </w:pPr>
    </w:p>
    <w:p>
      <w:pPr>
        <w:ind w:left="580" w:right="2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used the Black Scholes Option Pricing Model and the following assumptions for determining the grant date fair value of the warrants to purchase shares of our common stock granted in January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866140" cy="10979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66140" cy="1097915"/>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Market price per share</w:t>
            </w:r>
          </w:p>
        </w:tc>
        <w:tc>
          <w:tcPr>
            <w:tcW w:w="3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8.00</w:t>
            </w:r>
          </w:p>
        </w:tc>
      </w:tr>
      <w:tr>
        <w:trPr>
          <w:trHeight w:val="216"/>
        </w:trPr>
        <w:tc>
          <w:tcPr>
            <w:tcW w:w="6840" w:type="dxa"/>
            <w:vAlign w:val="bottom"/>
          </w:tcPr>
          <w:p>
            <w:pPr>
              <w:ind w:left="1380"/>
              <w:spacing w:after="0"/>
              <w:rPr>
                <w:sz w:val="20"/>
                <w:szCs w:val="20"/>
                <w:color w:val="auto"/>
              </w:rPr>
            </w:pPr>
            <w:r>
              <w:rPr>
                <w:rFonts w:ascii="Arial" w:cs="Arial" w:eastAsia="Arial" w:hAnsi="Arial"/>
                <w:sz w:val="18"/>
                <w:szCs w:val="18"/>
                <w:color w:val="auto"/>
              </w:rPr>
              <w:t>Exercise price per share</w:t>
            </w:r>
          </w:p>
        </w:tc>
        <w:tc>
          <w:tcPr>
            <w:tcW w:w="36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10.00</w:t>
            </w:r>
          </w:p>
        </w:tc>
      </w:tr>
      <w:tr>
        <w:trPr>
          <w:trHeight w:val="216"/>
        </w:trPr>
        <w:tc>
          <w:tcPr>
            <w:tcW w:w="68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Risk-free interest rate</w:t>
            </w:r>
          </w:p>
        </w:tc>
        <w:tc>
          <w:tcPr>
            <w:tcW w:w="3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16"/>
        </w:trPr>
        <w:tc>
          <w:tcPr>
            <w:tcW w:w="6840" w:type="dxa"/>
            <w:vAlign w:val="bottom"/>
          </w:tcPr>
          <w:p>
            <w:pPr>
              <w:ind w:left="1380"/>
              <w:spacing w:after="0"/>
              <w:rPr>
                <w:sz w:val="20"/>
                <w:szCs w:val="20"/>
                <w:color w:val="auto"/>
              </w:rPr>
            </w:pPr>
            <w:r>
              <w:rPr>
                <w:rFonts w:ascii="Arial" w:cs="Arial" w:eastAsia="Arial" w:hAnsi="Arial"/>
                <w:sz w:val="18"/>
                <w:szCs w:val="18"/>
                <w:color w:val="auto"/>
              </w:rPr>
              <w:t>Expected Term (years)</w:t>
            </w:r>
          </w:p>
        </w:tc>
        <w:tc>
          <w:tcPr>
            <w:tcW w:w="368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5.0</w:t>
            </w:r>
          </w:p>
        </w:tc>
      </w:tr>
      <w:tr>
        <w:trPr>
          <w:trHeight w:val="216"/>
        </w:trPr>
        <w:tc>
          <w:tcPr>
            <w:tcW w:w="6840" w:type="dxa"/>
            <w:vAlign w:val="bottom"/>
            <w:shd w:val="clear" w:color="auto" w:fill="CCEEFF"/>
          </w:tcPr>
          <w:p>
            <w:pPr>
              <w:ind w:left="1380"/>
              <w:spacing w:after="0"/>
              <w:rPr>
                <w:sz w:val="20"/>
                <w:szCs w:val="20"/>
                <w:color w:val="auto"/>
              </w:rPr>
            </w:pPr>
            <w:r>
              <w:rPr>
                <w:rFonts w:ascii="Arial" w:cs="Arial" w:eastAsia="Arial" w:hAnsi="Arial"/>
                <w:sz w:val="18"/>
                <w:szCs w:val="18"/>
                <w:color w:val="auto"/>
              </w:rPr>
              <w:t>Volatility</w:t>
            </w:r>
          </w:p>
        </w:tc>
        <w:tc>
          <w:tcPr>
            <w:tcW w:w="36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w:t>
            </w:r>
          </w:p>
        </w:tc>
      </w:tr>
      <w:tr>
        <w:trPr>
          <w:trHeight w:val="216"/>
        </w:trPr>
        <w:tc>
          <w:tcPr>
            <w:tcW w:w="6840" w:type="dxa"/>
            <w:vAlign w:val="bottom"/>
          </w:tcPr>
          <w:p>
            <w:pPr>
              <w:ind w:left="1380"/>
              <w:spacing w:after="0"/>
              <w:rPr>
                <w:sz w:val="20"/>
                <w:szCs w:val="20"/>
                <w:color w:val="auto"/>
              </w:rPr>
            </w:pPr>
            <w:r>
              <w:rPr>
                <w:rFonts w:ascii="Arial" w:cs="Arial" w:eastAsia="Arial" w:hAnsi="Arial"/>
                <w:sz w:val="18"/>
                <w:szCs w:val="18"/>
                <w:color w:val="auto"/>
              </w:rPr>
              <w:t>Dividend rate</w:t>
            </w:r>
          </w:p>
        </w:tc>
        <w:tc>
          <w:tcPr>
            <w:tcW w:w="36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68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840" w:type="dxa"/>
            <w:vAlign w:val="bottom"/>
          </w:tcPr>
          <w:p>
            <w:pPr>
              <w:ind w:left="1380"/>
              <w:spacing w:after="0"/>
              <w:rPr>
                <w:sz w:val="20"/>
                <w:szCs w:val="20"/>
                <w:color w:val="auto"/>
              </w:rPr>
            </w:pPr>
            <w:r>
              <w:rPr>
                <w:rFonts w:ascii="Arial" w:cs="Arial" w:eastAsia="Arial" w:hAnsi="Arial"/>
                <w:sz w:val="18"/>
                <w:szCs w:val="18"/>
                <w:color w:val="auto"/>
              </w:rPr>
              <w:t>Grant date fair value per share</w:t>
            </w:r>
          </w:p>
        </w:tc>
        <w:tc>
          <w:tcPr>
            <w:tcW w:w="36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4.59</w:t>
            </w:r>
          </w:p>
        </w:tc>
      </w:tr>
    </w:tbl>
    <w:p>
      <w:pPr>
        <w:spacing w:after="0" w:line="187"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Mr. Singh, Dr. Snodgrass and Mr. Dotson were granted warrants to purchase 150,000, 100,000 and 50,000 restricted shares of our common stock, respectively</w:t>
      </w:r>
    </w:p>
    <w:p>
      <w:pPr>
        <w:spacing w:after="0" w:line="170" w:lineRule="exact"/>
        <w:rPr>
          <w:sz w:val="20"/>
          <w:szCs w:val="20"/>
          <w:color w:val="auto"/>
        </w:rPr>
      </w:pPr>
    </w:p>
    <w:p>
      <w:pPr>
        <w:jc w:val="both"/>
        <w:ind w:left="580" w:hanging="572"/>
        <w:spacing w:after="0" w:line="264" w:lineRule="auto"/>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table below provides information regarding the option and warrant awards and modifications we granted to Mr. Singh, Dr. Snodgrass and Mr. Dotson during fiscal 2014 and the assumptions used in the Black Scholes Option Pricing Model to determine the grant date fair values of the respective awards and modifications.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Option</w:t>
            </w:r>
          </w:p>
        </w:tc>
        <w:tc>
          <w:tcPr>
            <w:tcW w:w="80" w:type="dxa"/>
            <w:vAlign w:val="bottom"/>
          </w:tcPr>
          <w:p>
            <w:pPr>
              <w:spacing w:after="0"/>
              <w:rPr>
                <w:sz w:val="20"/>
                <w:szCs w:val="20"/>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Warrant</w:t>
            </w:r>
          </w:p>
        </w:tc>
        <w:tc>
          <w:tcPr>
            <w:tcW w:w="100" w:type="dxa"/>
            <w:vAlign w:val="bottom"/>
          </w:tcPr>
          <w:p>
            <w:pPr>
              <w:spacing w:after="0"/>
              <w:rPr>
                <w:sz w:val="20"/>
                <w:szCs w:val="20"/>
                <w:color w:val="auto"/>
              </w:rPr>
            </w:pPr>
          </w:p>
        </w:tc>
        <w:tc>
          <w:tcPr>
            <w:tcW w:w="2200" w:type="dxa"/>
            <w:vAlign w:val="bottom"/>
            <w:gridSpan w:val="5"/>
            <w:vMerge w:val="restart"/>
          </w:tcPr>
          <w:p>
            <w:pPr>
              <w:jc w:val="right"/>
              <w:ind w:right="540"/>
              <w:spacing w:after="0"/>
              <w:rPr>
                <w:sz w:val="20"/>
                <w:szCs w:val="20"/>
                <w:color w:val="auto"/>
              </w:rPr>
            </w:pPr>
            <w:r>
              <w:rPr>
                <w:rFonts w:ascii="Arial" w:cs="Arial" w:eastAsia="Arial" w:hAnsi="Arial"/>
                <w:sz w:val="18"/>
                <w:szCs w:val="18"/>
                <w:color w:val="auto"/>
              </w:rPr>
              <w:t>Option Modification</w:t>
            </w:r>
          </w:p>
        </w:tc>
        <w:tc>
          <w:tcPr>
            <w:tcW w:w="100" w:type="dxa"/>
            <w:vAlign w:val="bottom"/>
          </w:tcPr>
          <w:p>
            <w:pPr>
              <w:spacing w:after="0"/>
              <w:rPr>
                <w:sz w:val="20"/>
                <w:szCs w:val="20"/>
                <w:color w:val="auto"/>
              </w:rPr>
            </w:pPr>
          </w:p>
        </w:tc>
        <w:tc>
          <w:tcPr>
            <w:tcW w:w="2220" w:type="dxa"/>
            <w:vAlign w:val="bottom"/>
            <w:gridSpan w:val="5"/>
            <w:vMerge w:val="restart"/>
          </w:tcPr>
          <w:p>
            <w:pPr>
              <w:jc w:val="right"/>
              <w:ind w:right="520"/>
              <w:spacing w:after="0"/>
              <w:rPr>
                <w:sz w:val="20"/>
                <w:szCs w:val="20"/>
                <w:color w:val="auto"/>
              </w:rPr>
            </w:pPr>
            <w:r>
              <w:rPr>
                <w:rFonts w:ascii="Arial" w:cs="Arial" w:eastAsia="Arial" w:hAnsi="Arial"/>
                <w:sz w:val="18"/>
                <w:szCs w:val="18"/>
                <w:color w:val="auto"/>
              </w:rPr>
              <w:t>Warrant Modification</w:t>
            </w:r>
          </w:p>
        </w:tc>
        <w:tc>
          <w:tcPr>
            <w:tcW w:w="2300" w:type="dxa"/>
            <w:vAlign w:val="bottom"/>
            <w:gridSpan w:val="6"/>
          </w:tcPr>
          <w:p>
            <w:pPr>
              <w:jc w:val="center"/>
              <w:ind w:right="260"/>
              <w:spacing w:after="0"/>
              <w:rPr>
                <w:sz w:val="20"/>
                <w:szCs w:val="20"/>
                <w:color w:val="auto"/>
              </w:rPr>
            </w:pPr>
            <w:r>
              <w:rPr>
                <w:rFonts w:ascii="Arial" w:cs="Arial" w:eastAsia="Arial" w:hAnsi="Arial"/>
                <w:sz w:val="18"/>
                <w:szCs w:val="18"/>
                <w:color w:val="auto"/>
                <w:w w:val="90"/>
              </w:rPr>
              <w:t>Option/Warrant Exchange</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3"/>
              </w:rPr>
              <w:t>Grant</w:t>
            </w:r>
          </w:p>
        </w:tc>
        <w:tc>
          <w:tcPr>
            <w:tcW w:w="80" w:type="dxa"/>
            <w:vAlign w:val="bottom"/>
          </w:tcPr>
          <w:p>
            <w:pPr>
              <w:spacing w:after="0"/>
              <w:rPr>
                <w:sz w:val="17"/>
                <w:szCs w:val="17"/>
                <w:color w:val="auto"/>
              </w:rPr>
            </w:pPr>
          </w:p>
        </w:tc>
        <w:tc>
          <w:tcPr>
            <w:tcW w:w="108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88"/>
              </w:rPr>
              <w:t>Grant</w:t>
            </w:r>
          </w:p>
        </w:tc>
        <w:tc>
          <w:tcPr>
            <w:tcW w:w="100" w:type="dxa"/>
            <w:vAlign w:val="bottom"/>
          </w:tcPr>
          <w:p>
            <w:pPr>
              <w:spacing w:after="0"/>
              <w:rPr>
                <w:sz w:val="17"/>
                <w:szCs w:val="17"/>
                <w:color w:val="auto"/>
              </w:rPr>
            </w:pPr>
          </w:p>
        </w:tc>
        <w:tc>
          <w:tcPr>
            <w:tcW w:w="2200" w:type="dxa"/>
            <w:vAlign w:val="bottom"/>
            <w:gridSpan w:val="5"/>
            <w:vMerge w:val="continue"/>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5"/>
            <w:vMerge w:val="continue"/>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jc w:val="center"/>
              <w:spacing w:after="0"/>
              <w:rPr>
                <w:sz w:val="20"/>
                <w:szCs w:val="20"/>
                <w:color w:val="auto"/>
              </w:rPr>
            </w:pPr>
            <w:r>
              <w:rPr>
                <w:rFonts w:ascii="Arial" w:cs="Arial" w:eastAsia="Arial" w:hAnsi="Arial"/>
                <w:sz w:val="13"/>
                <w:szCs w:val="13"/>
                <w:color w:val="auto"/>
                <w:w w:val="87"/>
              </w:rPr>
              <w:t>(a)</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10/27/2013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3/19/2014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4"/>
          </w:tcPr>
          <w:p>
            <w:pPr>
              <w:jc w:val="right"/>
              <w:ind w:right="510"/>
              <w:spacing w:after="0"/>
              <w:rPr>
                <w:sz w:val="20"/>
                <w:szCs w:val="20"/>
                <w:color w:val="auto"/>
              </w:rPr>
            </w:pPr>
            <w:r>
              <w:rPr>
                <w:rFonts w:ascii="Arial" w:cs="Arial" w:eastAsia="Arial" w:hAnsi="Arial"/>
                <w:sz w:val="18"/>
                <w:szCs w:val="18"/>
                <w:color w:val="auto"/>
              </w:rPr>
              <w:t>12/20/2013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4"/>
          </w:tcPr>
          <w:p>
            <w:pPr>
              <w:jc w:val="right"/>
              <w:ind w:right="490"/>
              <w:spacing w:after="0"/>
              <w:rPr>
                <w:sz w:val="20"/>
                <w:szCs w:val="20"/>
                <w:color w:val="auto"/>
              </w:rPr>
            </w:pPr>
            <w:r>
              <w:rPr>
                <w:rFonts w:ascii="Arial" w:cs="Arial" w:eastAsia="Arial" w:hAnsi="Arial"/>
                <w:sz w:val="18"/>
                <w:szCs w:val="18"/>
                <w:color w:val="auto"/>
              </w:rPr>
              <w:t>12/20/2013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4"/>
          </w:tcPr>
          <w:p>
            <w:pPr>
              <w:jc w:val="center"/>
              <w:ind w:right="30"/>
              <w:spacing w:after="0"/>
              <w:rPr>
                <w:sz w:val="20"/>
                <w:szCs w:val="20"/>
                <w:color w:val="auto"/>
              </w:rPr>
            </w:pPr>
            <w:r>
              <w:rPr>
                <w:rFonts w:ascii="Arial" w:cs="Arial" w:eastAsia="Arial" w:hAnsi="Arial"/>
                <w:sz w:val="18"/>
                <w:szCs w:val="18"/>
                <w:color w:val="auto"/>
                <w:w w:val="92"/>
              </w:rPr>
              <w:t>3/19/2014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Singh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134,436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25,366</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Snodgrass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14,560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56,835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30,958</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Dotson</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6,380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29,120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6,380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43,680</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192,617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25,366</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30,958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299,001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color w:val="auto"/>
                <w:w w:val="94"/>
              </w:rPr>
              <w:t>Before</w:t>
            </w:r>
          </w:p>
        </w:tc>
        <w:tc>
          <w:tcPr>
            <w:tcW w:w="100" w:type="dxa"/>
            <w:vAlign w:val="bottom"/>
          </w:tcPr>
          <w:p>
            <w:pPr>
              <w:spacing w:after="0"/>
              <w:rPr>
                <w:sz w:val="24"/>
                <w:szCs w:val="2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After</w:t>
            </w:r>
          </w:p>
        </w:tc>
        <w:tc>
          <w:tcPr>
            <w:tcW w:w="100" w:type="dxa"/>
            <w:vAlign w:val="bottom"/>
          </w:tcPr>
          <w:p>
            <w:pPr>
              <w:spacing w:after="0"/>
              <w:rPr>
                <w:sz w:val="24"/>
                <w:szCs w:val="2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Before</w:t>
            </w:r>
          </w:p>
        </w:tc>
        <w:tc>
          <w:tcPr>
            <w:tcW w:w="120" w:type="dxa"/>
            <w:vAlign w:val="bottom"/>
          </w:tcPr>
          <w:p>
            <w:pPr>
              <w:spacing w:after="0"/>
              <w:rPr>
                <w:sz w:val="24"/>
                <w:szCs w:val="2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After</w:t>
            </w:r>
          </w:p>
        </w:tc>
        <w:tc>
          <w:tcPr>
            <w:tcW w:w="140" w:type="dxa"/>
            <w:vAlign w:val="bottom"/>
          </w:tcPr>
          <w:p>
            <w:pPr>
              <w:spacing w:after="0"/>
              <w:rPr>
                <w:sz w:val="24"/>
                <w:szCs w:val="24"/>
                <w:color w:val="auto"/>
              </w:rPr>
            </w:pPr>
          </w:p>
        </w:tc>
        <w:tc>
          <w:tcPr>
            <w:tcW w:w="1000" w:type="dxa"/>
            <w:vAlign w:val="bottom"/>
            <w:gridSpan w:val="2"/>
          </w:tcPr>
          <w:p>
            <w:pPr>
              <w:jc w:val="right"/>
              <w:ind w:right="397"/>
              <w:spacing w:after="0"/>
              <w:rPr>
                <w:sz w:val="20"/>
                <w:szCs w:val="20"/>
                <w:color w:val="auto"/>
              </w:rPr>
            </w:pPr>
            <w:r>
              <w:rPr>
                <w:rFonts w:ascii="Arial" w:cs="Arial" w:eastAsia="Arial" w:hAnsi="Arial"/>
                <w:sz w:val="18"/>
                <w:szCs w:val="18"/>
                <w:color w:val="auto"/>
                <w:w w:val="97"/>
              </w:rPr>
              <w:t>Before</w:t>
            </w:r>
          </w:p>
        </w:tc>
        <w:tc>
          <w:tcPr>
            <w:tcW w:w="180" w:type="dxa"/>
            <w:vAlign w:val="bottom"/>
          </w:tcPr>
          <w:p>
            <w:pPr>
              <w:spacing w:after="0"/>
              <w:rPr>
                <w:sz w:val="24"/>
                <w:szCs w:val="24"/>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After</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Market price</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8.00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17"/>
              <w:spacing w:after="0"/>
              <w:rPr>
                <w:sz w:val="20"/>
                <w:szCs w:val="20"/>
                <w:color w:val="auto"/>
              </w:rPr>
            </w:pPr>
            <w:r>
              <w:rPr>
                <w:rFonts w:ascii="Arial" w:cs="Arial" w:eastAsia="Arial" w:hAnsi="Arial"/>
                <w:sz w:val="18"/>
                <w:szCs w:val="18"/>
                <w:color w:val="auto"/>
              </w:rPr>
              <w:t>9.20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9.20</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Exercise price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15.00 to</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30.00 to</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Risk-free</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1"/>
              </w:rPr>
              <w:t>0.7% to</w:t>
            </w:r>
          </w:p>
        </w:tc>
        <w:tc>
          <w:tcPr>
            <w:tcW w:w="100" w:type="dxa"/>
            <w:vAlign w:val="bottom"/>
          </w:tcPr>
          <w:p>
            <w:pPr>
              <w:spacing w:after="0"/>
              <w:rPr>
                <w:sz w:val="17"/>
                <w:szCs w:val="17"/>
                <w:color w:val="auto"/>
              </w:rPr>
            </w:pPr>
          </w:p>
        </w:tc>
        <w:tc>
          <w:tcPr>
            <w:tcW w:w="106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2"/>
              </w:rPr>
              <w:t>0.12% to</w:t>
            </w:r>
          </w:p>
        </w:tc>
        <w:tc>
          <w:tcPr>
            <w:tcW w:w="100" w:type="dxa"/>
            <w:vAlign w:val="bottom"/>
          </w:tcPr>
          <w:p>
            <w:pPr>
              <w:spacing w:after="0"/>
              <w:rPr>
                <w:sz w:val="17"/>
                <w:szCs w:val="17"/>
                <w:color w:val="auto"/>
              </w:rPr>
            </w:pPr>
          </w:p>
        </w:tc>
        <w:tc>
          <w:tcPr>
            <w:tcW w:w="1040" w:type="dxa"/>
            <w:vAlign w:val="bottom"/>
            <w:gridSpan w:val="2"/>
          </w:tcPr>
          <w:p>
            <w:pPr>
              <w:jc w:val="center"/>
              <w:ind w:right="360"/>
              <w:spacing w:after="0" w:line="201" w:lineRule="exact"/>
              <w:rPr>
                <w:sz w:val="20"/>
                <w:szCs w:val="20"/>
                <w:color w:val="auto"/>
              </w:rPr>
            </w:pPr>
            <w:r>
              <w:rPr>
                <w:rFonts w:ascii="Arial" w:cs="Arial" w:eastAsia="Arial" w:hAnsi="Arial"/>
                <w:sz w:val="18"/>
                <w:szCs w:val="18"/>
                <w:color w:val="auto"/>
                <w:w w:val="90"/>
              </w:rPr>
              <w:t>0.07% to</w:t>
            </w:r>
          </w:p>
        </w:tc>
        <w:tc>
          <w:tcPr>
            <w:tcW w:w="120" w:type="dxa"/>
            <w:vAlign w:val="bottom"/>
          </w:tcPr>
          <w:p>
            <w:pPr>
              <w:spacing w:after="0"/>
              <w:rPr>
                <w:sz w:val="17"/>
                <w:szCs w:val="17"/>
                <w:color w:val="auto"/>
              </w:rPr>
            </w:pPr>
          </w:p>
        </w:tc>
        <w:tc>
          <w:tcPr>
            <w:tcW w:w="1060" w:type="dxa"/>
            <w:vAlign w:val="bottom"/>
            <w:gridSpan w:val="2"/>
          </w:tcPr>
          <w:p>
            <w:pPr>
              <w:jc w:val="center"/>
              <w:ind w:right="380"/>
              <w:spacing w:after="0" w:line="201" w:lineRule="exact"/>
              <w:rPr>
                <w:sz w:val="20"/>
                <w:szCs w:val="20"/>
                <w:color w:val="auto"/>
              </w:rPr>
            </w:pPr>
            <w:r>
              <w:rPr>
                <w:rFonts w:ascii="Arial" w:cs="Arial" w:eastAsia="Arial" w:hAnsi="Arial"/>
                <w:sz w:val="18"/>
                <w:szCs w:val="18"/>
                <w:color w:val="auto"/>
                <w:w w:val="90"/>
              </w:rPr>
              <w:t>0.75% to</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interest rate</w:t>
            </w:r>
          </w:p>
        </w:tc>
        <w:tc>
          <w:tcPr>
            <w:tcW w:w="1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1.675%</w:t>
            </w: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0"/>
                <w:szCs w:val="20"/>
                <w:color w:val="auto"/>
              </w:rPr>
            </w:pPr>
          </w:p>
        </w:tc>
        <w:tc>
          <w:tcPr>
            <w:tcW w:w="780" w:type="dxa"/>
            <w:vAlign w:val="bottom"/>
          </w:tcPr>
          <w:p>
            <w:pPr>
              <w:jc w:val="center"/>
              <w:ind w:right="30"/>
              <w:spacing w:after="0"/>
              <w:rPr>
                <w:sz w:val="20"/>
                <w:szCs w:val="20"/>
                <w:color w:val="auto"/>
              </w:rPr>
            </w:pPr>
            <w:r>
              <w:rPr>
                <w:rFonts w:ascii="Arial" w:cs="Arial" w:eastAsia="Arial" w:hAnsi="Arial"/>
                <w:sz w:val="18"/>
                <w:szCs w:val="18"/>
                <w:color w:val="auto"/>
                <w:w w:val="90"/>
              </w:rPr>
              <w:t>2.68%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0"/>
              </w:rPr>
              <w:t>2.68%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1.18%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57"/>
              <w:spacing w:after="0"/>
              <w:rPr>
                <w:sz w:val="20"/>
                <w:szCs w:val="20"/>
                <w:color w:val="auto"/>
              </w:rPr>
            </w:pPr>
            <w:r>
              <w:rPr>
                <w:rFonts w:ascii="Arial" w:cs="Arial" w:eastAsia="Arial" w:hAnsi="Arial"/>
                <w:sz w:val="18"/>
                <w:szCs w:val="18"/>
                <w:color w:val="auto"/>
              </w:rPr>
              <w:t>0.106%</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1.750%</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center"/>
              <w:ind w:right="380"/>
              <w:spacing w:after="0" w:line="201" w:lineRule="exact"/>
              <w:rPr>
                <w:sz w:val="20"/>
                <w:szCs w:val="20"/>
                <w:color w:val="auto"/>
              </w:rPr>
            </w:pPr>
            <w:r>
              <w:rPr>
                <w:rFonts w:ascii="Arial" w:cs="Arial" w:eastAsia="Arial" w:hAnsi="Arial"/>
                <w:sz w:val="18"/>
                <w:szCs w:val="18"/>
                <w:color w:val="auto"/>
                <w:w w:val="92"/>
              </w:rPr>
              <w:t>68.8% to</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360"/>
              <w:spacing w:after="0" w:line="201" w:lineRule="exact"/>
              <w:rPr>
                <w:sz w:val="20"/>
                <w:szCs w:val="20"/>
                <w:color w:val="auto"/>
              </w:rPr>
            </w:pPr>
            <w:r>
              <w:rPr>
                <w:rFonts w:ascii="Arial" w:cs="Arial" w:eastAsia="Arial" w:hAnsi="Arial"/>
                <w:sz w:val="18"/>
                <w:szCs w:val="18"/>
                <w:color w:val="auto"/>
                <w:w w:val="92"/>
              </w:rPr>
              <w:t>68.8% to</w:t>
            </w:r>
          </w:p>
        </w:tc>
        <w:tc>
          <w:tcPr>
            <w:tcW w:w="1140" w:type="dxa"/>
            <w:vAlign w:val="bottom"/>
            <w:gridSpan w:val="3"/>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1"/>
              </w:rPr>
              <w:t>68.76% to</w:t>
            </w:r>
          </w:p>
        </w:tc>
        <w:tc>
          <w:tcPr>
            <w:tcW w:w="1180" w:type="dxa"/>
            <w:vAlign w:val="bottom"/>
            <w:gridSpan w:val="3"/>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1"/>
              </w:rPr>
              <w:t>76.51% to</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99.53%</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80.57%</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97.6%</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97.6%</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8"/>
              </w:rPr>
              <w:t>78.21%</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8"/>
              </w:rPr>
              <w:t>78.21%</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68.96%</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80.57%</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Expected</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term (years)</w:t>
            </w:r>
          </w:p>
        </w:tc>
        <w:tc>
          <w:tcPr>
            <w:tcW w:w="14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5.00</w:t>
            </w:r>
          </w:p>
        </w:tc>
        <w:tc>
          <w:tcPr>
            <w:tcW w:w="1140" w:type="dxa"/>
            <w:vAlign w:val="bottom"/>
            <w:gridSpan w:val="3"/>
          </w:tcPr>
          <w:p>
            <w:pPr>
              <w:spacing w:after="0"/>
              <w:rPr>
                <w:sz w:val="20"/>
                <w:szCs w:val="20"/>
                <w:color w:val="auto"/>
              </w:rPr>
            </w:pPr>
            <w:r>
              <w:rPr>
                <w:rFonts w:ascii="Arial" w:cs="Arial" w:eastAsia="Arial" w:hAnsi="Arial"/>
                <w:sz w:val="18"/>
                <w:szCs w:val="18"/>
                <w:color w:val="auto"/>
              </w:rPr>
              <w:t>0.25 to 8.86</w:t>
            </w:r>
          </w:p>
        </w:tc>
        <w:tc>
          <w:tcPr>
            <w:tcW w:w="1160" w:type="dxa"/>
            <w:vAlign w:val="bottom"/>
            <w:gridSpan w:val="3"/>
          </w:tcPr>
          <w:p>
            <w:pPr>
              <w:ind w:left="20"/>
              <w:spacing w:after="0"/>
              <w:rPr>
                <w:sz w:val="20"/>
                <w:szCs w:val="20"/>
                <w:color w:val="auto"/>
              </w:rPr>
            </w:pPr>
            <w:r>
              <w:rPr>
                <w:rFonts w:ascii="Arial" w:cs="Arial" w:eastAsia="Arial" w:hAnsi="Arial"/>
                <w:sz w:val="18"/>
                <w:szCs w:val="18"/>
                <w:color w:val="auto"/>
              </w:rPr>
              <w:t>0.87 to 8.86</w:t>
            </w: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0.03 to 3.96</w:t>
            </w:r>
          </w:p>
        </w:tc>
        <w:tc>
          <w:tcPr>
            <w:tcW w:w="1180" w:type="dxa"/>
            <w:vAlign w:val="bottom"/>
            <w:gridSpan w:val="3"/>
          </w:tcPr>
          <w:p>
            <w:pPr>
              <w:ind w:left="20"/>
              <w:spacing w:after="0"/>
              <w:rPr>
                <w:sz w:val="20"/>
                <w:szCs w:val="20"/>
                <w:color w:val="auto"/>
              </w:rPr>
            </w:pPr>
            <w:r>
              <w:rPr>
                <w:rFonts w:ascii="Arial" w:cs="Arial" w:eastAsia="Arial" w:hAnsi="Arial"/>
                <w:sz w:val="18"/>
                <w:szCs w:val="18"/>
                <w:color w:val="auto"/>
              </w:rPr>
              <w:t>3.03 to 3.96</w:t>
            </w:r>
          </w:p>
        </w:tc>
        <w:tc>
          <w:tcPr>
            <w:tcW w:w="140" w:type="dxa"/>
            <w:vAlign w:val="bottom"/>
          </w:tcPr>
          <w:p>
            <w:pPr>
              <w:spacing w:after="0"/>
              <w:rPr>
                <w:sz w:val="20"/>
                <w:szCs w:val="20"/>
                <w:color w:val="auto"/>
              </w:rPr>
            </w:pPr>
          </w:p>
        </w:tc>
        <w:tc>
          <w:tcPr>
            <w:tcW w:w="1000" w:type="dxa"/>
            <w:vAlign w:val="bottom"/>
            <w:gridSpan w:val="2"/>
          </w:tcPr>
          <w:p>
            <w:pPr>
              <w:jc w:val="right"/>
              <w:ind w:right="217"/>
              <w:spacing w:after="0"/>
              <w:rPr>
                <w:sz w:val="20"/>
                <w:szCs w:val="20"/>
                <w:color w:val="auto"/>
              </w:rPr>
            </w:pPr>
            <w:r>
              <w:rPr>
                <w:rFonts w:ascii="Arial" w:cs="Arial" w:eastAsia="Arial" w:hAnsi="Arial"/>
                <w:sz w:val="18"/>
                <w:szCs w:val="18"/>
                <w:color w:val="auto"/>
              </w:rPr>
              <w:t>0.63</w:t>
            </w:r>
          </w:p>
        </w:tc>
        <w:tc>
          <w:tcPr>
            <w:tcW w:w="1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7"/>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tcPr>
          <w:p>
            <w:pPr>
              <w:spacing w:after="0" w:line="201" w:lineRule="exact"/>
              <w:rPr>
                <w:sz w:val="20"/>
                <w:szCs w:val="20"/>
                <w:color w:val="auto"/>
              </w:rPr>
            </w:pPr>
            <w:r>
              <w:rPr>
                <w:rFonts w:ascii="Arial" w:cs="Arial" w:eastAsia="Arial" w:hAnsi="Arial"/>
                <w:sz w:val="18"/>
                <w:szCs w:val="18"/>
                <w:color w:val="auto"/>
              </w:rPr>
              <w:t>Fair value per</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0.00 to</w:t>
            </w:r>
          </w:p>
        </w:tc>
        <w:tc>
          <w:tcPr>
            <w:tcW w:w="100" w:type="dxa"/>
            <w:vAlign w:val="bottom"/>
          </w:tcPr>
          <w:p>
            <w:pPr>
              <w:spacing w:after="0"/>
              <w:rPr>
                <w:sz w:val="17"/>
                <w:szCs w:val="17"/>
                <w:color w:val="auto"/>
              </w:rPr>
            </w:pPr>
          </w:p>
        </w:tc>
        <w:tc>
          <w:tcPr>
            <w:tcW w:w="10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1.40 to</w:t>
            </w:r>
          </w:p>
        </w:tc>
        <w:tc>
          <w:tcPr>
            <w:tcW w:w="100" w:type="dxa"/>
            <w:vAlign w:val="bottom"/>
          </w:tcPr>
          <w:p>
            <w:pPr>
              <w:spacing w:after="0"/>
              <w:rPr>
                <w:sz w:val="17"/>
                <w:szCs w:val="17"/>
                <w:color w:val="auto"/>
              </w:rPr>
            </w:pPr>
          </w:p>
        </w:tc>
        <w:tc>
          <w:tcPr>
            <w:tcW w:w="10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0.00 to</w:t>
            </w:r>
          </w:p>
        </w:tc>
        <w:tc>
          <w:tcPr>
            <w:tcW w:w="120" w:type="dxa"/>
            <w:vAlign w:val="bottom"/>
          </w:tcPr>
          <w:p>
            <w:pPr>
              <w:spacing w:after="0"/>
              <w:rPr>
                <w:sz w:val="17"/>
                <w:szCs w:val="17"/>
                <w:color w:val="auto"/>
              </w:rPr>
            </w:pPr>
          </w:p>
        </w:tc>
        <w:tc>
          <w:tcPr>
            <w:tcW w:w="10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3.55 to</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$4.20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17"/>
              <w:spacing w:after="0"/>
              <w:rPr>
                <w:sz w:val="20"/>
                <w:szCs w:val="20"/>
                <w:color w:val="auto"/>
              </w:rPr>
            </w:pPr>
            <w:r>
              <w:rPr>
                <w:rFonts w:ascii="Arial" w:cs="Arial" w:eastAsia="Arial" w:hAnsi="Arial"/>
                <w:sz w:val="18"/>
                <w:szCs w:val="18"/>
                <w:color w:val="auto"/>
              </w:rPr>
              <w:t>1.70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5.82</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Aggregate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116,125</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116,125</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8,303</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8,303</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7,500</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0" w:gutter="0" w:footer="0" w:header="0"/>
        </w:sectPr>
      </w:pPr>
    </w:p>
    <w:bookmarkStart w:id="100" w:name="page101"/>
    <w:bookmarkEnd w:id="100"/>
    <w:p>
      <w:pPr>
        <w:jc w:val="both"/>
        <w:ind w:left="600" w:hanging="592"/>
        <w:spacing w:after="0" w:line="255" w:lineRule="auto"/>
        <w:tabs>
          <w:tab w:leader="none" w:pos="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March 19, 2014, the Board and Dr. Snodgrass agreed to cancel a fully-vested option to purchase 7,500 shares of our restricted common stock at a price of $10.00 per share and expiring on November 4, 2014 in exchange for the grant of a five-year warrant to purchase 7,500 shares of our restricted common stock at a price of $10.00 per share. Shares subject to the cancelled option grant were returned to the 2008 Stock Incentive Plan for potential future grants. The cancellation of the option and grant of the warrant was accounted for as a modification of an award under ASC 718 and, accordingly, the difference in the fair value of the two instruments at the modification date was recorded in stock compensation expense and is the amount reported in the table above.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1" w:name="page102"/>
    <w:bookmarkEnd w:id="101"/>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723"/>
        <w:spacing w:after="0" w:line="277" w:lineRule="auto"/>
        <w:rPr>
          <w:sz w:val="20"/>
          <w:szCs w:val="20"/>
          <w:color w:val="auto"/>
        </w:rPr>
      </w:pPr>
      <w:r>
        <w:rPr>
          <w:rFonts w:ascii="Arial" w:cs="Arial" w:eastAsia="Arial" w:hAnsi="Arial"/>
          <w:sz w:val="18"/>
          <w:szCs w:val="18"/>
          <w:color w:val="auto"/>
        </w:rPr>
        <w:t>None of the NEOs is entitled to perquisites or other personal benefits which, in the aggregate, are worth over $50,000 or over 10% of their base salary.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maintain, through a registered agent, a retirement and deferred savings plan for our officers and employees. This plan is intended to qualify as a tax-qualified plan under Section 401(k) of the Internal Revenue Code of 1986, as amended.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 and Warrants Granted to NEOs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information regarding each unexercised stock option and warrant to purchase restricted shares of our common stock held by each of the named executive officers as of March 31,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ind w:left="1340"/>
              <w:spacing w:after="0"/>
              <w:rPr>
                <w:sz w:val="20"/>
                <w:szCs w:val="20"/>
                <w:color w:val="auto"/>
              </w:rPr>
            </w:pPr>
            <w:r>
              <w:rPr>
                <w:rFonts w:ascii="Arial" w:cs="Arial" w:eastAsia="Arial" w:hAnsi="Arial"/>
                <w:sz w:val="18"/>
                <w:szCs w:val="18"/>
                <w:b w:val="1"/>
                <w:bCs w:val="1"/>
                <w:color w:val="auto"/>
                <w:w w:val="98"/>
              </w:rPr>
              <w:t>Stock Options</w:t>
            </w: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0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Number of Securities</w:t>
            </w:r>
          </w:p>
        </w:tc>
        <w:tc>
          <w:tcPr>
            <w:tcW w:w="2560" w:type="dxa"/>
            <w:vAlign w:val="bottom"/>
            <w:gridSpan w:val="3"/>
          </w:tcPr>
          <w:p>
            <w:pPr>
              <w:jc w:val="center"/>
              <w:ind w:right="720"/>
              <w:spacing w:after="0" w:line="198" w:lineRule="exact"/>
              <w:rPr>
                <w:sz w:val="20"/>
                <w:szCs w:val="20"/>
                <w:color w:val="auto"/>
              </w:rPr>
            </w:pPr>
            <w:r>
              <w:rPr>
                <w:rFonts w:ascii="Arial" w:cs="Arial" w:eastAsia="Arial" w:hAnsi="Arial"/>
                <w:sz w:val="18"/>
                <w:szCs w:val="18"/>
                <w:b w:val="1"/>
                <w:bCs w:val="1"/>
                <w:color w:val="auto"/>
                <w:w w:val="90"/>
              </w:rPr>
              <w:t>Number of Securities</w:t>
            </w:r>
          </w:p>
        </w:tc>
        <w:tc>
          <w:tcPr>
            <w:tcW w:w="1480" w:type="dxa"/>
            <w:vAlign w:val="bottom"/>
            <w:gridSpan w:val="2"/>
          </w:tcPr>
          <w:p>
            <w:pPr>
              <w:jc w:val="center"/>
              <w:ind w:right="580"/>
              <w:spacing w:after="0" w:line="198" w:lineRule="exact"/>
              <w:rPr>
                <w:sz w:val="20"/>
                <w:szCs w:val="20"/>
                <w:color w:val="auto"/>
              </w:rPr>
            </w:pPr>
            <w:r>
              <w:rPr>
                <w:rFonts w:ascii="Arial" w:cs="Arial" w:eastAsia="Arial" w:hAnsi="Arial"/>
                <w:sz w:val="18"/>
                <w:szCs w:val="18"/>
                <w:b w:val="1"/>
                <w:bCs w:val="1"/>
                <w:color w:val="auto"/>
                <w:w w:val="93"/>
              </w:rPr>
              <w:t>Option</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256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93"/>
              </w:rPr>
              <w:t>Underlying</w:t>
            </w: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6"/>
              </w:rPr>
              <w:t>Exercise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Unexercised Options</w:t>
            </w:r>
          </w:p>
        </w:tc>
        <w:tc>
          <w:tcPr>
            <w:tcW w:w="2560" w:type="dxa"/>
            <w:vAlign w:val="bottom"/>
            <w:gridSpan w:val="3"/>
          </w:tcPr>
          <w:p>
            <w:pPr>
              <w:jc w:val="center"/>
              <w:ind w:right="720"/>
              <w:spacing w:after="0"/>
              <w:rPr>
                <w:sz w:val="20"/>
                <w:szCs w:val="20"/>
                <w:color w:val="auto"/>
              </w:rPr>
            </w:pPr>
            <w:r>
              <w:rPr>
                <w:rFonts w:ascii="Arial" w:cs="Arial" w:eastAsia="Arial" w:hAnsi="Arial"/>
                <w:sz w:val="18"/>
                <w:szCs w:val="18"/>
                <w:b w:val="1"/>
                <w:bCs w:val="1"/>
                <w:color w:val="auto"/>
                <w:w w:val="88"/>
              </w:rPr>
              <w:t>Unexercised Options</w:t>
            </w: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Price</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0" w:type="dxa"/>
            <w:vAlign w:val="bottom"/>
          </w:tcPr>
          <w:p>
            <w:pPr>
              <w:spacing w:after="0"/>
              <w:rPr>
                <w:sz w:val="1"/>
                <w:szCs w:val="1"/>
                <w:color w:val="auto"/>
              </w:rPr>
            </w:pPr>
          </w:p>
        </w:tc>
      </w:tr>
      <w:tr>
        <w:trPr>
          <w:trHeight w:val="241"/>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 Exercisable</w:t>
            </w:r>
          </w:p>
        </w:tc>
        <w:tc>
          <w:tcPr>
            <w:tcW w:w="256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89"/>
              </w:rPr>
              <w:t>(#) Unexercisable</w:t>
            </w:r>
          </w:p>
        </w:tc>
        <w:tc>
          <w:tcPr>
            <w:tcW w:w="1380" w:type="dxa"/>
            <w:vAlign w:val="bottom"/>
          </w:tcPr>
          <w:p>
            <w:pPr>
              <w:jc w:val="center"/>
              <w:ind w:right="370"/>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Shawn K. Singh, J.D.</w:t>
            </w: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12/21/2016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2,000</w:t>
            </w:r>
          </w:p>
        </w:tc>
        <w:tc>
          <w:tcPr>
            <w:tcW w:w="2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14.40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5/17/2017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2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2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1/17/2018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w:t>
            </w:r>
          </w:p>
        </w:tc>
        <w:tc>
          <w:tcPr>
            <w:tcW w:w="2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1,125</w:t>
            </w:r>
          </w:p>
        </w:tc>
        <w:tc>
          <w:tcPr>
            <w:tcW w:w="2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6/17/2019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w:t>
            </w:r>
          </w:p>
        </w:tc>
        <w:tc>
          <w:tcPr>
            <w:tcW w:w="2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21,250</w:t>
            </w:r>
          </w:p>
        </w:tc>
        <w:tc>
          <w:tcPr>
            <w:tcW w:w="2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4,896</w:t>
            </w:r>
          </w:p>
        </w:tc>
        <w:tc>
          <w:tcPr>
            <w:tcW w:w="2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4/26/2021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4,017</w:t>
            </w:r>
          </w:p>
        </w:tc>
        <w:tc>
          <w:tcPr>
            <w:tcW w:w="2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12/31/2016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1,786</w:t>
            </w:r>
          </w:p>
        </w:tc>
        <w:tc>
          <w:tcPr>
            <w:tcW w:w="2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12/31/2016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2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12/6/2017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2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7/30/2016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53,250</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18,750</w:t>
            </w:r>
            <w:r>
              <w:rPr>
                <w:rFonts w:ascii="Arial" w:cs="Arial" w:eastAsia="Arial" w:hAnsi="Arial"/>
                <w:sz w:val="12"/>
                <w:szCs w:val="12"/>
                <w:color w:val="auto"/>
              </w:rPr>
              <w:t>(1)</w:t>
            </w:r>
          </w:p>
        </w:tc>
        <w:tc>
          <w:tcPr>
            <w:tcW w:w="4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(3)</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1840" w:type="dxa"/>
            <w:vAlign w:val="bottom"/>
          </w:tcPr>
          <w:p>
            <w:pPr>
              <w:jc w:val="right"/>
              <w:spacing w:after="0"/>
              <w:rPr>
                <w:sz w:val="20"/>
                <w:szCs w:val="20"/>
                <w:color w:val="auto"/>
              </w:rPr>
            </w:pPr>
            <w:r>
              <w:rPr>
                <w:rFonts w:ascii="Arial" w:cs="Arial" w:eastAsia="Arial" w:hAnsi="Arial"/>
                <w:sz w:val="18"/>
                <w:szCs w:val="18"/>
                <w:color w:val="auto"/>
              </w:rPr>
              <w:t>301,824</w:t>
            </w:r>
          </w:p>
        </w:tc>
        <w:tc>
          <w:tcPr>
            <w:tcW w:w="200" w:type="dxa"/>
            <w:vAlign w:val="bottom"/>
          </w:tcPr>
          <w:p>
            <w:pPr>
              <w:spacing w:after="0"/>
              <w:rPr>
                <w:sz w:val="18"/>
                <w:szCs w:val="18"/>
                <w:color w:val="auto"/>
              </w:rPr>
            </w:pPr>
          </w:p>
        </w:tc>
        <w:tc>
          <w:tcPr>
            <w:tcW w:w="2100" w:type="dxa"/>
            <w:vAlign w:val="bottom"/>
            <w:gridSpan w:val="2"/>
          </w:tcPr>
          <w:p>
            <w:pPr>
              <w:jc w:val="right"/>
              <w:ind w:right="260"/>
              <w:spacing w:after="0"/>
              <w:rPr>
                <w:sz w:val="20"/>
                <w:szCs w:val="20"/>
                <w:color w:val="auto"/>
              </w:rPr>
            </w:pPr>
            <w:r>
              <w:rPr>
                <w:rFonts w:ascii="Arial" w:cs="Arial" w:eastAsia="Arial" w:hAnsi="Arial"/>
                <w:sz w:val="18"/>
                <w:szCs w:val="18"/>
                <w:color w:val="auto"/>
              </w:rPr>
              <w:t>18,854</w:t>
            </w: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H. Ralph Snodgrass, Ph.D.</w:t>
            </w: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w:t>
            </w:r>
          </w:p>
        </w:tc>
        <w:tc>
          <w:tcPr>
            <w:tcW w:w="2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3/24/2019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1,250</w:t>
            </w:r>
          </w:p>
        </w:tc>
        <w:tc>
          <w:tcPr>
            <w:tcW w:w="2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6/17/2014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w:t>
            </w:r>
          </w:p>
        </w:tc>
        <w:tc>
          <w:tcPr>
            <w:tcW w:w="2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12/20/2016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12,500</w:t>
            </w:r>
          </w:p>
        </w:tc>
        <w:tc>
          <w:tcPr>
            <w:tcW w:w="2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12/30/2019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4,896</w:t>
            </w:r>
          </w:p>
        </w:tc>
        <w:tc>
          <w:tcPr>
            <w:tcW w:w="2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4/25/2021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37,500</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12,500</w:t>
            </w:r>
            <w:r>
              <w:rPr>
                <w:rFonts w:ascii="Arial" w:cs="Arial" w:eastAsia="Arial" w:hAnsi="Arial"/>
                <w:sz w:val="12"/>
                <w:szCs w:val="12"/>
                <w:color w:val="auto"/>
              </w:rPr>
              <w:t>(1)</w:t>
            </w:r>
          </w:p>
        </w:tc>
        <w:tc>
          <w:tcPr>
            <w:tcW w:w="4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w:t>
            </w: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w:t>
            </w:r>
            <w:r>
              <w:rPr>
                <w:rFonts w:ascii="Arial" w:cs="Arial" w:eastAsia="Arial" w:hAnsi="Arial"/>
                <w:sz w:val="12"/>
                <w:szCs w:val="12"/>
                <w:color w:val="auto"/>
              </w:rPr>
              <w:t>(2)</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3,750</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3,750</w:t>
            </w:r>
            <w:r>
              <w:rPr>
                <w:rFonts w:ascii="Arial" w:cs="Arial" w:eastAsia="Arial" w:hAnsi="Arial"/>
                <w:sz w:val="12"/>
                <w:szCs w:val="12"/>
                <w:color w:val="auto"/>
              </w:rPr>
              <w:t>(2)</w:t>
            </w:r>
          </w:p>
        </w:tc>
        <w:tc>
          <w:tcPr>
            <w:tcW w:w="4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(3)</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shd w:val="clear" w:color="auto" w:fill="CCEEFF"/>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1840" w:type="dxa"/>
            <w:vAlign w:val="bottom"/>
          </w:tcPr>
          <w:p>
            <w:pPr>
              <w:jc w:val="right"/>
              <w:spacing w:after="0"/>
              <w:rPr>
                <w:sz w:val="20"/>
                <w:szCs w:val="20"/>
                <w:color w:val="auto"/>
              </w:rPr>
            </w:pPr>
            <w:r>
              <w:rPr>
                <w:rFonts w:ascii="Arial" w:cs="Arial" w:eastAsia="Arial" w:hAnsi="Arial"/>
                <w:sz w:val="18"/>
                <w:szCs w:val="18"/>
                <w:color w:val="auto"/>
              </w:rPr>
              <w:t>163,965</w:t>
            </w:r>
          </w:p>
        </w:tc>
        <w:tc>
          <w:tcPr>
            <w:tcW w:w="200" w:type="dxa"/>
            <w:vAlign w:val="bottom"/>
          </w:tcPr>
          <w:p>
            <w:pPr>
              <w:spacing w:after="0"/>
              <w:rPr>
                <w:sz w:val="18"/>
                <w:szCs w:val="18"/>
                <w:color w:val="auto"/>
              </w:rPr>
            </w:pPr>
          </w:p>
        </w:tc>
        <w:tc>
          <w:tcPr>
            <w:tcW w:w="2100" w:type="dxa"/>
            <w:vAlign w:val="bottom"/>
            <w:gridSpan w:val="2"/>
          </w:tcPr>
          <w:p>
            <w:pPr>
              <w:jc w:val="right"/>
              <w:ind w:right="260"/>
              <w:spacing w:after="0"/>
              <w:rPr>
                <w:sz w:val="20"/>
                <w:szCs w:val="20"/>
                <w:color w:val="auto"/>
              </w:rPr>
            </w:pPr>
            <w:r>
              <w:rPr>
                <w:rFonts w:ascii="Arial" w:cs="Arial" w:eastAsia="Arial" w:hAnsi="Arial"/>
                <w:sz w:val="18"/>
                <w:szCs w:val="18"/>
                <w:color w:val="auto"/>
              </w:rPr>
              <w:t>17,604</w:t>
            </w: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Jerrold D. Dotson</w:t>
            </w: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5,001</w:t>
            </w:r>
          </w:p>
        </w:tc>
        <w:tc>
          <w:tcPr>
            <w:tcW w:w="2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10/30/2022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w:t>
            </w:r>
          </w:p>
        </w:tc>
        <w:tc>
          <w:tcPr>
            <w:tcW w:w="2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292</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10/27/2023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7,500</w:t>
            </w: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r>
              <w:rPr>
                <w:rFonts w:ascii="Arial" w:cs="Arial" w:eastAsia="Arial" w:hAnsi="Arial"/>
                <w:sz w:val="12"/>
                <w:szCs w:val="12"/>
                <w:color w:val="auto"/>
              </w:rPr>
              <w:t>(1)</w:t>
            </w:r>
          </w:p>
        </w:tc>
        <w:tc>
          <w:tcPr>
            <w:tcW w:w="4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12.80</w:t>
            </w: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3/3/2023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w:t>
            </w: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w:t>
            </w:r>
            <w:r>
              <w:rPr>
                <w:rFonts w:ascii="Arial" w:cs="Arial" w:eastAsia="Arial" w:hAnsi="Arial"/>
                <w:sz w:val="12"/>
                <w:szCs w:val="12"/>
                <w:color w:val="auto"/>
              </w:rPr>
              <w:t>(2)</w:t>
            </w:r>
          </w:p>
        </w:tc>
        <w:tc>
          <w:tcPr>
            <w:tcW w:w="4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3/19/2024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tcPr>
          <w:p>
            <w:pPr>
              <w:spacing w:after="0"/>
              <w:rPr>
                <w:sz w:val="18"/>
                <w:szCs w:val="18"/>
                <w:color w:val="auto"/>
              </w:rPr>
            </w:pPr>
          </w:p>
        </w:tc>
        <w:tc>
          <w:tcPr>
            <w:tcW w:w="2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(3)</w:t>
            </w:r>
          </w:p>
        </w:tc>
        <w:tc>
          <w:tcPr>
            <w:tcW w:w="4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760" w:type="dxa"/>
            <w:vAlign w:val="bottom"/>
          </w:tcPr>
          <w:p>
            <w:pPr>
              <w:jc w:val="center"/>
              <w:spacing w:after="0"/>
              <w:rPr>
                <w:sz w:val="20"/>
                <w:szCs w:val="20"/>
                <w:color w:val="auto"/>
              </w:rPr>
            </w:pPr>
            <w:r>
              <w:rPr>
                <w:rFonts w:ascii="Arial" w:cs="Arial" w:eastAsia="Arial" w:hAnsi="Arial"/>
                <w:sz w:val="18"/>
                <w:szCs w:val="18"/>
                <w:color w:val="auto"/>
                <w:w w:val="89"/>
              </w:rPr>
              <w:t>1/11/2020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Total:</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65,709</w:t>
            </w:r>
          </w:p>
        </w:tc>
        <w:tc>
          <w:tcPr>
            <w:tcW w:w="2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5,292</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80" w:hanging="572"/>
        <w:spacing w:after="0" w:line="264"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warrant to purchase restricted shares of our common stock granted on March 3, 2013 at the market price of our common stock on the grant date. At March 31, 2015, the warrant is exercisable for 75% of the shares and became exercisable for the remaining 25% of the shares on April 1, 2015.</w:t>
      </w:r>
    </w:p>
    <w:p>
      <w:pPr>
        <w:spacing w:after="0" w:line="208" w:lineRule="exact"/>
        <w:rPr>
          <w:rFonts w:ascii="Arial" w:cs="Arial" w:eastAsia="Arial" w:hAnsi="Arial"/>
          <w:sz w:val="18"/>
          <w:szCs w:val="18"/>
          <w:color w:val="auto"/>
        </w:rPr>
      </w:pPr>
    </w:p>
    <w:p>
      <w:pPr>
        <w:jc w:val="both"/>
        <w:ind w:left="580" w:hanging="572"/>
        <w:spacing w:after="0" w:line="257"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warrant to purchase restricted shares of our common stock granted on March 19, 2014 when the market price of our common stock was $9.20 per share. The warrant became exercisable for 50% of the shares on April 1, 2014, and became exercisable for an additional 25% of the shares on April 1, 2015. It becomes exercisable for the remaining 25% of the shares on April 1, 2016, provided that the warrant will become fully vested upon a change in control of the Company, as defined, or upon the consummation by the Company and a third party of a license or sale transaction involving at least one new Drug Rescue Variant.</w:t>
      </w:r>
    </w:p>
    <w:p>
      <w:pPr>
        <w:spacing w:after="0" w:line="188"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Represents warrant to purchase restricted shares of our common stock granted as fully-exercisable on January 11, 2015 when the market price of our common stock was $8.00 per share.</w:t>
      </w:r>
    </w:p>
    <w:p>
      <w:pPr>
        <w:sectPr>
          <w:pgSz w:w="11900" w:h="16838" w:orient="portrait"/>
          <w:cols w:equalWidth="0" w:num="1">
            <w:col w:w="11420"/>
          </w:cols>
          <w:pgMar w:left="240" w:top="130" w:right="239" w:bottom="0" w:gutter="0" w:footer="0" w:header="0"/>
        </w:sectPr>
      </w:pPr>
    </w:p>
    <w:bookmarkStart w:id="102" w:name="page103"/>
    <w:bookmarkEnd w:id="102"/>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or Severance Agreements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have employment agreements with Mr. Singh and Dr. Snodgrass.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Singh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entered into an employment agreement with Mr. Singh on April 28, 2010. Under the agreement, as amended on May 9, 2011, Mr. Singh’s base salary is $347,500 per year. However, to conserve cash for our operations, Mr. Singh has not received his full base salary in any fiscal year since he entered into his agreement in 2010. In our fiscal year ended March 31, 2015, Mr. Singh received only $82,813 in cash. In our fiscal year ended March 31, 2014, Mr. Singh voluntarily reduced his base salary to $250,000, but only received $125,000 in cash. Although, under his agreement, Mr. Singh is eligible to receive an annual incentive cash bonus of up to 50% of his base salary, he has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216" w:lineRule="exact"/>
        <w:rPr>
          <w:sz w:val="20"/>
          <w:szCs w:val="20"/>
          <w:color w:val="auto"/>
        </w:rPr>
      </w:pPr>
    </w:p>
    <w:p>
      <w:pPr>
        <w:ind w:left="960" w:hanging="28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52" w:lineRule="exact"/>
        <w:rPr>
          <w:rFonts w:ascii="Arial" w:cs="Arial" w:eastAsia="Arial" w:hAnsi="Arial"/>
          <w:sz w:val="18"/>
          <w:szCs w:val="18"/>
          <w:color w:val="auto"/>
        </w:rPr>
      </w:pPr>
    </w:p>
    <w:p>
      <w:pPr>
        <w:ind w:left="960" w:hanging="286"/>
        <w:spacing w:after="0" w:line="277"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pro-rated portion of the incentive cash bonus that the Board of Directors determines in good faith that Mr. Singh earned prior to his termination; and</w:t>
      </w:r>
    </w:p>
    <w:p>
      <w:pPr>
        <w:spacing w:after="0" w:line="197" w:lineRule="exact"/>
        <w:rPr>
          <w:rFonts w:ascii="Arial" w:cs="Arial" w:eastAsia="Arial" w:hAnsi="Arial"/>
          <w:sz w:val="18"/>
          <w:szCs w:val="18"/>
          <w:color w:val="auto"/>
        </w:rPr>
      </w:pPr>
    </w:p>
    <w:p>
      <w:pPr>
        <w:ind w:left="960" w:hanging="286"/>
        <w:spacing w:after="0" w:line="277"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such amounts required to reimburse him for Consolidated Omnibus Budget Reconciliation Act (</w:t>
      </w:r>
      <w:r>
        <w:rPr>
          <w:rFonts w:ascii="Arial" w:cs="Arial" w:eastAsia="Arial" w:hAnsi="Arial"/>
          <w:sz w:val="18"/>
          <w:szCs w:val="18"/>
          <w:i w:val="1"/>
          <w:iCs w:val="1"/>
          <w:color w:val="auto"/>
        </w:rPr>
        <w:t>COBRA</w:t>
      </w:r>
      <w:r>
        <w:rPr>
          <w:rFonts w:ascii="Arial" w:cs="Arial" w:eastAsia="Arial" w:hAnsi="Arial"/>
          <w:sz w:val="18"/>
          <w:szCs w:val="18"/>
          <w:color w:val="auto"/>
        </w:rPr>
        <w:t>) payments for continuation of his medical health benefits for such twelve-month period.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in the event Mr. Singh terminates his employment with good reason following a change of control, he is entitled to twelve months of his then-current base salary payable in the form of salary continuation.</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December 2006, we accepted a full-recourse promissory note in the amount of $103,411 from Mr. Singh in payment of the exercise price for options and warrants to purchase an aggregate of 6,320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2015 and 2014, we had accrued $101,936 as an estimate of the gross-up amount. However, as a result of Mr. Singh’s forbearance, we have not yet paid such amount to Mr. Singh to conserve capital for our operations. See Note 14 to our audited consolidated financial statements which are included in this prospectus.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Snodgrass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entered into an employment agreement with Dr. Snodgrass on April 28, 2010. Under the agreement, as amended on May 9, 2011, Dr. Snodgrass’s base salary is $305,000 per year. However, to conserve cash for our operations, Dr. Snodgrass has not received his full base salary in any year since he entered into his agreement in 2010. In our fiscal year ended March 31, 2015, Dr. Snodgrass received only $157,292 in cash. In our fiscal year ended March 31, 2014, Dr. Snodgrass voluntarily reduced his annual salary to $250,000, but received only $149,606 in cash. Dr. Snodgrass is eligible to receive an annual incentive cash bonus of up to 50% of his base salary, but he has foregone any such cash bonus payment to conserve cash for our operations. Payment of his annual incentive bonus is at the discretion of the Board of Directors. In the event we terminate Dr. Snodgrass’s employment without cause, he is entitled to receive severance in an amount equal to</w:t>
      </w:r>
    </w:p>
    <w:p>
      <w:pPr>
        <w:spacing w:after="0" w:line="216" w:lineRule="exact"/>
        <w:rPr>
          <w:sz w:val="20"/>
          <w:szCs w:val="20"/>
          <w:color w:val="auto"/>
        </w:rPr>
      </w:pPr>
    </w:p>
    <w:p>
      <w:pPr>
        <w:ind w:left="960" w:hanging="286"/>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twelve months of his then-current base salary payable in the form of salary continuation;</w:t>
      </w:r>
    </w:p>
    <w:p>
      <w:pPr>
        <w:spacing w:after="0" w:line="252" w:lineRule="exact"/>
        <w:rPr>
          <w:rFonts w:ascii="Arial" w:cs="Arial" w:eastAsia="Arial" w:hAnsi="Arial"/>
          <w:sz w:val="18"/>
          <w:szCs w:val="18"/>
          <w:color w:val="auto"/>
        </w:rPr>
      </w:pPr>
    </w:p>
    <w:p>
      <w:pPr>
        <w:ind w:left="960" w:hanging="286"/>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pro-rated portion of the incentive bonus that the Board of Directors determines in good faith that Dr. Snodgrass earned prior to his termination; and</w:t>
      </w:r>
    </w:p>
    <w:p>
      <w:pPr>
        <w:spacing w:after="0" w:line="197" w:lineRule="exact"/>
        <w:rPr>
          <w:rFonts w:ascii="Arial" w:cs="Arial" w:eastAsia="Arial" w:hAnsi="Arial"/>
          <w:sz w:val="18"/>
          <w:szCs w:val="18"/>
          <w:color w:val="auto"/>
        </w:rPr>
      </w:pPr>
    </w:p>
    <w:p>
      <w:pPr>
        <w:ind w:left="960" w:hanging="286"/>
        <w:spacing w:after="0"/>
        <w:tabs>
          <w:tab w:leader="none" w:pos="9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such amounts required to reimburse him for COBRA payments for continuation of his medical health benefits for such twelve-month period.</w:t>
      </w:r>
    </w:p>
    <w:p>
      <w:pPr>
        <w:spacing w:after="0" w:line="2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in the event Dr. Snodgrass terminates his employment with good reason, he is entitled to twelve months of his then-current base salary payable in the form of salary continuation.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Provisions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effected by us without the executive’s consent (subject to our right to cure):</w:t>
      </w:r>
    </w:p>
    <w:p>
      <w:pPr>
        <w:spacing w:after="0" w:line="187" w:lineRule="exact"/>
        <w:rPr>
          <w:sz w:val="20"/>
          <w:szCs w:val="20"/>
          <w:color w:val="auto"/>
        </w:rPr>
      </w:pPr>
    </w:p>
    <w:p>
      <w:pPr>
        <w:ind w:left="960" w:hanging="286"/>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material reduction in the executive’s responsibility; or</w:t>
      </w:r>
    </w:p>
    <w:p>
      <w:pPr>
        <w:spacing w:after="0" w:line="252" w:lineRule="exact"/>
        <w:rPr>
          <w:rFonts w:ascii="Arial" w:cs="Arial" w:eastAsia="Arial" w:hAnsi="Arial"/>
          <w:sz w:val="18"/>
          <w:szCs w:val="18"/>
          <w:color w:val="auto"/>
        </w:rPr>
      </w:pPr>
    </w:p>
    <w:p>
      <w:pPr>
        <w:ind w:left="960" w:hanging="286"/>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material reduction in the executive’s base salary except for reductions that are comparable to reductions generally applicable to similarly situated executives of VistaGen.</w:t>
      </w:r>
    </w:p>
    <w:p>
      <w:pPr>
        <w:sectPr>
          <w:pgSz w:w="11900" w:h="16838" w:orient="portrait"/>
          <w:cols w:equalWidth="0" w:num="1">
            <w:col w:w="11420"/>
          </w:cols>
          <w:pgMar w:left="240" w:top="130" w:right="239" w:bottom="1001"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001" w:gutter="0" w:footer="0" w:header="0"/>
          <w:type w:val="continuous"/>
        </w:sectPr>
      </w:pPr>
    </w:p>
    <w:bookmarkStart w:id="104" w:name="page105"/>
    <w:bookmarkEnd w:id="104"/>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pursuant to their respective employment agreements and their stock option award agreements as amended, in the event we terminate the executive without cause within twelve months of a change of control, the executive’s remaining unvested option shares become fully vested and exercisable. Upon a change of control in which the successor corporation does not assume the executive’s stock options, the stock options granted to the executive become fully vested and exercisable.</w:t>
      </w:r>
    </w:p>
    <w:p>
      <w:pPr>
        <w:spacing w:after="0" w:line="21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their respective employment agreements, a change of control occurs when: (i) any “person” as such term is used in Sections 13(d) and 14(d) of the Exchange Act (other than VistaGen, a subsidiary, an affiliate, or a VistaGen employee benefit plan, including any trustee of such plan acting as trustee) becoming the “beneficial owner” (as defined in Rule 13d-3 under the Exchange), directly or indirectly, of securities of VistaGen representing 50% or more of the combined voting power of VistaGen’s then outstanding securities; (ii) a sale of substantially all of VistaGen’s assets; or (iii) any merger or reorganization of VistaGen whether or not another entity is the survivor, pursuant to which the holders of all the shares of capital stock of VistaGen outstanding prior to the transaction hold, as a group, fewer than 50% of the shares of capital stock of VistaGen outstanding after the transaction.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their respective employment agreements, the estimated amount that could be paid by us assuming that a change of control occurred on the last business day of our current fiscal year, is $347,500 for Mr. Singh and $305,000 for Dr. Snodgrass, excluding the imputed value of accelerated vesting of incentive stock options, if any.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5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do not have a formal compensation plan for our non-employee directors. We adopted a director compensation policy for our independent directors, as independence is defined by the NASDAQ Stock Market, which became effective for our fiscal year beginning April 1, 2014. Under the independent director compensation policy, our independent directors are entitled to receive a $25,000 annual cash retainer. For service on a committee of the board, an independent director is entitled to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We did not pay our independent directors any cash compensation during our fiscal year ended March 31, 2015.</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our director compensation policy, each independent director will also receive an annual grant of an option or warrant to purchase a minimum of 1,250 shares of our common stock, which will vest monthly over a one-year period from the date of grant. In January 2015, we granted fully-vested warrants to purchase 20,000 shares of our restricted stock at an exercise price of $10.00 per share to each of our independent directors. We expect to make future grants on the same date as our annual meeting. Prorated grants will be made for partial years of service.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a summary of the compensation earned by our non-employee directors in our fiscal year ended March 31, 2015.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Option and</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Fees Earned or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Warrant</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w w:val="91"/>
              </w:rPr>
              <w:t>Paid in Cash (1)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Awards (2)</w:t>
            </w: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w:t>
            </w:r>
          </w:p>
        </w:tc>
        <w:tc>
          <w:tcPr>
            <w:tcW w:w="13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Jon S. Saxe (3)</w:t>
            </w:r>
          </w:p>
        </w:tc>
        <w:tc>
          <w:tcPr>
            <w:tcW w:w="240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91,734(5)</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146,734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Brian J. Underdown, Ph.D. (4)</w:t>
            </w:r>
          </w:p>
        </w:tc>
        <w:tc>
          <w:tcPr>
            <w:tcW w:w="240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57,500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91,734(5)</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149,234</w:t>
            </w:r>
          </w:p>
        </w:tc>
        <w:tc>
          <w:tcPr>
            <w:tcW w:w="0" w:type="dxa"/>
            <w:vAlign w:val="bottom"/>
          </w:tcPr>
          <w:p>
            <w:pPr>
              <w:spacing w:after="0"/>
              <w:rPr>
                <w:sz w:val="1"/>
                <w:szCs w:val="1"/>
                <w:color w:val="auto"/>
              </w:rPr>
            </w:pPr>
          </w:p>
        </w:tc>
      </w:tr>
      <w:tr>
        <w:trPr>
          <w:trHeight w:val="809"/>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10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21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5" w:name="page106"/>
    <w:bookmarkEnd w:id="105"/>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left="580" w:hanging="572"/>
        <w:spacing w:after="0" w:line="264"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amounts shown represent fees earned for service on our Board of Directors, and Audit Committee, Compensation Committee and Corporate Governance and Nominating Committee during the fiscal year ended March 31, 2015 which we have accrued but have not paid to the director during that period or through the date of this prospectus.</w:t>
      </w:r>
    </w:p>
    <w:p>
      <w:pPr>
        <w:spacing w:after="0" w:line="181" w:lineRule="exact"/>
        <w:rPr>
          <w:rFonts w:ascii="Arial" w:cs="Arial" w:eastAsia="Arial" w:hAnsi="Arial"/>
          <w:sz w:val="18"/>
          <w:szCs w:val="18"/>
          <w:color w:val="auto"/>
        </w:rPr>
      </w:pPr>
    </w:p>
    <w:p>
      <w:pPr>
        <w:jc w:val="both"/>
        <w:ind w:left="580" w:hanging="572"/>
        <w:spacing w:after="0" w:line="272" w:lineRule="auto"/>
        <w:tabs>
          <w:tab w:leader="none" w:pos="5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amounts in this column represent the aggregate grant date fair value of warrants to purchase restricted shares of our common stock awarded to Mr. Saxe and Dr. Underdown occurring during the fiscal year ended March 31, 2015, computed in accordance with the Financial Accounting Standards Board’s Accounting Standards Codification Topic 718, Compensation – Stock Compensation ("</w:t>
      </w:r>
      <w:r>
        <w:rPr>
          <w:rFonts w:ascii="Arial" w:cs="Arial" w:eastAsia="Arial" w:hAnsi="Arial"/>
          <w:sz w:val="17"/>
          <w:szCs w:val="17"/>
          <w:i w:val="1"/>
          <w:iCs w:val="1"/>
          <w:color w:val="auto"/>
        </w:rPr>
        <w:t>ASC 718</w:t>
      </w:r>
      <w:r>
        <w:rPr>
          <w:rFonts w:ascii="Arial" w:cs="Arial" w:eastAsia="Arial" w:hAnsi="Arial"/>
          <w:sz w:val="17"/>
          <w:szCs w:val="17"/>
          <w:color w:val="auto"/>
        </w:rPr>
        <w:t>”). The amounts in this column do not represent any cash payment actually received by Mr. Saxe or Dr. Underdown with respect to any of such warrants to purchase restricted shares of our common stock awarded to them during the fiscal year ended March 31, 2015. To date, Mr. Saxe and Dr. Underdown have not exercised such warrants to purchase common stock, and there can be no assurance that either of them will ever realize any of the ASC 718 grant date fair value amounts presented in the Option and Warrant Awards column.</w:t>
      </w:r>
    </w:p>
    <w:p>
      <w:pPr>
        <w:spacing w:after="0" w:line="177" w:lineRule="exact"/>
        <w:rPr>
          <w:rFonts w:ascii="Arial" w:cs="Arial" w:eastAsia="Arial" w:hAnsi="Arial"/>
          <w:sz w:val="17"/>
          <w:szCs w:val="17"/>
          <w:color w:val="auto"/>
        </w:rPr>
      </w:pPr>
    </w:p>
    <w:p>
      <w:pPr>
        <w:jc w:val="both"/>
        <w:ind w:left="580" w:hanging="572"/>
        <w:spacing w:after="0" w:line="257"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Mr. Saxe has served as the Chairman of our Board of Directors, the Chairman of our Audit Committee and a member of our Compensation Committee and Corporate Governance and Nominating Committee throughout our fiscal year ended March 31, 2015. At March 31, 2015, Mr. Saxe holds: (i) 1,875 restricted shares of our common stock; (ii) options to purchase 12,500 restricted shares of our common stock, of which options to purchase 12,448 restricted shares are vested; and (iii) warrants to purchase 33,250 restricted shares of our common stock, of which 29,750 are exercisable and of which an additional 2,687 shares became exercisable on April 1, 2015.</w:t>
      </w:r>
    </w:p>
    <w:p>
      <w:pPr>
        <w:spacing w:after="0" w:line="188" w:lineRule="exact"/>
        <w:rPr>
          <w:rFonts w:ascii="Arial" w:cs="Arial" w:eastAsia="Arial" w:hAnsi="Arial"/>
          <w:sz w:val="18"/>
          <w:szCs w:val="18"/>
          <w:color w:val="auto"/>
        </w:rPr>
      </w:pPr>
    </w:p>
    <w:p>
      <w:pPr>
        <w:jc w:val="both"/>
        <w:ind w:left="580" w:hanging="572"/>
        <w:spacing w:after="0" w:line="257"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Dr. Underdown has served as a member of our Board of Directors, as the Chairman of our Compensation Committee and Corporate Governance and Nominating Committee and as a member of our Audit Committee throughout our fiscal year ended March 31, 2015. At March 31, 2015, Dr. Underdown holds: (i) options to purchase 9,250 restricted shares of our common stock, of which options to purchase 9,198 restricted shares are vested; and (ii) warrants to purchase 32,500 restricted shares of our common stock, of which 29,375 are exercisable and of which an additional 2,500 shares became exercisable on April 1, 2015.</w:t>
      </w:r>
    </w:p>
    <w:p>
      <w:pPr>
        <w:spacing w:after="0" w:line="188" w:lineRule="exact"/>
        <w:rPr>
          <w:rFonts w:ascii="Arial" w:cs="Arial" w:eastAsia="Arial" w:hAnsi="Arial"/>
          <w:sz w:val="18"/>
          <w:szCs w:val="18"/>
          <w:color w:val="auto"/>
        </w:rPr>
      </w:pPr>
    </w:p>
    <w:p>
      <w:pPr>
        <w:ind w:left="580" w:right="20" w:hanging="572"/>
        <w:spacing w:after="0" w:line="342" w:lineRule="auto"/>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table below provides information regarding the warrant awards we granted to Mr. Saxe and Dr. Underdown during fiscal 2015 and the assumptions used in the Black Scholes Option Pricing Model to determine the grant date fair values of the awards as reported in the table above.</w:t>
      </w:r>
    </w:p>
    <w:p>
      <w:pPr>
        <w:spacing w:after="0" w:line="165"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39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3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10.00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Volatility</w:t>
            </w:r>
          </w:p>
        </w:tc>
        <w:tc>
          <w:tcPr>
            <w:tcW w:w="39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75.86%</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5.00</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Dividend rate</w:t>
            </w:r>
          </w:p>
        </w:tc>
        <w:tc>
          <w:tcPr>
            <w:tcW w:w="39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40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Fair value per share</w:t>
            </w:r>
          </w:p>
        </w:tc>
        <w:tc>
          <w:tcPr>
            <w:tcW w:w="39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4.59</w:t>
            </w:r>
          </w:p>
        </w:tc>
      </w:tr>
      <w:tr>
        <w:trPr>
          <w:trHeight w:val="216"/>
        </w:trPr>
        <w:tc>
          <w:tcPr>
            <w:tcW w:w="540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Aggregate shares</w:t>
            </w:r>
          </w:p>
        </w:tc>
        <w:tc>
          <w:tcPr>
            <w:tcW w:w="398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40,000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securities are not currently listed on a national securities exchange or on any inter-dealer quotation system that has a requirement that directors be independent, or that a majority of our directors be independent. However, we evaluate independence by the standards for director independence established by applicable laws, rules, and listing standards, including, without limitation, the standards for independent directors established by the SEC, the New York Stock Exchange, Inc. and the NASDAQ Stock Market.</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and Dr. Underdown are “independent” as that term is defined under the applicable rules and regulations of the SEC. Our Board of Directors has also determined that Mr. Saxe and Dr. Underdown, who comprise our audit committee, compensation committee, corporate governance and nominating committee, satisfy the independence standards for those committees established by applicable SEC rules. In making these determinations, our Board of Directors considered the current and prior relationships that each non-employee director has with the Company and all other facts and circumstances that our Board of Directors deemed relevant.</w:t>
      </w:r>
    </w:p>
    <w:p>
      <w:pPr>
        <w:sectPr>
          <w:pgSz w:w="11900" w:h="16838" w:orient="portrait"/>
          <w:cols w:equalWidth="0" w:num="1">
            <w:col w:w="11420"/>
          </w:cols>
          <w:pgMar w:left="240" w:top="130"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06" w:name="page107"/>
    <w:bookmarkEnd w:id="106"/>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of Securities to Cato Holding Company</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Cato Holding Company (</w:t>
      </w:r>
      <w:r>
        <w:rPr>
          <w:rFonts w:ascii="Arial" w:cs="Arial" w:eastAsia="Arial" w:hAnsi="Arial"/>
          <w:sz w:val="17"/>
          <w:szCs w:val="17"/>
          <w:i w:val="1"/>
          <w:iCs w:val="1"/>
          <w:color w:val="auto"/>
        </w:rPr>
        <w:t>CHC</w:t>
      </w:r>
      <w:r>
        <w:rPr>
          <w:rFonts w:ascii="Arial" w:cs="Arial" w:eastAsia="Arial" w:hAnsi="Arial"/>
          <w:sz w:val="17"/>
          <w:szCs w:val="17"/>
          <w:color w:val="auto"/>
        </w:rPr>
        <w:t>), doing business as Cato BioVentures (</w:t>
      </w:r>
      <w:r>
        <w:rPr>
          <w:rFonts w:ascii="Arial" w:cs="Arial" w:eastAsia="Arial" w:hAnsi="Arial"/>
          <w:sz w:val="17"/>
          <w:szCs w:val="17"/>
          <w:i w:val="1"/>
          <w:iCs w:val="1"/>
          <w:color w:val="auto"/>
        </w:rPr>
        <w:t>CBV</w:t>
      </w:r>
      <w:r>
        <w:rPr>
          <w:rFonts w:ascii="Arial" w:cs="Arial" w:eastAsia="Arial" w:hAnsi="Arial"/>
          <w:sz w:val="17"/>
          <w:szCs w:val="17"/>
          <w:color w:val="auto"/>
        </w:rPr>
        <w:t>), the parent of Cato Research Ltd. (</w:t>
      </w:r>
      <w:r>
        <w:rPr>
          <w:rFonts w:ascii="Arial" w:cs="Arial" w:eastAsia="Arial" w:hAnsi="Arial"/>
          <w:sz w:val="17"/>
          <w:szCs w:val="17"/>
          <w:i w:val="1"/>
          <w:iCs w:val="1"/>
          <w:color w:val="auto"/>
        </w:rPr>
        <w:t>CRL)</w:t>
      </w:r>
      <w:r>
        <w:rPr>
          <w:rFonts w:ascii="Arial" w:cs="Arial" w:eastAsia="Arial" w:hAnsi="Arial"/>
          <w:sz w:val="17"/>
          <w:szCs w:val="17"/>
          <w:color w:val="auto"/>
        </w:rPr>
        <w:t xml:space="preserve">, is one of our largest institutional stockholders at March 31, 2015, holding common stock and warrants to purchase our common stock. Shawn Singh, our Chief Executive Officer and member of our Board of Directors, served as Managing Principal of CBV and as an officer of CRL until August 2009. On October 10, 2012, we issued to CHC an unsecured promissory note in the principal amount of $310,443 (the </w:t>
      </w:r>
      <w:r>
        <w:rPr>
          <w:rFonts w:ascii="Arial" w:cs="Arial" w:eastAsia="Arial" w:hAnsi="Arial"/>
          <w:sz w:val="17"/>
          <w:szCs w:val="17"/>
          <w:i w:val="1"/>
          <w:iCs w:val="1"/>
          <w:color w:val="auto"/>
        </w:rPr>
        <w:t>2012 CHC Note</w:t>
      </w:r>
      <w:r>
        <w:rPr>
          <w:rFonts w:ascii="Arial" w:cs="Arial" w:eastAsia="Arial" w:hAnsi="Arial"/>
          <w:sz w:val="17"/>
          <w:szCs w:val="17"/>
          <w:color w:val="auto"/>
        </w:rPr>
        <w:t xml:space="preserve">) and a five-year warrant to purchase 12,500 restricted shares of the Company’s common stock at a price of $30.00 per share (the </w:t>
      </w:r>
      <w:r>
        <w:rPr>
          <w:rFonts w:ascii="Arial" w:cs="Arial" w:eastAsia="Arial" w:hAnsi="Arial"/>
          <w:sz w:val="17"/>
          <w:szCs w:val="17"/>
          <w:i w:val="1"/>
          <w:iCs w:val="1"/>
          <w:color w:val="auto"/>
        </w:rPr>
        <w:t>CHC Warrant</w:t>
      </w:r>
      <w:r>
        <w:rPr>
          <w:rFonts w:ascii="Arial" w:cs="Arial" w:eastAsia="Arial" w:hAnsi="Arial"/>
          <w:sz w:val="17"/>
          <w:szCs w:val="17"/>
          <w:color w:val="auto"/>
        </w:rPr>
        <w:t xml:space="preserve">). Additionally, on October 10, 2012, we issued to CRL: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7"/>
          <w:szCs w:val="17"/>
          <w:i w:val="1"/>
          <w:iCs w:val="1"/>
          <w:color w:val="auto"/>
        </w:rPr>
        <w:t>CRL Note</w:t>
      </w:r>
      <w:r>
        <w:rPr>
          <w:rFonts w:ascii="Arial" w:cs="Arial" w:eastAsia="Arial" w:hAnsi="Arial"/>
          <w:sz w:val="17"/>
          <w:szCs w:val="17"/>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The 2012 CHC Note and the CRL Note mature on March 31, 2016. Total interest expense on notes payable to CHC and CRL was $174,800 and $167,900 for the fiscal years ended March 31, 2015 and 2014,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Research and Development Agreement with Cato Research Ltd.</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fiscal year 2007, we entered into a contract research organization arrangement with CRL related to the development of AV-101, under which we incurred expenses of $38,100 and $52,500 for the fiscal years ended March 31, 2015 and 2014,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Receivable from Shawn K. Singh, JD and Advances to us by Mr. Singh</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Upon the approval of its Board of Directors, in December 2006, VistaGen California accepted a full-recourse promissory note in the amount of $103,400 from Mr. Shawn Singh in payment of the exercise price for options and warrants to purchase an aggregate of 6,320 restricted shares of VistaGen California’s common stock. The note accrued interest at a rate of 4.90% per annum and was due and payable no later than the earlier of (i) December 1, 2016 or (ii) ten days prior to our becoming subject to the requirements of the Exchange Act.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2015 and 2014, we had accrued $101,900 as an estimate of the gross-up amount, but we had not yet paid any of that amount to Mr. Singh. As a result of Mr. Singh’s forbearance, it remains unpaid through the date of this prospectus.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Between September 2013 and December 2013, Mr. Singh provided short-term cash advances aggregating $64,000 to meet our short-term working capital requirements. In lieu of cash repayment of the entire amount of the advances, in December 2013, Mr. Singh elected to invest $50,000 of the balance due him in the 2013 Unit Private Placement. At March 31, 2015, we have completely repaid the remaining balance of the advances and the $50,000 promissory note issued in connection with his investment in the 2013 Unit Private Placement to Mr. Singh.</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7" w:name="page108"/>
    <w:bookmarkEnd w:id="107"/>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July 17, 2015 for:</w:t>
      </w:r>
    </w:p>
    <w:p>
      <w:pPr>
        <w:spacing w:after="0" w:line="225" w:lineRule="exact"/>
        <w:rPr>
          <w:sz w:val="20"/>
          <w:szCs w:val="20"/>
          <w:color w:val="auto"/>
        </w:rPr>
      </w:pPr>
    </w:p>
    <w:p>
      <w:pPr>
        <w:ind w:left="920" w:hanging="259"/>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common stock;</w:t>
      </w:r>
    </w:p>
    <w:p>
      <w:pPr>
        <w:spacing w:after="0" w:line="23" w:lineRule="exact"/>
        <w:rPr>
          <w:rFonts w:ascii="Arial" w:cs="Arial" w:eastAsia="Arial" w:hAnsi="Arial"/>
          <w:sz w:val="18"/>
          <w:szCs w:val="18"/>
          <w:color w:val="auto"/>
        </w:rPr>
      </w:pPr>
    </w:p>
    <w:p>
      <w:pPr>
        <w:ind w:left="920" w:hanging="259"/>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 w:lineRule="exact"/>
        <w:rPr>
          <w:rFonts w:ascii="Arial" w:cs="Arial" w:eastAsia="Arial" w:hAnsi="Arial"/>
          <w:sz w:val="18"/>
          <w:szCs w:val="18"/>
          <w:color w:val="auto"/>
        </w:rPr>
      </w:pPr>
    </w:p>
    <w:p>
      <w:pPr>
        <w:ind w:left="920" w:hanging="259"/>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9" w:lineRule="exact"/>
        <w:rPr>
          <w:rFonts w:ascii="Arial" w:cs="Arial" w:eastAsia="Arial" w:hAnsi="Arial"/>
          <w:sz w:val="18"/>
          <w:szCs w:val="18"/>
          <w:color w:val="auto"/>
        </w:rPr>
      </w:pPr>
    </w:p>
    <w:p>
      <w:pPr>
        <w:ind w:left="920" w:hanging="259"/>
        <w:spacing w:after="0"/>
        <w:tabs>
          <w:tab w:leader="none" w:pos="9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23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Applicable percentage ownership is based on 1,594,461 shares of capital stock outstanding at July 17, 2015. In computing the number of shares of common stock beneficially owned by a person, we deemed to be outstanding all shares of common stock subject to options or warrants held by that person or entity that are currently exercisable or that will become exercisable within 60 days of July 17, 2015 and all shares of common stock issuable pursuant to promissory notes and related accrued interest convertible into shares of common stock at July 17, 2015. In computing the percentage of shares beneficially owned, we deemed to be outstanding all shares of common stock subject to options or warrants held by that person or entity that are currently exercisable or that will become exercisable within 60 days of July 17, 2015 and all shares of common stock issuable pursuant to promissory notes and related accrued interest convertible into shares of common stock at July 17, 2015. Unless otherwise noted below, the address of each beneficial owner listed in the table is c/o VistaGen Therapeutics, Inc., 343 Allerton Avenue, South San Francisco, California 94080.</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of 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Number of shares</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beneficially</w:t>
            </w:r>
          </w:p>
        </w:tc>
        <w:tc>
          <w:tcPr>
            <w:tcW w:w="0" w:type="dxa"/>
            <w:vAlign w:val="bottom"/>
          </w:tcPr>
          <w:p>
            <w:pPr>
              <w:spacing w:after="0"/>
              <w:rPr>
                <w:sz w:val="1"/>
                <w:szCs w:val="1"/>
                <w:color w:val="auto"/>
              </w:rPr>
            </w:pPr>
          </w:p>
        </w:tc>
      </w:tr>
      <w:tr>
        <w:trPr>
          <w:trHeight w:val="241"/>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beneficially owned</w:t>
            </w:r>
          </w:p>
        </w:tc>
        <w:tc>
          <w:tcPr>
            <w:tcW w:w="1400" w:type="dxa"/>
            <w:vAlign w:val="bottom"/>
            <w:gridSpan w:val="2"/>
          </w:tcPr>
          <w:p>
            <w:pPr>
              <w:jc w:val="center"/>
              <w:ind w:right="160"/>
              <w:spacing w:after="0" w:line="234" w:lineRule="exact"/>
              <w:rPr>
                <w:sz w:val="20"/>
                <w:szCs w:val="20"/>
                <w:color w:val="auto"/>
              </w:rPr>
            </w:pPr>
            <w:r>
              <w:rPr>
                <w:rFonts w:ascii="Arial" w:cs="Arial" w:eastAsia="Arial" w:hAnsi="Arial"/>
                <w:sz w:val="18"/>
                <w:szCs w:val="18"/>
                <w:b w:val="1"/>
                <w:bCs w:val="1"/>
                <w:color w:val="auto"/>
                <w:w w:val="82"/>
              </w:rPr>
              <w:t xml:space="preserve">owned </w:t>
            </w:r>
            <w:r>
              <w:rPr>
                <w:rFonts w:ascii="Arial" w:cs="Arial" w:eastAsia="Arial" w:hAnsi="Arial"/>
                <w:sz w:val="25"/>
                <w:szCs w:val="25"/>
                <w:b w:val="1"/>
                <w:bCs w:val="1"/>
                <w:color w:val="auto"/>
                <w:w w:val="82"/>
                <w:vertAlign w:val="superscript"/>
              </w:rPr>
              <w:t>(1)</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Shawn K. Singh, JD </w:t>
            </w:r>
            <w:r>
              <w:rPr>
                <w:rFonts w:ascii="Arial" w:cs="Arial" w:eastAsia="Arial" w:hAnsi="Arial"/>
                <w:sz w:val="25"/>
                <w:szCs w:val="25"/>
                <w:color w:val="auto"/>
                <w:vertAlign w:val="superscript"/>
              </w:rPr>
              <w:t>(2)</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341,287</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line="216" w:lineRule="exact"/>
              <w:rPr>
                <w:sz w:val="20"/>
                <w:szCs w:val="20"/>
                <w:color w:val="auto"/>
              </w:rPr>
            </w:pPr>
            <w:r>
              <w:rPr>
                <w:rFonts w:ascii="Arial" w:cs="Arial" w:eastAsia="Arial" w:hAnsi="Arial"/>
                <w:sz w:val="18"/>
                <w:szCs w:val="18"/>
                <w:color w:val="auto"/>
              </w:rPr>
              <w:t xml:space="preserve">H. Ralph Snodgrass, PhD </w:t>
            </w:r>
            <w:r>
              <w:rPr>
                <w:rFonts w:ascii="Arial" w:cs="Arial" w:eastAsia="Arial" w:hAnsi="Arial"/>
                <w:sz w:val="25"/>
                <w:szCs w:val="25"/>
                <w:color w:val="auto"/>
                <w:vertAlign w:val="superscript"/>
              </w:rPr>
              <w:t>(3)</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239,293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Jerrold D. Dotson </w:t>
            </w:r>
            <w:r>
              <w:rPr>
                <w:rFonts w:ascii="Arial" w:cs="Arial" w:eastAsia="Arial" w:hAnsi="Arial"/>
                <w:sz w:val="25"/>
                <w:szCs w:val="25"/>
                <w:color w:val="auto"/>
                <w:vertAlign w:val="superscript"/>
              </w:rPr>
              <w:t>(4)</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70,344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line="216" w:lineRule="exact"/>
              <w:rPr>
                <w:sz w:val="20"/>
                <w:szCs w:val="20"/>
                <w:color w:val="auto"/>
              </w:rPr>
            </w:pPr>
            <w:r>
              <w:rPr>
                <w:rFonts w:ascii="Arial" w:cs="Arial" w:eastAsia="Arial" w:hAnsi="Arial"/>
                <w:sz w:val="18"/>
                <w:szCs w:val="18"/>
                <w:color w:val="auto"/>
              </w:rPr>
              <w:t xml:space="preserve">Jon S. Saxe </w:t>
            </w:r>
            <w:r>
              <w:rPr>
                <w:rFonts w:ascii="Arial" w:cs="Arial" w:eastAsia="Arial" w:hAnsi="Arial"/>
                <w:sz w:val="25"/>
                <w:szCs w:val="25"/>
                <w:color w:val="auto"/>
                <w:vertAlign w:val="superscript"/>
              </w:rPr>
              <w:t>(5)</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46,563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Brian J. Underdown, PhD </w:t>
            </w:r>
            <w:r>
              <w:rPr>
                <w:rFonts w:ascii="Arial" w:cs="Arial" w:eastAsia="Arial" w:hAnsi="Arial"/>
                <w:sz w:val="25"/>
                <w:szCs w:val="25"/>
                <w:color w:val="auto"/>
                <w:vertAlign w:val="superscript"/>
              </w:rPr>
              <w:t>(6)</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41,125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5% Stockholders: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line="216" w:lineRule="exact"/>
              <w:rPr>
                <w:sz w:val="20"/>
                <w:szCs w:val="20"/>
                <w:color w:val="auto"/>
              </w:rPr>
            </w:pPr>
            <w:r>
              <w:rPr>
                <w:rFonts w:ascii="Arial" w:cs="Arial" w:eastAsia="Arial" w:hAnsi="Arial"/>
                <w:sz w:val="18"/>
                <w:szCs w:val="18"/>
                <w:color w:val="auto"/>
              </w:rPr>
              <w:t xml:space="preserve">Cato BioVentures </w:t>
            </w:r>
            <w:r>
              <w:rPr>
                <w:rFonts w:ascii="Arial" w:cs="Arial" w:eastAsia="Arial" w:hAnsi="Arial"/>
                <w:sz w:val="25"/>
                <w:szCs w:val="25"/>
                <w:color w:val="auto"/>
                <w:vertAlign w:val="superscript"/>
              </w:rPr>
              <w:t>(7)</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238,734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Platinum Long Term Growth Fund VII/Montsant Partners, LLC </w:t>
            </w:r>
            <w:r>
              <w:rPr>
                <w:rFonts w:ascii="Arial" w:cs="Arial" w:eastAsia="Arial" w:hAnsi="Arial"/>
                <w:sz w:val="25"/>
                <w:szCs w:val="25"/>
                <w:color w:val="auto"/>
                <w:vertAlign w:val="superscript"/>
              </w:rPr>
              <w:t>(8)</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164,164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line="216" w:lineRule="exact"/>
              <w:rPr>
                <w:sz w:val="20"/>
                <w:szCs w:val="20"/>
                <w:color w:val="auto"/>
              </w:rPr>
            </w:pPr>
            <w:r>
              <w:rPr>
                <w:rFonts w:ascii="Arial" w:cs="Arial" w:eastAsia="Arial" w:hAnsi="Arial"/>
                <w:sz w:val="18"/>
                <w:szCs w:val="18"/>
                <w:color w:val="auto"/>
              </w:rPr>
              <w:t xml:space="preserve">Michael Goldberg </w:t>
            </w:r>
            <w:r>
              <w:rPr>
                <w:rFonts w:ascii="Arial" w:cs="Arial" w:eastAsia="Arial" w:hAnsi="Arial"/>
                <w:sz w:val="25"/>
                <w:szCs w:val="25"/>
                <w:color w:val="auto"/>
                <w:vertAlign w:val="superscript"/>
              </w:rPr>
              <w:t>(9)</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172,894</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University Health Network </w:t>
            </w:r>
            <w:r>
              <w:rPr>
                <w:rFonts w:ascii="Arial" w:cs="Arial" w:eastAsia="Arial" w:hAnsi="Arial"/>
                <w:sz w:val="25"/>
                <w:szCs w:val="25"/>
                <w:color w:val="auto"/>
                <w:vertAlign w:val="superscript"/>
              </w:rPr>
              <w:t>(10)</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150,678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line="216" w:lineRule="exact"/>
              <w:rPr>
                <w:sz w:val="20"/>
                <w:szCs w:val="20"/>
                <w:color w:val="auto"/>
              </w:rPr>
            </w:pPr>
            <w:r>
              <w:rPr>
                <w:rFonts w:ascii="Arial" w:cs="Arial" w:eastAsia="Arial" w:hAnsi="Arial"/>
                <w:sz w:val="18"/>
                <w:szCs w:val="18"/>
                <w:color w:val="auto"/>
              </w:rPr>
              <w:t xml:space="preserve">Brio Capital Master Fund Ltd. </w:t>
            </w:r>
            <w:r>
              <w:rPr>
                <w:rFonts w:ascii="Arial" w:cs="Arial" w:eastAsia="Arial" w:hAnsi="Arial"/>
                <w:sz w:val="25"/>
                <w:szCs w:val="25"/>
                <w:color w:val="auto"/>
                <w:vertAlign w:val="superscript"/>
              </w:rPr>
              <w:t>(11)</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128,594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Lincoln Park Capital Fund LLC </w:t>
            </w:r>
            <w:r>
              <w:rPr>
                <w:rFonts w:ascii="Arial" w:cs="Arial" w:eastAsia="Arial" w:hAnsi="Arial"/>
                <w:sz w:val="25"/>
                <w:szCs w:val="25"/>
                <w:color w:val="auto"/>
                <w:vertAlign w:val="superscript"/>
              </w:rPr>
              <w:t>(12)</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153,053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line="216" w:lineRule="exact"/>
              <w:rPr>
                <w:sz w:val="20"/>
                <w:szCs w:val="20"/>
                <w:color w:val="auto"/>
              </w:rPr>
            </w:pPr>
            <w:r>
              <w:rPr>
                <w:rFonts w:ascii="Arial" w:cs="Arial" w:eastAsia="Arial" w:hAnsi="Arial"/>
                <w:sz w:val="18"/>
                <w:szCs w:val="18"/>
                <w:color w:val="auto"/>
              </w:rPr>
              <w:t xml:space="preserve">Morrison &amp; Foerster LLP </w:t>
            </w:r>
            <w:r>
              <w:rPr>
                <w:rFonts w:ascii="Arial" w:cs="Arial" w:eastAsia="Arial" w:hAnsi="Arial"/>
                <w:sz w:val="25"/>
                <w:szCs w:val="25"/>
                <w:color w:val="auto"/>
                <w:vertAlign w:val="superscript"/>
              </w:rPr>
              <w:t>(13)</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120,448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All executive officers and directors as a group (5 persons) (14)</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738,613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80" w:hanging="572"/>
        <w:spacing w:after="0"/>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Assumes 1,594,461 shares of common stock are issued and outstanding as of July 17, 2015.</w:t>
      </w:r>
    </w:p>
    <w:p>
      <w:pPr>
        <w:spacing w:after="0" w:line="22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options to purchase 85,375 restricted shares of common stock exercisable within 60 days of July 17, 2015 and warrants to purchase 235,303 restricted shares of common stock exercisable within 60 days of July 17, 2015.</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options to purchase 21,569 restricted shares of common stock exercisable within 60 days of July 17, 2015 and warrants to purchase 157,500 restricted shares of common stock exercisable within 60 days of July 17, 2015.</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options to purchase 6,594 restricted shares of common stock exercisable within 60 days of July 17, 2015, including options to purchase 676 shares of common stock held by Mr. Dotson’s wife, and warrants to purchase 63,750 restricted shares of common stock exercisable within 60 days of July 17, 2015.</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options to purchase 12,250 restricted shares of common stock exercisable within 60 days of July 17, 2015 and warrants to purchase 32,438 restricted shares of common stock exercisable within 60 days of July 17, 2015.</w:t>
      </w:r>
    </w:p>
    <w:p>
      <w:pPr>
        <w:spacing w:after="0" w:line="17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options to purchase 9,250 restricted shares of common stock exercisable within 60 days of July 17, 2015 and warrants to purchase 31,875 restricted shares of common stock exercisable within 60 days of July 17, 2015.</w:t>
      </w:r>
    </w:p>
    <w:p>
      <w:pPr>
        <w:spacing w:after="0" w:line="170" w:lineRule="exact"/>
        <w:rPr>
          <w:rFonts w:ascii="Arial" w:cs="Arial" w:eastAsia="Arial" w:hAnsi="Arial"/>
          <w:sz w:val="18"/>
          <w:szCs w:val="18"/>
          <w:color w:val="auto"/>
        </w:rPr>
      </w:pPr>
    </w:p>
    <w:p>
      <w:pPr>
        <w:jc w:val="both"/>
        <w:ind w:left="580" w:hanging="572"/>
        <w:spacing w:after="0" w:line="269" w:lineRule="auto"/>
        <w:tabs>
          <w:tab w:leader="none" w:pos="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upon information contained in Form 4 filed on January 9, 2012, as updated to give effect to transactions through July 17, 2015 as recorded on our books. Includes currently exercisable warrants to purchase 73,191 shares of restricted common stock. The reported number of shares beneficially owned by Cato Holding Company, dba Cato BioVentures, excludes 328,571 restricted shares of our Series B Preferred stock currently exchangeable for 328,571 restricted shares of our common stock. Pursuant to the terms of the Certificate of Designation of the Relative Rights and Preferences of the Series B 10% Convertible Preferred Stock, there is a limitation on conversion of the Series B Preferred such that the number of shares of common stock that Cato may beneficially acquire upon such conversion is limited to the extent necessary to ensure that, following such conversion, the total number of shares of common stock then beneficially owned by Cato does not exceed 9.99% of the total number of then issued and outstanding shares of our common stock without providing us with 61 days’ prior notice thereof. Including the shares otherwise excluded due to the beneficial ownership restrictions noted above, Cato beneficially owns 567,305 shares or 28.42% of our common stock. Lynda Sutton has voting and investment authority over the shares held by Cato Holding Company. The primary business address of Cato BioVentures is 4364 South Alston Avenue, Durham, North Carolina 27713.</w:t>
      </w:r>
    </w:p>
    <w:p>
      <w:pPr>
        <w:sectPr>
          <w:pgSz w:w="11900" w:h="16838" w:orient="portrait"/>
          <w:cols w:equalWidth="0" w:num="1">
            <w:col w:w="11420"/>
          </w:cols>
          <w:pgMar w:left="240" w:top="130" w:right="239" w:bottom="109"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09" w:gutter="0" w:footer="0" w:header="0"/>
          <w:type w:val="continuous"/>
        </w:sectPr>
      </w:pPr>
    </w:p>
    <w:bookmarkStart w:id="108" w:name="page109"/>
    <w:bookmarkEnd w:id="108"/>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left="600" w:hanging="592"/>
        <w:spacing w:after="0" w:line="255" w:lineRule="auto"/>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upon information contained in Schedule 13G/A filed on February 18, 2015 by Platinum Long Term Growth Fund VII (“</w:t>
      </w:r>
      <w:r>
        <w:rPr>
          <w:rFonts w:ascii="Arial" w:cs="Arial" w:eastAsia="Arial" w:hAnsi="Arial"/>
          <w:sz w:val="18"/>
          <w:szCs w:val="18"/>
          <w:i w:val="1"/>
          <w:iCs w:val="1"/>
          <w:color w:val="auto"/>
        </w:rPr>
        <w:t>Platinum”</w:t>
      </w:r>
      <w:r>
        <w:rPr>
          <w:rFonts w:ascii="Arial" w:cs="Arial" w:eastAsia="Arial" w:hAnsi="Arial"/>
          <w:sz w:val="18"/>
          <w:szCs w:val="18"/>
          <w:color w:val="auto"/>
        </w:rPr>
        <w:t>) and adjusted to give effect to the transactions consummated between Platinum, Montsant Partners, LLC (“</w:t>
      </w:r>
      <w:r>
        <w:rPr>
          <w:rFonts w:ascii="Arial" w:cs="Arial" w:eastAsia="Arial" w:hAnsi="Arial"/>
          <w:sz w:val="18"/>
          <w:szCs w:val="18"/>
          <w:i w:val="1"/>
          <w:iCs w:val="1"/>
          <w:color w:val="auto"/>
        </w:rPr>
        <w:t>Montsant”</w:t>
      </w:r>
      <w:r>
        <w:rPr>
          <w:rFonts w:ascii="Arial" w:cs="Arial" w:eastAsia="Arial" w:hAnsi="Arial"/>
          <w:sz w:val="18"/>
          <w:szCs w:val="18"/>
          <w:color w:val="auto"/>
        </w:rPr>
        <w:t>), a Platinum affiliate, and us pursuant to the Agreement between the Company and Platinum effective May 12, 2015 (“</w:t>
      </w:r>
      <w:r>
        <w:rPr>
          <w:rFonts w:ascii="Arial" w:cs="Arial" w:eastAsia="Arial" w:hAnsi="Arial"/>
          <w:sz w:val="18"/>
          <w:szCs w:val="18"/>
          <w:i w:val="1"/>
          <w:iCs w:val="1"/>
          <w:color w:val="auto"/>
        </w:rPr>
        <w:t>Agreement”</w:t>
      </w:r>
      <w:r>
        <w:rPr>
          <w:rFonts w:ascii="Arial" w:cs="Arial" w:eastAsia="Arial" w:hAnsi="Arial"/>
          <w:sz w:val="18"/>
          <w:szCs w:val="18"/>
          <w:color w:val="auto"/>
        </w:rPr>
        <w:t>) including Montsant’s investment of an aggregate of $500,000 in our Series B Preferred Unit offering pursuant to the Agreement through July 17, 2015. The number of beneficially owned shares reported includes 115,570 restricted shares of common stock owned by Montsant and 28,241 restricted shares of common stock and a warrant to purchase 20,172 restricted shares of common stock that may currently be acquired by Montsant upon exchange of 18,827 restricted shares of our Series A Preferred Stock (“</w:t>
      </w:r>
      <w:r>
        <w:rPr>
          <w:rFonts w:ascii="Arial" w:cs="Arial" w:eastAsia="Arial" w:hAnsi="Arial"/>
          <w:sz w:val="18"/>
          <w:szCs w:val="18"/>
          <w:i w:val="1"/>
          <w:iCs w:val="1"/>
          <w:color w:val="auto"/>
        </w:rPr>
        <w:t>Series A Preferred</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600"/>
        <w:spacing w:after="0" w:line="255" w:lineRule="auto"/>
        <w:rPr>
          <w:rFonts w:ascii="Arial" w:cs="Arial" w:eastAsia="Arial" w:hAnsi="Arial"/>
          <w:sz w:val="18"/>
          <w:szCs w:val="18"/>
          <w:color w:val="auto"/>
        </w:rPr>
      </w:pPr>
      <w:r>
        <w:rPr>
          <w:rFonts w:ascii="Arial" w:cs="Arial" w:eastAsia="Arial" w:hAnsi="Arial"/>
          <w:sz w:val="18"/>
          <w:szCs w:val="18"/>
          <w:color w:val="auto"/>
        </w:rPr>
        <w:t>The reported number of shares beneficially owned excludes 609,259 restricted shares of common stock and a warrant to purchase 435,186 restricted shares of common stock that may currently be acquired by Montsant upon exchange of 406,173 restricted shares of our Series A Preferred. Pursuant to the October 11, 2012 Note Exchange and Purchase Agreement by and between us and Platinum, there is a limitation on exchange such that the number of shares of our common stock that may be acquired by Platinum or its affiliates upon exchange of the Series A Preferred is limited to the extent necessary to ensure that, following such exchange, the total number of shares of our common stock then beneficially owned by Platinum or its affiliates does not exceed 9.99% of the total number of our then issued and outstanding shares of common stock without providing us with 61 days’ prior notice thereof.</w:t>
      </w:r>
    </w:p>
    <w:p>
      <w:pPr>
        <w:spacing w:after="0" w:line="189" w:lineRule="exact"/>
        <w:rPr>
          <w:rFonts w:ascii="Arial" w:cs="Arial" w:eastAsia="Arial" w:hAnsi="Arial"/>
          <w:sz w:val="18"/>
          <w:szCs w:val="18"/>
          <w:color w:val="auto"/>
        </w:rPr>
      </w:pPr>
    </w:p>
    <w:p>
      <w:pPr>
        <w:jc w:val="both"/>
        <w:ind w:left="600"/>
        <w:spacing w:after="0" w:line="290" w:lineRule="auto"/>
        <w:rPr>
          <w:rFonts w:ascii="Arial" w:cs="Arial" w:eastAsia="Arial" w:hAnsi="Arial"/>
          <w:sz w:val="18"/>
          <w:szCs w:val="18"/>
          <w:color w:val="auto"/>
        </w:rPr>
      </w:pPr>
      <w:r>
        <w:rPr>
          <w:rFonts w:ascii="Arial" w:cs="Arial" w:eastAsia="Arial" w:hAnsi="Arial"/>
          <w:sz w:val="16"/>
          <w:szCs w:val="16"/>
          <w:color w:val="auto"/>
        </w:rPr>
        <w:t>Further, the reported number of shares beneficially owned by Montsant also excludes 3,253,410 shares of common stock pursuant to its ownership of 1,512,022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immediately convertible into a like number of shares of our restricted common stock, and warrants to purchase 1,741,388 shares of our restricted common stock. Pursuant to the terms of the Certificate of Designation of the Relative Rights and Preferences of the Series B 10% Convertible Preferred Stock and of the respective common stock warrant agreements, there is a limitation on conversion of the Series B Preferred and exercise of the warrants such that the number of shares of common stock that Montsant may beneficially acquire upon such conversion or exercise is limited to the extent necessary to ensure that, following such conversion or exercise,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66" w:lineRule="exact"/>
        <w:rPr>
          <w:rFonts w:ascii="Arial" w:cs="Arial" w:eastAsia="Arial" w:hAnsi="Arial"/>
          <w:sz w:val="18"/>
          <w:szCs w:val="18"/>
          <w:color w:val="auto"/>
        </w:rPr>
      </w:pPr>
    </w:p>
    <w:p>
      <w:pPr>
        <w:jc w:val="both"/>
        <w:ind w:left="600"/>
        <w:spacing w:after="0" w:line="255" w:lineRule="auto"/>
        <w:rPr>
          <w:rFonts w:ascii="Arial" w:cs="Arial" w:eastAsia="Arial" w:hAnsi="Arial"/>
          <w:sz w:val="18"/>
          <w:szCs w:val="18"/>
          <w:color w:val="auto"/>
        </w:rPr>
      </w:pPr>
      <w:r>
        <w:rPr>
          <w:rFonts w:ascii="Arial" w:cs="Arial" w:eastAsia="Arial" w:hAnsi="Arial"/>
          <w:sz w:val="18"/>
          <w:szCs w:val="18"/>
          <w:color w:val="auto"/>
        </w:rPr>
        <w:t>Additionally, the reported number of shares beneficially owned excludes currently exercisable warrants owned by Platinum to purchase 320,124 shares of our restricted common stock. Pursuant to the terms of the respective common stock warrant agreements, there is a limitation on the exercise of the warrants such that the number of shares of common stock that Platinum may beneficially acquire upon such exercise is limited to the extent necessary to ensure that, following such exercise,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93" w:lineRule="exact"/>
        <w:rPr>
          <w:rFonts w:ascii="Arial" w:cs="Arial" w:eastAsia="Arial" w:hAnsi="Arial"/>
          <w:sz w:val="18"/>
          <w:szCs w:val="18"/>
          <w:color w:val="auto"/>
        </w:rPr>
      </w:pPr>
    </w:p>
    <w:p>
      <w:pPr>
        <w:jc w:val="both"/>
        <w:ind w:left="600"/>
        <w:spacing w:after="0" w:line="259" w:lineRule="auto"/>
        <w:rPr>
          <w:rFonts w:ascii="Arial" w:cs="Arial" w:eastAsia="Arial" w:hAnsi="Arial"/>
          <w:sz w:val="18"/>
          <w:szCs w:val="18"/>
          <w:color w:val="auto"/>
        </w:rPr>
      </w:pPr>
      <w:r>
        <w:rPr>
          <w:rFonts w:ascii="Arial" w:cs="Arial" w:eastAsia="Arial" w:hAnsi="Arial"/>
          <w:sz w:val="18"/>
          <w:szCs w:val="18"/>
          <w:color w:val="auto"/>
        </w:rPr>
        <w:t>Including the shares otherwise excluded due to the beneficial ownership restrictions noted above, Platinum and Montsant beneficially own 4,782,142 shares or 76.38% of our common stock. The primary business address of Platinum Long Term Growth Fund VII and Montsant Partners, LLC is c/o Platinum Partners, 250 West 55th Street, 14th Floor, New York, NY 10019. Mark Nordlicht has voting and investment control over the shares held by Platinum and Montsant.</w:t>
      </w:r>
    </w:p>
    <w:p>
      <w:pPr>
        <w:spacing w:after="0" w:line="186" w:lineRule="exact"/>
        <w:rPr>
          <w:rFonts w:ascii="Arial" w:cs="Arial" w:eastAsia="Arial" w:hAnsi="Arial"/>
          <w:sz w:val="18"/>
          <w:szCs w:val="18"/>
          <w:color w:val="auto"/>
        </w:rPr>
      </w:pPr>
    </w:p>
    <w:p>
      <w:pPr>
        <w:jc w:val="both"/>
        <w:ind w:left="600" w:hanging="592"/>
        <w:spacing w:after="0" w:line="257" w:lineRule="auto"/>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Platinum has transferred to Michael Goldberg (“</w:t>
      </w:r>
      <w:r>
        <w:rPr>
          <w:rFonts w:ascii="Arial" w:cs="Arial" w:eastAsia="Arial" w:hAnsi="Arial"/>
          <w:sz w:val="18"/>
          <w:szCs w:val="18"/>
          <w:i w:val="1"/>
          <w:iCs w:val="1"/>
          <w:color w:val="auto"/>
        </w:rPr>
        <w:t>Goldberg</w:t>
      </w:r>
      <w:r>
        <w:rPr>
          <w:rFonts w:ascii="Arial" w:cs="Arial" w:eastAsia="Arial" w:hAnsi="Arial"/>
          <w:sz w:val="18"/>
          <w:szCs w:val="18"/>
          <w:color w:val="auto"/>
        </w:rPr>
        <w:t>”) certain of the equity securities initially issued by us to Platinum. The conversion or exercise restrictions in those securities initially applicable to Platinum remain applicable to Goldberg. The number of shares reported as beneficially owned by Goldberg includes 37,508 restricted shares of common stock and 78,975 restricted shares of common stock and a currently exercisable warrant to purchase 56,411 restricted shares of common stock that may currently be acquired by Goldberg upon exchange of 52,650 restricted shares of our Series A Preferred.</w:t>
      </w:r>
    </w:p>
    <w:p>
      <w:pPr>
        <w:spacing w:after="0" w:line="188" w:lineRule="exact"/>
        <w:rPr>
          <w:rFonts w:ascii="Arial" w:cs="Arial" w:eastAsia="Arial" w:hAnsi="Arial"/>
          <w:sz w:val="18"/>
          <w:szCs w:val="18"/>
          <w:color w:val="auto"/>
        </w:rPr>
      </w:pPr>
    </w:p>
    <w:p>
      <w:pPr>
        <w:jc w:val="both"/>
        <w:ind w:left="600"/>
        <w:spacing w:after="0" w:line="255" w:lineRule="auto"/>
        <w:rPr>
          <w:rFonts w:ascii="Arial" w:cs="Arial" w:eastAsia="Arial" w:hAnsi="Arial"/>
          <w:sz w:val="18"/>
          <w:szCs w:val="18"/>
          <w:color w:val="auto"/>
        </w:rPr>
      </w:pPr>
      <w:r>
        <w:rPr>
          <w:rFonts w:ascii="Arial" w:cs="Arial" w:eastAsia="Arial" w:hAnsi="Arial"/>
          <w:sz w:val="18"/>
          <w:szCs w:val="18"/>
          <w:color w:val="auto"/>
        </w:rPr>
        <w:t>The reported number of shares beneficially owned both before and after the Offering excludes 33,525 restricted shares of common stock and a warrant to purchase 23,946 restricted shares of common stock that may currently be acquired by Goldberg upon exchange of 22,350 restricted shares of our Series A Preferred. Pursuant to the October 11, 2012 Note Exchange and Purchase Agreement by and between us and Platinum, there is a limitation on exchange such that the number of shares of our common stock that may be acquired by Goldberg upon exchange of the Series A Preferred is limited to the extent necessary to ensure that, following such exchange, the total number of shares of our common stock then beneficially owned by Goldberg does not exceed 9.99% of the total number of our then issued and outstanding shares of common stock without providing us with 61 days’ prior notice thereof.</w:t>
      </w:r>
    </w:p>
    <w:p>
      <w:pPr>
        <w:spacing w:after="0" w:line="189" w:lineRule="exact"/>
        <w:rPr>
          <w:rFonts w:ascii="Arial" w:cs="Arial" w:eastAsia="Arial" w:hAnsi="Arial"/>
          <w:sz w:val="18"/>
          <w:szCs w:val="18"/>
          <w:color w:val="auto"/>
        </w:rPr>
      </w:pPr>
    </w:p>
    <w:p>
      <w:pPr>
        <w:jc w:val="both"/>
        <w:ind w:left="600"/>
        <w:spacing w:after="0" w:line="271" w:lineRule="auto"/>
        <w:rPr>
          <w:rFonts w:ascii="Arial" w:cs="Arial" w:eastAsia="Arial" w:hAnsi="Arial"/>
          <w:sz w:val="18"/>
          <w:szCs w:val="18"/>
          <w:color w:val="auto"/>
        </w:rPr>
      </w:pPr>
      <w:r>
        <w:rPr>
          <w:rFonts w:ascii="Arial" w:cs="Arial" w:eastAsia="Arial" w:hAnsi="Arial"/>
          <w:sz w:val="17"/>
          <w:szCs w:val="17"/>
          <w:color w:val="auto"/>
        </w:rPr>
        <w:t>Further, the reported number of shares beneficially owned by Goldberg before the Offering also excludes 193,355 shares of common stock pursuant to his ownership of 147,028 shares of our Series B Preferred, immediately convertible into a like number of shares of our restricted common stock, and warrants to purchase 46,327 shares of our restricted common stock. Pursuant to the terms of the Certificate of Designation of the Relative Rights and Preferences of the Series B 10% Convertible Preferred Stock and of the respective common stock warrant agreements, there is a limitation on conversion of the Series B Preferred and exercise of the warrants such that the number of shares of common stock that Goldberg may beneficially acquire upon such conversion or exercise is limited to the extent necessary to ensure that, following such conversion or exercise, the total number of shares of common stock then beneficially owned by Goldberg does not exceed 9.99% of the total number of then issued and outstanding shares of our common stock without providing us with 61 days’ prior notice thereof.</w:t>
      </w:r>
    </w:p>
    <w:p>
      <w:pPr>
        <w:spacing w:after="0" w:line="178" w:lineRule="exact"/>
        <w:rPr>
          <w:rFonts w:ascii="Arial" w:cs="Arial" w:eastAsia="Arial" w:hAnsi="Arial"/>
          <w:sz w:val="18"/>
          <w:szCs w:val="18"/>
          <w:color w:val="auto"/>
        </w:rPr>
      </w:pPr>
    </w:p>
    <w:p>
      <w:pPr>
        <w:jc w:val="both"/>
        <w:ind w:left="600"/>
        <w:spacing w:after="0" w:line="297" w:lineRule="auto"/>
        <w:rPr>
          <w:rFonts w:ascii="Arial" w:cs="Arial" w:eastAsia="Arial" w:hAnsi="Arial"/>
          <w:sz w:val="18"/>
          <w:szCs w:val="18"/>
          <w:color w:val="auto"/>
        </w:rPr>
      </w:pPr>
      <w:r>
        <w:rPr>
          <w:rFonts w:ascii="Arial" w:cs="Arial" w:eastAsia="Arial" w:hAnsi="Arial"/>
          <w:sz w:val="16"/>
          <w:szCs w:val="16"/>
          <w:color w:val="auto"/>
        </w:rPr>
        <w:t>Additionally, the reported number of shares beneficially owned by Goldberg excludes currently exercisable warrants to purchase 66,251 shares of our restricted common stock. Pursuant to the terms of the respective common stock warrant agreements, there is a limitation on the exercise of the warrants such that the number of shares of common stock that Goldberg may beneficially acquire upon such exercise is limited to the extent necessary to ensure that, following such exercise, the total number of shares of common stock then beneficially owned by Goldberg does not exceed 9.99% of the total number of issued and outstanding shares of our common stock without providing us with 61 days’ prior notice thereof.</w:t>
      </w:r>
    </w:p>
    <w:p>
      <w:pPr>
        <w:spacing w:after="0" w:line="158" w:lineRule="exact"/>
        <w:rPr>
          <w:rFonts w:ascii="Arial" w:cs="Arial" w:eastAsia="Arial" w:hAnsi="Arial"/>
          <w:sz w:val="18"/>
          <w:szCs w:val="18"/>
          <w:color w:val="auto"/>
        </w:rPr>
      </w:pPr>
    </w:p>
    <w:p>
      <w:pPr>
        <w:ind w:left="600"/>
        <w:spacing w:after="0" w:line="277" w:lineRule="auto"/>
        <w:rPr>
          <w:rFonts w:ascii="Arial" w:cs="Arial" w:eastAsia="Arial" w:hAnsi="Arial"/>
          <w:sz w:val="18"/>
          <w:szCs w:val="18"/>
          <w:color w:val="auto"/>
        </w:rPr>
      </w:pPr>
      <w:r>
        <w:rPr>
          <w:rFonts w:ascii="Arial" w:cs="Arial" w:eastAsia="Arial" w:hAnsi="Arial"/>
          <w:sz w:val="18"/>
          <w:szCs w:val="18"/>
          <w:color w:val="auto"/>
        </w:rPr>
        <w:t>Including the shares otherwise excluded due to the beneficial ownership restrictions noted above, Goldberg beneficially owns 489,971 shares or 23.94% of our common stock.</w:t>
      </w:r>
    </w:p>
    <w:p>
      <w:pPr>
        <w:sectPr>
          <w:pgSz w:w="11900" w:h="16838" w:orient="portrait"/>
          <w:cols w:equalWidth="0" w:num="1">
            <w:col w:w="11420"/>
          </w:cols>
          <w:pgMar w:left="240" w:top="130" w:right="239" w:bottom="19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90" w:gutter="0" w:footer="0" w:header="0"/>
          <w:type w:val="continuous"/>
        </w:sectPr>
      </w:pPr>
    </w:p>
    <w:bookmarkStart w:id="109" w:name="page110"/>
    <w:bookmarkEnd w:id="109"/>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left="600" w:hanging="592"/>
        <w:spacing w:after="0" w:line="264" w:lineRule="auto"/>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93,775 restricted shares of our Series B Preferred currently exchangeable for 93,775 restricted shares of our common stock. The primary business address of University Health Network is 101 College Street, Suite 150, Toronto, Ontario Canada M5G 1L7. Christopher Paige, Ph.D. has voting and investment authority over the shares held by University Health Network.</w:t>
      </w:r>
    </w:p>
    <w:p>
      <w:pPr>
        <w:spacing w:after="0" w:line="181" w:lineRule="exact"/>
        <w:rPr>
          <w:rFonts w:ascii="Arial" w:cs="Arial" w:eastAsia="Arial" w:hAnsi="Arial"/>
          <w:sz w:val="18"/>
          <w:szCs w:val="18"/>
          <w:color w:val="auto"/>
        </w:rPr>
      </w:pPr>
    </w:p>
    <w:p>
      <w:pPr>
        <w:jc w:val="both"/>
        <w:ind w:left="600" w:hanging="592"/>
        <w:spacing w:after="0" w:line="259" w:lineRule="auto"/>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currently exercisable warrants to purchase 61,378 restricted shares of common stock and 27,107 restricted shares of our Series B Preferred currently exchangeable for 27,107 restricted shares of our common stock. The primary business address of Brio Capital Master Fund Ltd. is 100 Merrick Road, Suite 401W, Rockville Centre, NY 11570. Shaye Hirsch has voting and investment control over the shares held by Brio Capital Master Fund Ltd.</w:t>
      </w:r>
    </w:p>
    <w:p>
      <w:pPr>
        <w:spacing w:after="0" w:line="186" w:lineRule="exact"/>
        <w:rPr>
          <w:rFonts w:ascii="Arial" w:cs="Arial" w:eastAsia="Arial" w:hAnsi="Arial"/>
          <w:sz w:val="18"/>
          <w:szCs w:val="18"/>
          <w:color w:val="auto"/>
        </w:rPr>
      </w:pPr>
    </w:p>
    <w:p>
      <w:pPr>
        <w:jc w:val="both"/>
        <w:ind w:left="600" w:hanging="592"/>
        <w:spacing w:after="0" w:line="312" w:lineRule="auto"/>
        <w:tabs>
          <w:tab w:leader="none" w:pos="6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Includes currently exercisable warrants to purchase 72,740 restricted shares of common stock and 38,347 restricted shares of our Series B Preferred currently exchangeable for 38,347 restricted shares of our common stock. The primary business address of Lincoln Park Capital Fund LLC is 440 N. Wells Street, Chicago, IL 60654. Joshua Scheinfeld has voting and investment control over the shares held by Lincoln Park Capital Fund LLC.</w:t>
      </w:r>
    </w:p>
    <w:p>
      <w:pPr>
        <w:spacing w:after="0" w:line="146" w:lineRule="exact"/>
        <w:rPr>
          <w:rFonts w:ascii="Arial" w:cs="Arial" w:eastAsia="Arial" w:hAnsi="Arial"/>
          <w:sz w:val="16"/>
          <w:szCs w:val="16"/>
          <w:color w:val="auto"/>
        </w:rPr>
      </w:pPr>
    </w:p>
    <w:p>
      <w:pPr>
        <w:jc w:val="both"/>
        <w:ind w:left="600" w:hanging="592"/>
        <w:spacing w:after="0" w:line="270" w:lineRule="auto"/>
        <w:tabs>
          <w:tab w:leader="none" w:pos="6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Includes currently exercisable warrants to purchase 110,448 restricted shares of common stock. The reported number of shares beneficially owned excludes 257,143 restricted shares of our Series B Preferred stock currently exchangeable for 257,143 restricted shares of our common stock. Pursuant to the terms of the Certificate of Designation of Rights and Preferences of the Series B Preferred, there is a limitation on conversion of the Series B Preferred such that the number of shares of common stock that Morrison &amp; Foerster may beneficially acquire upon such conversion is limited to the extent necessary to ensure that, following such conversion, the total number of shares of common stock then beneficially owned by Morrison &amp; Foerster does not exceed 9.99% of the total number of issued and outstanding shares of our common stock without providing us with 61 days’ prior notice thereof. Effective on June 12, 2015, Morrison &amp; Foerster provided us with such 61 day advance notice. Including the shares otherwise excluded due to the beneficial ownership restrictions noted above, Morrison &amp; Foerster beneficially owns 377,591 shares or 19.24% of our common stock. The primary business address of Morrison &amp; Foerster is 555 Market Street, San Francisco, California 94105. Mark Blumenthal has voting and investment control over the shares held by Morrison &amp; Foerster.</w:t>
      </w:r>
    </w:p>
    <w:p>
      <w:pPr>
        <w:spacing w:after="0" w:line="177" w:lineRule="exact"/>
        <w:rPr>
          <w:rFonts w:ascii="Arial" w:cs="Arial" w:eastAsia="Arial" w:hAnsi="Arial"/>
          <w:sz w:val="17"/>
          <w:szCs w:val="17"/>
          <w:color w:val="auto"/>
        </w:rPr>
      </w:pPr>
    </w:p>
    <w:p>
      <w:pPr>
        <w:ind w:left="600" w:right="20" w:hanging="592"/>
        <w:spacing w:after="0" w:line="277" w:lineRule="auto"/>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options to purchase an aggregate of 135,038 restricted shares of common stock exercisable within 60 days of July 17, 2015 and warrants to purchase an aggregate of 520,866 restricted shares of common stock exercisable within 60 days of July 17,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March 31, 2015, options to purchase a total of 207,638 restricted shares of our common stock are outstanding at a weighted average exercise price of $10.09 per share, of which 199,013 options are vested and exercisable at a weighted average exercise price of $10.09 per share and 8,625 are unvested and not exercisable at a weighted average exercise price of $10.22 per share. These options were issued under our 2008 Plan and our 1999 Plan, each as described below. At March 31, 2015, an additional 40,491 shares remain available for future equity grants under our 2008 Plan.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available for</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future</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Weighted-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3"/>
              </w:rPr>
              <w:t>issuance</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to be issued</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equity</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upon</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exercise 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compensation</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exercise of</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2"/>
              </w:rPr>
              <w:t>of</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plans</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outstanding</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(excluding</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options,</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options,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warrants and</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warrants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reflected in</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rights</w:t>
            </w: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and rights</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column (a))</w:t>
            </w:r>
          </w:p>
        </w:tc>
      </w:tr>
      <w:tr>
        <w:trPr>
          <w:trHeight w:val="241"/>
        </w:trPr>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Plan category</w:t>
            </w:r>
          </w:p>
        </w:tc>
        <w:tc>
          <w:tcPr>
            <w:tcW w:w="20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5"/>
              </w:rPr>
              <w:t>(b)</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1"/>
              </w:rPr>
              <w:t>Equity compensation plans approved by</w:t>
            </w: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holders</w:t>
            </w:r>
          </w:p>
        </w:tc>
        <w:tc>
          <w:tcPr>
            <w:tcW w:w="3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194,509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40,491</w:t>
            </w: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89"/>
              </w:rPr>
              <w:t>Equity compensation plans not approved</w:t>
            </w:r>
          </w:p>
        </w:tc>
        <w:tc>
          <w:tcPr>
            <w:tcW w:w="2000" w:type="dxa"/>
            <w:vAlign w:val="bottom"/>
          </w:tcPr>
          <w:p>
            <w:pPr>
              <w:ind w:left="80"/>
              <w:spacing w:after="0"/>
              <w:rPr>
                <w:sz w:val="20"/>
                <w:szCs w:val="20"/>
                <w:color w:val="auto"/>
              </w:rPr>
            </w:pPr>
            <w:r>
              <w:rPr>
                <w:rFonts w:ascii="Arial" w:cs="Arial" w:eastAsia="Arial" w:hAnsi="Arial"/>
                <w:sz w:val="18"/>
                <w:szCs w:val="18"/>
                <w:color w:val="auto"/>
              </w:rPr>
              <w:t>by security holders</w:t>
            </w:r>
          </w:p>
        </w:tc>
        <w:tc>
          <w:tcPr>
            <w:tcW w:w="24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11.67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22"/>
                <w:szCs w:val="22"/>
                <w:color w:val="auto"/>
              </w:rPr>
            </w:pPr>
          </w:p>
        </w:tc>
        <w:tc>
          <w:tcPr>
            <w:tcW w:w="3860" w:type="dxa"/>
            <w:vAlign w:val="bottom"/>
            <w:gridSpan w:val="3"/>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207,638</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10.09</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40,491</w:t>
            </w:r>
          </w:p>
        </w:tc>
      </w:tr>
      <w:tr>
        <w:trPr>
          <w:trHeight w:val="817"/>
        </w:trPr>
        <w:tc>
          <w:tcPr>
            <w:tcW w:w="20" w:type="dxa"/>
            <w:vAlign w:val="bottom"/>
          </w:tcPr>
          <w:p>
            <w:pPr>
              <w:spacing w:after="0"/>
              <w:rPr>
                <w:sz w:val="24"/>
                <w:szCs w:val="24"/>
                <w:color w:val="auto"/>
              </w:rPr>
            </w:pPr>
          </w:p>
        </w:tc>
        <w:tc>
          <w:tcPr>
            <w:tcW w:w="2940" w:type="dxa"/>
            <w:vAlign w:val="bottom"/>
            <w:tcBorders>
              <w:top w:val="single" w:sz="8" w:color="CCEEFF"/>
            </w:tcBorders>
          </w:tcPr>
          <w:p>
            <w:pPr>
              <w:spacing w:after="0"/>
              <w:rPr>
                <w:sz w:val="24"/>
                <w:szCs w:val="24"/>
                <w:color w:val="auto"/>
              </w:rPr>
            </w:pPr>
          </w:p>
        </w:tc>
        <w:tc>
          <w:tcPr>
            <w:tcW w:w="2000" w:type="dxa"/>
            <w:vAlign w:val="bottom"/>
            <w:tcBorders>
              <w:top w:val="single" w:sz="8" w:color="CCEEFF"/>
            </w:tcBorders>
          </w:tcPr>
          <w:p>
            <w:pPr>
              <w:spacing w:after="0"/>
              <w:rPr>
                <w:sz w:val="24"/>
                <w:szCs w:val="24"/>
                <w:color w:val="auto"/>
              </w:rPr>
            </w:pPr>
          </w:p>
        </w:tc>
        <w:tc>
          <w:tcPr>
            <w:tcW w:w="2480" w:type="dxa"/>
            <w:vAlign w:val="bottom"/>
            <w:tcBorders>
              <w:top w:val="single" w:sz="8" w:color="CCEEFF"/>
            </w:tcBorders>
          </w:tcPr>
          <w:p>
            <w:pPr>
              <w:jc w:val="right"/>
              <w:ind w:right="1450"/>
              <w:spacing w:after="0"/>
              <w:rPr>
                <w:sz w:val="20"/>
                <w:szCs w:val="20"/>
                <w:color w:val="auto"/>
              </w:rPr>
            </w:pPr>
            <w:r>
              <w:rPr>
                <w:rFonts w:ascii="Arial" w:cs="Arial" w:eastAsia="Arial" w:hAnsi="Arial"/>
                <w:sz w:val="18"/>
                <w:szCs w:val="18"/>
                <w:color w:val="auto"/>
              </w:rPr>
              <w:t>-101-</w:t>
            </w: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0" w:name="page111"/>
    <w:bookmarkEnd w:id="110"/>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Stock Incentive Plan</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Shareholders of VistaGen California adopted our 2008 Plan on December 19, 2008 and we assumed the plan in connection with the Merger. The maximum number of shares of common stock that may be granted pursuant to the 2008 Plan is 250,000.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Arial" w:cs="Arial" w:eastAsia="Arial" w:hAnsi="Arial"/>
          <w:sz w:val="17"/>
          <w:szCs w:val="17"/>
          <w:i w:val="1"/>
          <w:iCs w:val="1"/>
          <w:color w:val="auto"/>
        </w:rPr>
        <w:t>Code”</w:t>
      </w:r>
      <w:r>
        <w:rPr>
          <w:rFonts w:ascii="Arial" w:cs="Arial" w:eastAsia="Arial" w:hAnsi="Arial"/>
          <w:sz w:val="17"/>
          <w:szCs w:val="17"/>
          <w:color w:val="auto"/>
        </w:rPr>
        <w:t>), is 250,000.</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employees of VistaGen or any parent or subsidiary of VistaGen. Awards other than incentive stock options may be granted to employees, directors and consultants.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or the Compensation Committee of the Board of Directors, referred to as the “Administrator”, administers our 2008 Plan, including selecting the award recipients, determining the number of shares to be subject to each award, the exercise or purchase price of each award and the vesting and exercise periods of each award.</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exercise price of all incentive stock options granted under our 2008 Plan must be at least equal to 100% of the fair market value of the shares on the date of grant. If, however, incentive stock options are granted to an employee who owns stock possessing more than 10% of the voting power of all classes of our stock or the stock of any of our subsidiaries, the exercise price of any incentive stock option granted may not be less than 110% of the fair market value on the grant date. The maximum term of incentive stock options granted to employees who own stock possessing more than 10% of the voting power of all classes of our stock or the stock of any of our subsidiaries may not exceed five years. The maximum term of an incentive stock option granted to any other participant may not exceed ten years. The Administrator determines the term and exercise or purchase price of all other awards granted under our 2008 Plan.</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208" w:lineRule="exact"/>
        <w:rPr>
          <w:sz w:val="20"/>
          <w:szCs w:val="20"/>
          <w:color w:val="auto"/>
        </w:rPr>
      </w:pPr>
    </w:p>
    <w:p>
      <w:pPr>
        <w:ind w:left="920" w:hanging="259"/>
        <w:spacing w:after="0"/>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will and by the laws of descent and distribution; and</w:t>
      </w:r>
    </w:p>
    <w:p>
      <w:pPr>
        <w:spacing w:after="0" w:line="252" w:lineRule="exact"/>
        <w:rPr>
          <w:rFonts w:ascii="Arial" w:cs="Arial" w:eastAsia="Arial" w:hAnsi="Arial"/>
          <w:sz w:val="18"/>
          <w:szCs w:val="18"/>
          <w:color w:val="auto"/>
        </w:rPr>
      </w:pPr>
    </w:p>
    <w:p>
      <w:pPr>
        <w:ind w:left="920" w:right="160" w:hanging="259"/>
        <w:spacing w:after="0" w:line="277" w:lineRule="auto"/>
        <w:tabs>
          <w:tab w:leader="none" w:pos="9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during the lifetime of the participant, to the extent and in the manner authorized by the Administrator by gift or pursuant to a domestic relations order to members of the participant’s immediate family.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The 2008 Plan permits the designation of beneficiaries by holders of awards, including incentive stock options.</w:t>
      </w:r>
    </w:p>
    <w:p>
      <w:pPr>
        <w:spacing w:after="0" w:line="24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event of termination of a participant’s service for any reason other than disability or death, such participant may, but only during the period specified in the award agreement of not less than 30 days (generally 90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which have become exercisable prior to the time of termination, will remain exercisable for twelve months from the date of termination (unless a shorter or longer period of time is determined by the Administrator).</w:t>
      </w:r>
    </w:p>
    <w:p>
      <w:pPr>
        <w:spacing w:after="0" w:line="21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Following the date that the exemption from application of Section 162(m) of the Code ceases to apply to awards, the maximum number of shares with respect to which options and stock appreciation rights may be granted to any participant in any calendar year will be 125,000 shares of common stock. In connection with a participant’s commencement of service with us, a participant may be granted options and stock appreciation rights for up to an additional 25,000 shares that will not count against the foregoing limitation.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125,000 shares of common stock. The limits described in this paragraph are subject to adjustment in the event of any change in our capital structure as described below.</w:t>
      </w:r>
    </w:p>
    <w:p>
      <w:pPr>
        <w:sectPr>
          <w:pgSz w:w="11900" w:h="16838" w:orient="portrait"/>
          <w:cols w:equalWidth="0" w:num="1">
            <w:col w:w="11420"/>
          </w:cols>
          <w:pgMar w:left="240" w:top="130" w:right="2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11" w:name="page112"/>
    <w:bookmarkEnd w:id="111"/>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terms and conditions of awards are determined by the Administrator, including the vesting schedule and any forfeiture provisions. Awards under the plan may vest upon the passage of time or upon the attainment of certain performance criteria. Although we do not currently have any awards outstanding that vest upon the attainment of performance criteria, the Administrator may establish criteria based on any one of, or combination of, the following:</w:t>
      </w:r>
    </w:p>
    <w:p>
      <w:pPr>
        <w:spacing w:after="0" w:line="174" w:lineRule="exact"/>
        <w:rPr>
          <w:sz w:val="20"/>
          <w:szCs w:val="20"/>
          <w:color w:val="auto"/>
        </w:rPr>
      </w:pPr>
    </w:p>
    <w:p>
      <w:pPr>
        <w:ind w:left="980" w:hanging="29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increase in share price;</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total shareholder return;</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pre-tax profit;</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cash flow;</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revenue;</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earnings before interest, taxes and depreciation;</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economic value added; and</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has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our 2008 Plan, a Corporate Transaction is generally defined as:</w:t>
      </w:r>
    </w:p>
    <w:p>
      <w:pPr>
        <w:spacing w:after="0" w:line="225" w:lineRule="exact"/>
        <w:rPr>
          <w:sz w:val="20"/>
          <w:szCs w:val="20"/>
          <w:color w:val="auto"/>
        </w:rPr>
      </w:pPr>
    </w:p>
    <w:p>
      <w:pPr>
        <w:ind w:left="980" w:hanging="292"/>
        <w:spacing w:after="0" w:line="308" w:lineRule="auto"/>
        <w:tabs>
          <w:tab w:leader="none" w:pos="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spacing w:after="0" w:line="173" w:lineRule="exact"/>
        <w:rPr>
          <w:rFonts w:ascii="Arial" w:cs="Arial" w:eastAsia="Arial" w:hAnsi="Arial"/>
          <w:sz w:val="17"/>
          <w:szCs w:val="17"/>
          <w:color w:val="auto"/>
        </w:rPr>
      </w:pPr>
    </w:p>
    <w:p>
      <w:pPr>
        <w:jc w:val="both"/>
        <w:ind w:left="980" w:hanging="292"/>
        <w:spacing w:after="0" w:line="259"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213" w:lineRule="exact"/>
        <w:rPr>
          <w:rFonts w:ascii="Arial" w:cs="Arial" w:eastAsia="Arial" w:hAnsi="Arial"/>
          <w:sz w:val="18"/>
          <w:szCs w:val="18"/>
          <w:color w:val="auto"/>
        </w:rPr>
      </w:pPr>
    </w:p>
    <w:p>
      <w:pPr>
        <w:ind w:left="980" w:hanging="292"/>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sale, transfer or other disposition of all or substantially all of the assets of our Corporation;</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merger or consolidation in which our Corporation is not the surviving entity; or</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complete liquidation or dissolution.</w:t>
      </w:r>
    </w:p>
    <w:p>
      <w:pPr>
        <w:sectPr>
          <w:pgSz w:w="11900" w:h="16838" w:orient="portrait"/>
          <w:cols w:equalWidth="0" w:num="1">
            <w:col w:w="11420"/>
          </w:cols>
          <w:pgMar w:left="240" w:top="130" w:right="239" w:bottom="0" w:gutter="0" w:footer="0" w:header="0"/>
        </w:sectPr>
      </w:pPr>
    </w:p>
    <w:bookmarkStart w:id="112" w:name="page113"/>
    <w:bookmarkEnd w:id="112"/>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3" w:name="page114"/>
    <w:bookmarkEnd w:id="113"/>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shareholders accept; (ii) or a change in the composition of our Board of Directors over a period of 12 months or less.</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Internal Revenue Code, the rules of any applicable stock exchange or national market system, and the rules of any non-U.S. jurisdiction applicable to awards granted to residents therein, we shall obtain shareholder approval of any such amendment to the 2008 Stock Plan in such a manner and to such a degree as required.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2015, we have options to purchase an aggregate of 194,509 restricted shares of our common stock outstanding under our 2008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Stock Incentive Plan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VistaGen California’s Board of Directors adopted the 1999 Plan on December 6, 1999. The 1999 Plan terminated under its own terms in December 2009, and as a result, no awards may currently be granted under the 1999 Plan. However, the options and awards that have been granted pursuant to the 1999 Plan prior to its expiration remain operative.</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1999 Plan permitted VistaGen California to make grants of incentive stock options, non-qualified stock options and restricted stock awards. VistaGen California initially reserved 22,500 restricted shares of its common stock for the issuance of awards under the 1999 Plan, which number was subject to adjustment in the event of a stock split, stock dividend or other change in capitalization. Prior to the 1999 Plan’s expiration, shares that were forfeited or cancelled from awards under the 1999 Plan were generally available for future awards.</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1999 Plan could be administered by either VistaGen California’s Board of Directors or a committee designated by its Board of Directors. VistaGen California’s Board of Directors designated its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directors, executive officers, and certain other key persons (including employees, consultants and advisors) of VistaGen California were eligible to participate in the 1999 Plan.</w:t>
      </w:r>
    </w:p>
    <w:p>
      <w:pPr>
        <w:spacing w:after="0" w:line="20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exercise price of incentive stock options awarded under the 1999 Plan could not be less than the fair market value of the common stock on the date of the option grant and could not be less than 110% of the fair market value of the common stock to persons owning stock representing more than 10% of the voting power of all classes of our stock. The exercise price of non-qualified stock options could not be less than 85% of the fair market value of the common stock. The term of each option granted under the 1999 Plan could not exceed ten years (or five years, in the case of an incentive stock option granted to a 10% shareholder) from the date of grant. VistaGen California’s Compensation Committee determined at what time or times each option might be exercised (provided that in no event could it exceed ten years from the date of grant) and, subject to the provisions of the 1999 Plan, the period of time, if any, after retirement, death, disability or other termination of employment during which options could be exercised.</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1999 Plan also permitted the issuance of restricted stock awards. Restricted stock awards issued by VistaGen California were shares of common stock that vest in accordance with terms and conditions established by VistaGen California’s Compensation Committee. The Compensation Committee could impose conditions to vesting that it determined to be appropriate. Shares of restricted stock that did not vest were subject to our right of repurchase or forfeiture. VistaGen California’s Compensation Committee determined the number of shares of restricted stock granted to any employee. Our 1999 Plan also gave VistaGen California’s Compensation Committee discretion to grant stock awards free of any restrictions.</w:t>
      </w:r>
    </w:p>
    <w:p>
      <w:pPr>
        <w:spacing w:after="0" w:line="20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Unless the Compensation Committee provided otherwise, the 1999 Plan did not generally allow for the transfer of incentive stock options and other awards and only the recipient of an award could exercise an award during his or her lifetime. Non-qualified stock options were transferable only to the extent provided in the award agreement, in a manner consistent with the applicable law, and by will and by the laws of descent and distribution. In the event of a change in control of the Company, as defined in the 1999 Plan, the outstanding options will automatically vest unless our Board of Directors and the Board of Directors of the surviving or acquiring entity make appropriate provisions for the continuation or assumption of any outstanding awards under the 1999 Plan.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2015, we have options outstanding under the 1999 Plan to purchase an aggregate of 13,129 restricted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4" w:name="page115"/>
    <w:bookmarkEnd w:id="114"/>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TO BE REGISTERED</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May 7, 2015, we filed the Certificate of Designation of the Relative Rights and Preferences of the Series B 10% Preferred Stock of VistaGen Therapeutics, Inc. (the “</w:t>
      </w:r>
      <w:r>
        <w:rPr>
          <w:rFonts w:ascii="Arial" w:cs="Arial" w:eastAsia="Arial" w:hAnsi="Arial"/>
          <w:sz w:val="17"/>
          <w:szCs w:val="17"/>
          <w:i w:val="1"/>
          <w:iCs w:val="1"/>
          <w:color w:val="auto"/>
        </w:rPr>
        <w:t>Certificate of Designation</w:t>
      </w:r>
      <w:r>
        <w:rPr>
          <w:rFonts w:ascii="Arial" w:cs="Arial" w:eastAsia="Arial" w:hAnsi="Arial"/>
          <w:sz w:val="17"/>
          <w:szCs w:val="17"/>
          <w:color w:val="auto"/>
        </w:rPr>
        <w:t>”) with the Nevada Secretary of State in order to designate 4.0 million shares of the Company’s preferred stock as Series B 10% Convertible Preferred Stock (“</w:t>
      </w:r>
      <w:r>
        <w:rPr>
          <w:rFonts w:ascii="Arial" w:cs="Arial" w:eastAsia="Arial" w:hAnsi="Arial"/>
          <w:sz w:val="17"/>
          <w:szCs w:val="17"/>
          <w:i w:val="1"/>
          <w:iCs w:val="1"/>
          <w:color w:val="auto"/>
        </w:rPr>
        <w:t>Series B Preferred</w:t>
      </w:r>
      <w:r>
        <w:rPr>
          <w:rFonts w:ascii="Arial" w:cs="Arial" w:eastAsia="Arial" w:hAnsi="Arial"/>
          <w:sz w:val="17"/>
          <w:szCs w:val="17"/>
          <w:color w:val="auto"/>
        </w:rPr>
        <w:t>”). Each share of the Company’s Series B Preferred is convertible, at the option of the holder thereof (“</w:t>
      </w:r>
      <w:r>
        <w:rPr>
          <w:rFonts w:ascii="Arial" w:cs="Arial" w:eastAsia="Arial" w:hAnsi="Arial"/>
          <w:sz w:val="17"/>
          <w:szCs w:val="17"/>
          <w:i w:val="1"/>
          <w:iCs w:val="1"/>
          <w:color w:val="auto"/>
        </w:rPr>
        <w:t>Voluntary Conversion</w:t>
      </w:r>
      <w:r>
        <w:rPr>
          <w:rFonts w:ascii="Arial" w:cs="Arial" w:eastAsia="Arial" w:hAnsi="Arial"/>
          <w:sz w:val="17"/>
          <w:szCs w:val="17"/>
          <w:color w:val="auto"/>
        </w:rPr>
        <w:t>”), into one (1) share of Common Stock at a fixed conversion price of $7.00 per share, subject to adjustment only for customary stock dividends, reclassifications, splits and similar transactions (“</w:t>
      </w:r>
      <w:r>
        <w:rPr>
          <w:rFonts w:ascii="Arial" w:cs="Arial" w:eastAsia="Arial" w:hAnsi="Arial"/>
          <w:sz w:val="17"/>
          <w:szCs w:val="17"/>
          <w:i w:val="1"/>
          <w:iCs w:val="1"/>
          <w:color w:val="auto"/>
        </w:rPr>
        <w:t>Fixed Conversion Price</w:t>
      </w:r>
      <w:r>
        <w:rPr>
          <w:rFonts w:ascii="Arial" w:cs="Arial" w:eastAsia="Arial" w:hAnsi="Arial"/>
          <w:sz w:val="17"/>
          <w:szCs w:val="17"/>
          <w:color w:val="auto"/>
        </w:rPr>
        <w:t>”). All shares of Series B Preferred are also convertible automatically into Common Stock (“</w:t>
      </w:r>
      <w:r>
        <w:rPr>
          <w:rFonts w:ascii="Arial" w:cs="Arial" w:eastAsia="Arial" w:hAnsi="Arial"/>
          <w:sz w:val="17"/>
          <w:szCs w:val="17"/>
          <w:i w:val="1"/>
          <w:iCs w:val="1"/>
          <w:color w:val="auto"/>
        </w:rPr>
        <w:t>Automatic Conversion</w:t>
      </w:r>
      <w:r>
        <w:rPr>
          <w:rFonts w:ascii="Arial" w:cs="Arial" w:eastAsia="Arial" w:hAnsi="Arial"/>
          <w:sz w:val="17"/>
          <w:szCs w:val="17"/>
          <w:color w:val="auto"/>
        </w:rPr>
        <w:t>”) upon the closing or effective date of any of the following transactions or events: (i) a strategic transaction involving AV-101, the Company’s orally-available new prodrug candidate in clinical development for Major Depressive Disorder and other diseases and disorders of the central nervous system,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(collectively, “</w:t>
      </w:r>
      <w:r>
        <w:rPr>
          <w:rFonts w:ascii="Arial" w:cs="Arial" w:eastAsia="Arial" w:hAnsi="Arial"/>
          <w:sz w:val="17"/>
          <w:szCs w:val="17"/>
          <w:i w:val="1"/>
          <w:iCs w:val="1"/>
          <w:color w:val="auto"/>
        </w:rPr>
        <w:t>Conversion</w:t>
      </w:r>
      <w:r>
        <w:rPr>
          <w:rFonts w:ascii="Arial" w:cs="Arial" w:eastAsia="Arial" w:hAnsi="Arial"/>
          <w:sz w:val="17"/>
          <w:szCs w:val="17"/>
          <w:color w:val="auto"/>
        </w:rPr>
        <w:t>”) are subject to customary beneficial ownership blockers. Prior to Conversion, shares of Series B Preferred will accrue dividends, payable only in unregistered shares of Common Stock, at a rate of 10% per annum (the “</w:t>
      </w:r>
      <w:r>
        <w:rPr>
          <w:rFonts w:ascii="Arial" w:cs="Arial" w:eastAsia="Arial" w:hAnsi="Arial"/>
          <w:sz w:val="17"/>
          <w:szCs w:val="17"/>
          <w:i w:val="1"/>
          <w:iCs w:val="1"/>
          <w:color w:val="auto"/>
        </w:rPr>
        <w:t>Accrued Dividend</w:t>
      </w:r>
      <w:r>
        <w:rPr>
          <w:rFonts w:ascii="Arial" w:cs="Arial" w:eastAsia="Arial" w:hAnsi="Arial"/>
          <w:sz w:val="17"/>
          <w:szCs w:val="17"/>
          <w:color w:val="auto"/>
        </w:rPr>
        <w:t>”). The Accrued Dividend will be payable only on the date of Conversion solely in that number of shares of Common Stock equal to the Accrued Dividend, divided by the Fixed Conversion Price.</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Effective May 12, 2015, the Company and Platinum Long Term Growth VII, LLC (“</w:t>
      </w:r>
      <w:r>
        <w:rPr>
          <w:rFonts w:ascii="Arial" w:cs="Arial" w:eastAsia="Arial" w:hAnsi="Arial"/>
          <w:sz w:val="18"/>
          <w:szCs w:val="18"/>
          <w:i w:val="1"/>
          <w:iCs w:val="1"/>
          <w:color w:val="auto"/>
        </w:rPr>
        <w:t>Platinum</w:t>
      </w:r>
      <w:r>
        <w:rPr>
          <w:rFonts w:ascii="Arial" w:cs="Arial" w:eastAsia="Arial" w:hAnsi="Arial"/>
          <w:sz w:val="18"/>
          <w:szCs w:val="18"/>
          <w:color w:val="auto"/>
        </w:rPr>
        <w:t>”) entered into an agreement (the “</w:t>
      </w:r>
      <w:r>
        <w:rPr>
          <w:rFonts w:ascii="Arial" w:cs="Arial" w:eastAsia="Arial" w:hAnsi="Arial"/>
          <w:sz w:val="18"/>
          <w:szCs w:val="18"/>
          <w:i w:val="1"/>
          <w:iCs w:val="1"/>
          <w:color w:val="auto"/>
        </w:rPr>
        <w:t>Platinum</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under which Platinum has:</w:t>
      </w:r>
    </w:p>
    <w:p>
      <w:pPr>
        <w:spacing w:after="0" w:line="197" w:lineRule="exact"/>
        <w:rPr>
          <w:sz w:val="20"/>
          <w:szCs w:val="20"/>
          <w:color w:val="auto"/>
        </w:rPr>
      </w:pPr>
    </w:p>
    <w:p>
      <w:pPr>
        <w:jc w:val="both"/>
        <w:ind w:left="960" w:hanging="286"/>
        <w:spacing w:after="0" w:line="264"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Converted all of the approximately $4.5 million outstanding balance (principal and accrued but unpaid interest) of its Senior Secured Convertible Promissory Notes issued by the Company (the “Senior Secured Notes”), into 641,335 shares of Series B Preferred, thereby cancelling approximately $4.5 million of the Company’s indebtedness;</w:t>
      </w:r>
    </w:p>
    <w:p>
      <w:pPr>
        <w:spacing w:after="0" w:line="208" w:lineRule="exact"/>
        <w:rPr>
          <w:rFonts w:ascii="Arial" w:cs="Arial" w:eastAsia="Arial" w:hAnsi="Arial"/>
          <w:sz w:val="18"/>
          <w:szCs w:val="18"/>
          <w:color w:val="auto"/>
        </w:rPr>
      </w:pPr>
    </w:p>
    <w:p>
      <w:pPr>
        <w:ind w:left="960" w:hanging="286"/>
        <w:spacing w:after="0" w:line="342" w:lineRule="auto"/>
        <w:tabs>
          <w:tab w:leader="none" w:pos="9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Released all of its security interests in the assets of the Company and its subsidiaries by terminating the Amended and Restated Security Agreement, IP Security Agreement and Negative Covenant, each by and between the Company and Platinum and dated October 11, 2012;</w:t>
      </w:r>
    </w:p>
    <w:p>
      <w:pPr>
        <w:spacing w:after="0" w:line="150" w:lineRule="exact"/>
        <w:rPr>
          <w:rFonts w:ascii="Arial" w:cs="Arial" w:eastAsia="Arial" w:hAnsi="Arial"/>
          <w:sz w:val="16"/>
          <w:szCs w:val="16"/>
          <w:color w:val="auto"/>
        </w:rPr>
      </w:pPr>
    </w:p>
    <w:p>
      <w:pPr>
        <w:jc w:val="both"/>
        <w:ind w:left="960" w:hanging="286"/>
        <w:spacing w:after="0" w:line="257"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Converted all of the approximately $1.3 million outstanding balance (principal and accrued but unpaid interest) of its Subordinated Convertible Promissory Notes issued by the Company (“</w:t>
      </w:r>
      <w:r>
        <w:rPr>
          <w:rFonts w:ascii="Arial" w:cs="Arial" w:eastAsia="Arial" w:hAnsi="Arial"/>
          <w:sz w:val="18"/>
          <w:szCs w:val="18"/>
          <w:i w:val="1"/>
          <w:iCs w:val="1"/>
          <w:color w:val="auto"/>
        </w:rPr>
        <w:t>Platinum Subordinated Notes</w:t>
      </w:r>
      <w:r>
        <w:rPr>
          <w:rFonts w:ascii="Arial" w:cs="Arial" w:eastAsia="Arial" w:hAnsi="Arial"/>
          <w:sz w:val="18"/>
          <w:szCs w:val="18"/>
          <w:color w:val="auto"/>
        </w:rPr>
        <w:t>”) into 240,305 shares of Series B Preferred and five-year warrants to purchase 240,305 shares of Common Stock at a fixed exercise price of $7.00 per share, subject to adjustment only for customary stock dividends, reclassifications, splits and similar transactions (“</w:t>
      </w:r>
      <w:r>
        <w:rPr>
          <w:rFonts w:ascii="Arial" w:cs="Arial" w:eastAsia="Arial" w:hAnsi="Arial"/>
          <w:sz w:val="18"/>
          <w:szCs w:val="18"/>
          <w:i w:val="1"/>
          <w:iCs w:val="1"/>
          <w:color w:val="auto"/>
        </w:rPr>
        <w:t>Warrants</w:t>
      </w:r>
      <w:r>
        <w:rPr>
          <w:rFonts w:ascii="Arial" w:cs="Arial" w:eastAsia="Arial" w:hAnsi="Arial"/>
          <w:sz w:val="18"/>
          <w:szCs w:val="18"/>
          <w:color w:val="auto"/>
        </w:rPr>
        <w:t>”), thereby cancelling approximately $1.3 million of the Company’s indebtedness;</w:t>
      </w:r>
    </w:p>
    <w:p>
      <w:pPr>
        <w:spacing w:after="0" w:line="215" w:lineRule="exact"/>
        <w:rPr>
          <w:rFonts w:ascii="Arial" w:cs="Arial" w:eastAsia="Arial" w:hAnsi="Arial"/>
          <w:sz w:val="18"/>
          <w:szCs w:val="18"/>
          <w:color w:val="auto"/>
        </w:rPr>
      </w:pPr>
    </w:p>
    <w:p>
      <w:pPr>
        <w:jc w:val="both"/>
        <w:ind w:left="960" w:hanging="286"/>
        <w:spacing w:after="0" w:line="259"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Purchased approximately $1.5 million (including accrued but unpaid interest thereon) of outstanding Subordinated Notes issued by the Company from the respective holders thereof (“</w:t>
      </w:r>
      <w:r>
        <w:rPr>
          <w:rFonts w:ascii="Arial" w:cs="Arial" w:eastAsia="Arial" w:hAnsi="Arial"/>
          <w:sz w:val="18"/>
          <w:szCs w:val="18"/>
          <w:i w:val="1"/>
          <w:iCs w:val="1"/>
          <w:color w:val="auto"/>
        </w:rPr>
        <w:t>Investor Subordinated Notes</w:t>
      </w:r>
      <w:r>
        <w:rPr>
          <w:rFonts w:ascii="Arial" w:cs="Arial" w:eastAsia="Arial" w:hAnsi="Arial"/>
          <w:sz w:val="18"/>
          <w:szCs w:val="18"/>
          <w:color w:val="auto"/>
        </w:rPr>
        <w:t>”) and converted the entire outstanding balance of the Investor Subordinated Notes into 265,699 shares of Series B Preferred and 265,699 Warrants, thereby cancelling approximately $1.5 million of the Company’s indebtedness;</w:t>
      </w:r>
    </w:p>
    <w:p>
      <w:pPr>
        <w:spacing w:after="0" w:line="213" w:lineRule="exact"/>
        <w:rPr>
          <w:rFonts w:ascii="Arial" w:cs="Arial" w:eastAsia="Arial" w:hAnsi="Arial"/>
          <w:sz w:val="18"/>
          <w:szCs w:val="18"/>
          <w:color w:val="auto"/>
        </w:rPr>
      </w:pPr>
    </w:p>
    <w:p>
      <w:pPr>
        <w:ind w:left="960" w:hanging="286"/>
        <w:spacing w:after="0" w:line="342" w:lineRule="auto"/>
        <w:tabs>
          <w:tab w:leader="none" w:pos="9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Signed and delivered a Securities Purchase Agreement (“</w:t>
      </w:r>
      <w:r>
        <w:rPr>
          <w:rFonts w:ascii="Arial" w:cs="Arial" w:eastAsia="Arial" w:hAnsi="Arial"/>
          <w:sz w:val="16"/>
          <w:szCs w:val="16"/>
          <w:i w:val="1"/>
          <w:iCs w:val="1"/>
          <w:color w:val="auto"/>
        </w:rPr>
        <w:t>SPA</w:t>
      </w:r>
      <w:r>
        <w:rPr>
          <w:rFonts w:ascii="Arial" w:cs="Arial" w:eastAsia="Arial" w:hAnsi="Arial"/>
          <w:sz w:val="16"/>
          <w:szCs w:val="16"/>
          <w:color w:val="auto"/>
        </w:rPr>
        <w:t>”) to purchase, for $1.0 million, a total of 142,857 shares of Series B Preferred and 142,857 Warrants on or before June 11, 2015. A form of the SPA is attached to this Current Report on Form 8-K as Exhibit 10.3;</w:t>
      </w:r>
    </w:p>
    <w:p>
      <w:pPr>
        <w:spacing w:after="0" w:line="150" w:lineRule="exact"/>
        <w:rPr>
          <w:rFonts w:ascii="Arial" w:cs="Arial" w:eastAsia="Arial" w:hAnsi="Arial"/>
          <w:sz w:val="16"/>
          <w:szCs w:val="16"/>
          <w:color w:val="auto"/>
        </w:rPr>
      </w:pPr>
    </w:p>
    <w:p>
      <w:pPr>
        <w:jc w:val="both"/>
        <w:ind w:left="960" w:hanging="286"/>
        <w:spacing w:after="0" w:line="264"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Amended all warrants previously issued by the Company to Platinum in connection with the Senior Secured Notes, and warrants that still may be issued pursuant to the Note Exchange and Purchase Agreement, by and between the Company and Platinum, dated October 11, 2012 (the “</w:t>
      </w:r>
      <w:r>
        <w:rPr>
          <w:rFonts w:ascii="Arial" w:cs="Arial" w:eastAsia="Arial" w:hAnsi="Arial"/>
          <w:sz w:val="18"/>
          <w:szCs w:val="18"/>
          <w:i w:val="1"/>
          <w:iCs w:val="1"/>
          <w:color w:val="auto"/>
        </w:rPr>
        <w:t>NEPA</w:t>
      </w:r>
      <w:r>
        <w:rPr>
          <w:rFonts w:ascii="Arial" w:cs="Arial" w:eastAsia="Arial" w:hAnsi="Arial"/>
          <w:sz w:val="18"/>
          <w:szCs w:val="18"/>
          <w:color w:val="auto"/>
        </w:rPr>
        <w:t>”), if any (collectively, the “</w:t>
      </w:r>
      <w:r>
        <w:rPr>
          <w:rFonts w:ascii="Arial" w:cs="Arial" w:eastAsia="Arial" w:hAnsi="Arial"/>
          <w:sz w:val="18"/>
          <w:szCs w:val="18"/>
          <w:i w:val="1"/>
          <w:iCs w:val="1"/>
          <w:color w:val="auto"/>
        </w:rPr>
        <w:t>Exchange Warrants</w:t>
      </w:r>
      <w:r>
        <w:rPr>
          <w:rFonts w:ascii="Arial" w:cs="Arial" w:eastAsia="Arial" w:hAnsi="Arial"/>
          <w:sz w:val="18"/>
          <w:szCs w:val="18"/>
          <w:color w:val="auto"/>
        </w:rPr>
        <w:t>”) to:</w:t>
      </w:r>
    </w:p>
    <w:p>
      <w:pPr>
        <w:spacing w:after="0" w:line="208" w:lineRule="exact"/>
        <w:rPr>
          <w:sz w:val="20"/>
          <w:szCs w:val="20"/>
          <w:color w:val="auto"/>
        </w:rPr>
      </w:pPr>
    </w:p>
    <w:p>
      <w:pPr>
        <w:ind w:left="1840" w:hanging="484"/>
        <w:spacing w:after="0"/>
        <w:tabs>
          <w:tab w:leader="none" w:pos="18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fix the exercise price thereof at $7.00 per share;</w:t>
      </w:r>
    </w:p>
    <w:p>
      <w:pPr>
        <w:spacing w:after="0" w:line="23" w:lineRule="exact"/>
        <w:rPr>
          <w:sz w:val="20"/>
          <w:szCs w:val="20"/>
          <w:color w:val="auto"/>
        </w:rPr>
      </w:pPr>
    </w:p>
    <w:p>
      <w:pPr>
        <w:ind w:left="1840" w:hanging="499"/>
        <w:spacing w:after="0"/>
        <w:tabs>
          <w:tab w:leader="none" w:pos="18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fix the number of shares of the Company’s Common Stock issuable thereunder; and</w:t>
      </w:r>
    </w:p>
    <w:p>
      <w:pPr>
        <w:spacing w:after="0" w:line="9" w:lineRule="exact"/>
        <w:rPr>
          <w:rFonts w:ascii="Arial" w:cs="Arial" w:eastAsia="Arial" w:hAnsi="Arial"/>
          <w:sz w:val="18"/>
          <w:szCs w:val="18"/>
          <w:color w:val="auto"/>
        </w:rPr>
      </w:pPr>
    </w:p>
    <w:p>
      <w:pPr>
        <w:ind w:left="1840" w:hanging="499"/>
        <w:spacing w:after="0"/>
        <w:tabs>
          <w:tab w:leader="none" w:pos="18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eliminate the cashless exercise provisions from all Exchange Warrants; and</w:t>
      </w:r>
    </w:p>
    <w:p>
      <w:pPr>
        <w:spacing w:after="0" w:line="237" w:lineRule="exact"/>
        <w:rPr>
          <w:rFonts w:ascii="Arial" w:cs="Arial" w:eastAsia="Arial" w:hAnsi="Arial"/>
          <w:sz w:val="18"/>
          <w:szCs w:val="18"/>
          <w:color w:val="auto"/>
        </w:rPr>
      </w:pPr>
    </w:p>
    <w:p>
      <w:pPr>
        <w:jc w:val="both"/>
        <w:ind w:left="960" w:hanging="286"/>
        <w:spacing w:after="0" w:line="264"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Agreed to lock-up (refrain from) the potential sale of any shares of common stock held by Platinum or its affiliates until the earlier to occur of an effective registration statement relating to resale of Conversion Shares under the Securities Act of 1933, as amended, or the closing price of the Company’s Common Stock is at least $15.00 per share.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5" w:name="page116"/>
    <w:bookmarkEnd w:id="115"/>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additional consideration for the agreements of Platinum under the Platinum Agreement, the Company issued to Platinum 400,000 shares of Series B Preferred and Warrants to purchase 1.2 million shares of Common Stock and exchanged 30,000 shares of Common Stock currently beneficially owned or controlled by Platinum for 30,000 shares of Series B Preferred.</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June 12, 2015, the Company, and certain of the Company’s note holders and strategic partners agreed to convert an aggregate total of approximately $5.3 million of the Company’s outstanding debt obligations into 750,918 shares of Series B Preferred (the “</w:t>
      </w:r>
      <w:r>
        <w:rPr>
          <w:rFonts w:ascii="Arial" w:cs="Arial" w:eastAsia="Arial" w:hAnsi="Arial"/>
          <w:sz w:val="17"/>
          <w:szCs w:val="17"/>
          <w:i w:val="1"/>
          <w:iCs w:val="1"/>
          <w:color w:val="auto"/>
        </w:rPr>
        <w:t>Debt-to-Equity Conversions</w:t>
      </w:r>
      <w:r>
        <w:rPr>
          <w:rFonts w:ascii="Arial" w:cs="Arial" w:eastAsia="Arial" w:hAnsi="Arial"/>
          <w:sz w:val="17"/>
          <w:szCs w:val="17"/>
          <w:color w:val="auto"/>
        </w:rPr>
        <w:t>”).</w:t>
      </w:r>
    </w:p>
    <w:p>
      <w:pPr>
        <w:spacing w:after="0" w:line="1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the foregoing Debt-to-Equity Conversions, effective as of June 12, 2015, the Company entered into a letter agreement with Morrison &amp; Foerster LLP (“</w:t>
      </w:r>
      <w:r>
        <w:rPr>
          <w:rFonts w:ascii="Arial" w:cs="Arial" w:eastAsia="Arial" w:hAnsi="Arial"/>
          <w:sz w:val="18"/>
          <w:szCs w:val="18"/>
          <w:i w:val="1"/>
          <w:iCs w:val="1"/>
          <w:color w:val="auto"/>
        </w:rPr>
        <w:t>MF</w:t>
      </w:r>
      <w:r>
        <w:rPr>
          <w:rFonts w:ascii="Arial" w:cs="Arial" w:eastAsia="Arial" w:hAnsi="Arial"/>
          <w:sz w:val="18"/>
          <w:szCs w:val="18"/>
          <w:color w:val="auto"/>
        </w:rPr>
        <w:t>”) (the “</w:t>
      </w:r>
      <w:r>
        <w:rPr>
          <w:rFonts w:ascii="Arial" w:cs="Arial" w:eastAsia="Arial" w:hAnsi="Arial"/>
          <w:sz w:val="18"/>
          <w:szCs w:val="18"/>
          <w:i w:val="1"/>
          <w:iCs w:val="1"/>
          <w:color w:val="auto"/>
        </w:rPr>
        <w:t>Letter Agreement</w:t>
      </w:r>
      <w:r>
        <w:rPr>
          <w:rFonts w:ascii="Arial" w:cs="Arial" w:eastAsia="Arial" w:hAnsi="Arial"/>
          <w:sz w:val="18"/>
          <w:szCs w:val="18"/>
          <w:color w:val="auto"/>
        </w:rPr>
        <w:t>”) with regards to (i) certain promissory notes issued by the Company to MF, each due and payable on or before March 31, 2016, one in the principal amount of approximately $917,000 (“</w:t>
      </w:r>
      <w:r>
        <w:rPr>
          <w:rFonts w:ascii="Arial" w:cs="Arial" w:eastAsia="Arial" w:hAnsi="Arial"/>
          <w:sz w:val="18"/>
          <w:szCs w:val="18"/>
          <w:i w:val="1"/>
          <w:iCs w:val="1"/>
          <w:color w:val="auto"/>
        </w:rPr>
        <w:t>Note A</w:t>
      </w:r>
      <w:r>
        <w:rPr>
          <w:rFonts w:ascii="Arial" w:cs="Arial" w:eastAsia="Arial" w:hAnsi="Arial"/>
          <w:sz w:val="18"/>
          <w:szCs w:val="18"/>
          <w:color w:val="auto"/>
        </w:rPr>
        <w:t>”) and another in the principal amount of approximately $1.4 million (“</w:t>
      </w:r>
      <w:r>
        <w:rPr>
          <w:rFonts w:ascii="Arial" w:cs="Arial" w:eastAsia="Arial" w:hAnsi="Arial"/>
          <w:sz w:val="18"/>
          <w:szCs w:val="18"/>
          <w:i w:val="1"/>
          <w:iCs w:val="1"/>
          <w:color w:val="auto"/>
        </w:rPr>
        <w:t>Note B</w:t>
      </w:r>
      <w:r>
        <w:rPr>
          <w:rFonts w:ascii="Arial" w:cs="Arial" w:eastAsia="Arial" w:hAnsi="Arial"/>
          <w:sz w:val="18"/>
          <w:szCs w:val="18"/>
          <w:color w:val="auto"/>
        </w:rPr>
        <w:t>”), and (ii) certain warrants held by MF to purchase an aggregate of 110,448 shares of the Company’s common stock, par value $0.001 per share at exercise prices of $20.00 per share $40.00 per share (the “</w:t>
      </w:r>
      <w:r>
        <w:rPr>
          <w:rFonts w:ascii="Arial" w:cs="Arial" w:eastAsia="Arial" w:hAnsi="Arial"/>
          <w:sz w:val="18"/>
          <w:szCs w:val="18"/>
          <w:i w:val="1"/>
          <w:iCs w:val="1"/>
          <w:color w:val="auto"/>
        </w:rPr>
        <w:t>MF Warrants</w:t>
      </w:r>
      <w:r>
        <w:rPr>
          <w:rFonts w:ascii="Arial" w:cs="Arial" w:eastAsia="Arial" w:hAnsi="Arial"/>
          <w:sz w:val="18"/>
          <w:szCs w:val="18"/>
          <w:color w:val="auto"/>
        </w:rPr>
        <w:t>”). Subject to certain conditions set forth in the Letter Agreement, each of which has now been satisfied by the Company, MF agreed to convert the principal amount and all accrued but unpaid interest of Note B into 257,143 shares of Series B Preferred and to withhold any and all action to collect amounts due under Note A, and certain amounts owed by the Company to MF in connection with services previously rendered by MF. Additionally, concurrently with the conversion of Note B into shares of Series B Preferred, the Company agreed to amend the MF Warrants to extend the expiration date of each warrant to September 15, 2019, and to set the exercise price of each MF Warrant to $20.00 per share.</w:t>
      </w:r>
    </w:p>
    <w:p>
      <w:pPr>
        <w:spacing w:after="0" w:line="22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Registration Statement registers for resale shares of Common Stock issuable as Conversion Shares, issuable upon conversion of the shares of Series B Preferred, and Warrant Shares issuable upon exercise of the Warrants issued to Investors and Note Holders in connection with the Series B Offering and Debt-to-Equity Conversions.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each of the Investors participating in the Series B Offering and the Note Holders participating in the Note Conversion signed a Securities Purchase Agreement (“</w:t>
      </w:r>
      <w:r>
        <w:rPr>
          <w:rFonts w:ascii="Arial" w:cs="Arial" w:eastAsia="Arial" w:hAnsi="Arial"/>
          <w:sz w:val="17"/>
          <w:szCs w:val="17"/>
          <w:i w:val="1"/>
          <w:iCs w:val="1"/>
          <w:color w:val="auto"/>
        </w:rPr>
        <w:t>SPA</w:t>
      </w:r>
      <w:r>
        <w:rPr>
          <w:rFonts w:ascii="Arial" w:cs="Arial" w:eastAsia="Arial" w:hAnsi="Arial"/>
          <w:sz w:val="17"/>
          <w:szCs w:val="17"/>
          <w:color w:val="auto"/>
        </w:rPr>
        <w:t>”), wherein we agreed to register the Warrant Shares issuable upon exercise of the Warrants, and the Conversion Shares issuable upon conversion of the shares of Series B Preferred (collectively, the “</w:t>
      </w:r>
      <w:r>
        <w:rPr>
          <w:rFonts w:ascii="Arial" w:cs="Arial" w:eastAsia="Arial" w:hAnsi="Arial"/>
          <w:sz w:val="17"/>
          <w:szCs w:val="17"/>
          <w:i w:val="1"/>
          <w:iCs w:val="1"/>
          <w:color w:val="auto"/>
        </w:rPr>
        <w:t>Registrable Securities</w:t>
      </w:r>
      <w:r>
        <w:rPr>
          <w:rFonts w:ascii="Arial" w:cs="Arial" w:eastAsia="Arial" w:hAnsi="Arial"/>
          <w:sz w:val="17"/>
          <w:szCs w:val="17"/>
          <w:color w:val="auto"/>
        </w:rPr>
        <w:t>”), under the Securities Act. Accordingly, we filed a Registration Statement on Form S-1, of which this prospectus forms a part, with respect to the resale of the Registrable Securities from time to time. In addition, we agreed in the SPA to use our best efforts to cause the registration statement to be declared effective under the Securities Act by August 30, 2015, and to use our best efforts to keep the registration statement effective until the Registrable Securities are sold or may be sold without registration or prospectus delivery requirements under the Securities Act, subject to certain restrictions.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Stockholders Table</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filed a Registration Statement on Form S-1 with the SEC, of which this prospectus forms a part, with respect to the resale of the Registrable Securities from time to time under Rule 415 of the Securities Act. The Registrable Securities were registered to permit secondary public trading thereof. Subject to the restrictions described in this prospectus, the Selling Stockholders may offer the Registrable Securities for resale from time to time. In addition, subject to the restrictions described in this prospectus, the Selling Stockholders may sell, transfer or otherwise dispose of all or a portion of any Registrable Securities held in transactions exempt from the registration requirements of the Securities Act. See “</w:t>
      </w:r>
      <w:r>
        <w:rPr>
          <w:rFonts w:ascii="Arial" w:cs="Arial" w:eastAsia="Arial" w:hAnsi="Arial"/>
          <w:sz w:val="16"/>
          <w:szCs w:val="16"/>
          <w:i w:val="1"/>
          <w:iCs w:val="1"/>
          <w:color w:val="auto"/>
        </w:rPr>
        <w:t>Plan of Distribution</w:t>
      </w:r>
      <w:r>
        <w:rPr>
          <w:rFonts w:ascii="Arial" w:cs="Arial" w:eastAsia="Arial" w:hAnsi="Arial"/>
          <w:sz w:val="16"/>
          <w:szCs w:val="16"/>
          <w:color w:val="auto"/>
        </w:rPr>
        <w:t>” below for more information.</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table below presents information as of July 17, 2015, regarding the Selling Stockholders and the Registrable Securities the Selling Stockholders (and their donees, pledgees, assignees, transferees and other successors in interest) may offer and sell from time to time under this prospectus. More specifically, the following table sets forth as to the Selling Stockholders:</w:t>
      </w:r>
    </w:p>
    <w:p>
      <w:pPr>
        <w:spacing w:after="0" w:line="208" w:lineRule="exact"/>
        <w:rPr>
          <w:sz w:val="20"/>
          <w:szCs w:val="20"/>
          <w:color w:val="auto"/>
        </w:rPr>
      </w:pPr>
    </w:p>
    <w:p>
      <w:pPr>
        <w:ind w:left="1000" w:hanging="306"/>
        <w:spacing w:after="0" w:line="277"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number of shares of our Common Stock beneficially owned by each Selling Stockholders prior to the offering for resale of any of the shares of our Common Stock being registered by the registration statement of which this prospectus is a part;</w:t>
      </w:r>
    </w:p>
    <w:p>
      <w:pPr>
        <w:spacing w:after="0" w:line="197" w:lineRule="exact"/>
        <w:rPr>
          <w:rFonts w:ascii="Arial" w:cs="Arial" w:eastAsia="Arial" w:hAnsi="Arial"/>
          <w:sz w:val="18"/>
          <w:szCs w:val="18"/>
          <w:color w:val="auto"/>
        </w:rPr>
      </w:pPr>
    </w:p>
    <w:p>
      <w:pPr>
        <w:ind w:left="1000" w:hanging="306"/>
        <w:spacing w:after="0"/>
        <w:tabs>
          <w:tab w:leader="none" w:pos="10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number of shares of our Common Stock that may be offered for resale for the Selling Stockholders’ account under this prospectus; and</w:t>
      </w:r>
    </w:p>
    <w:p>
      <w:pPr>
        <w:spacing w:after="0" w:line="263" w:lineRule="exact"/>
        <w:rPr>
          <w:rFonts w:ascii="Arial" w:cs="Arial" w:eastAsia="Arial" w:hAnsi="Arial"/>
          <w:sz w:val="17"/>
          <w:szCs w:val="17"/>
          <w:color w:val="auto"/>
        </w:rPr>
      </w:pPr>
    </w:p>
    <w:p>
      <w:pPr>
        <w:jc w:val="both"/>
        <w:ind w:left="1000" w:hanging="306"/>
        <w:spacing w:after="0" w:line="264" w:lineRule="auto"/>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number and percent of shares of our Common Stock to be held by the Selling Stockholders after the offering of the resale securities, assuming all of the resale shares of Common Stock are sold by the Selling Stockholders and that the Selling Stockholders do not acquire any other shares of our Common Stock prior to their assumed sale of all of the resale shares.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16" w:name="page117"/>
    <w:bookmarkEnd w:id="116"/>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table is prepared based on information supplied to us by the Selling Stockholders. Although we have assumed for purposes of the table below that the Selling Stockholders will sell all Registrable Securities offered by this prospectus, because the Selling Stockholders may offer from time to time all or some of the Registrable Securities, no assurances can be given as to the actual number of securities that will be resold by the Selling Stockholders or that will be held by the Selling Stockholders after completion of the resales. In addition, the Selling Stockholders may have sold, transferred or otherwise disposed of the Registrable Securities in transactions exempt from the registration requirements of the Securities Act since the date the Selling Stockholders provided the information regarding their securities holdings. Information covering the Selling Stockholders may change from time to time and changed information will be presented in a supplement to this prospectus if and when necessary and required.</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described above, there are currently no agreements, arrangements or understandings with respect to the resale of any of the securities covered by this prospectus.</w:t>
      </w:r>
    </w:p>
    <w:p>
      <w:pPr>
        <w:spacing w:after="0" w:line="19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applicable percentages of ownership are based on an aggregate of 1,594,461 shares of our Common Stock issued and outstanding on July 17, 2015. The number of shares beneficially owned by the Selling Stockholders is determined under rules promulgated by the SEC.</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Maximum</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Shares Being</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Beneficially</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Offered</w:t>
            </w:r>
          </w:p>
        </w:tc>
        <w:tc>
          <w:tcPr>
            <w:tcW w:w="26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8"/>
              </w:rPr>
              <w:t>Shares Beneficially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Owned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Pursuant</w:t>
            </w:r>
          </w:p>
        </w:tc>
        <w:tc>
          <w:tcPr>
            <w:tcW w:w="26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3"/>
              </w:rPr>
              <w:t>Owned After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Prior to</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to this</w:t>
            </w:r>
          </w:p>
        </w:tc>
        <w:tc>
          <w:tcPr>
            <w:tcW w:w="2640" w:type="dxa"/>
            <w:vAlign w:val="bottom"/>
            <w:gridSpan w:val="4"/>
          </w:tcPr>
          <w:p>
            <w:pPr>
              <w:jc w:val="center"/>
              <w:ind w:right="160"/>
              <w:spacing w:after="0" w:line="234" w:lineRule="exact"/>
              <w:rPr>
                <w:sz w:val="20"/>
                <w:szCs w:val="20"/>
                <w:color w:val="auto"/>
              </w:rPr>
            </w:pPr>
            <w:r>
              <w:rPr>
                <w:rFonts w:ascii="Arial" w:cs="Arial" w:eastAsia="Arial" w:hAnsi="Arial"/>
                <w:sz w:val="18"/>
                <w:szCs w:val="18"/>
                <w:b w:val="1"/>
                <w:bCs w:val="1"/>
                <w:color w:val="auto"/>
                <w:w w:val="87"/>
              </w:rPr>
              <w:t xml:space="preserve">Offering </w:t>
            </w:r>
            <w:r>
              <w:rPr>
                <w:rFonts w:ascii="Arial" w:cs="Arial" w:eastAsia="Arial" w:hAnsi="Arial"/>
                <w:sz w:val="25"/>
                <w:szCs w:val="25"/>
                <w:b w:val="1"/>
                <w:bCs w:val="1"/>
                <w:color w:val="auto"/>
                <w:w w:val="87"/>
                <w:vertAlign w:val="superscript"/>
              </w:rPr>
              <w:t>(25)</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line="216" w:lineRule="exact"/>
              <w:rPr>
                <w:sz w:val="20"/>
                <w:szCs w:val="20"/>
                <w:color w:val="auto"/>
              </w:rPr>
            </w:pPr>
            <w:r>
              <w:rPr>
                <w:rFonts w:ascii="Arial" w:cs="Arial" w:eastAsia="Arial" w:hAnsi="Arial"/>
                <w:sz w:val="18"/>
                <w:szCs w:val="18"/>
                <w:b w:val="1"/>
                <w:bCs w:val="1"/>
                <w:color w:val="auto"/>
              </w:rPr>
              <w:t xml:space="preserve">Name of Selling Stockholder </w:t>
            </w:r>
            <w:r>
              <w:rPr>
                <w:rFonts w:ascii="Arial" w:cs="Arial" w:eastAsia="Arial" w:hAnsi="Arial"/>
                <w:sz w:val="25"/>
                <w:szCs w:val="25"/>
                <w:b w:val="1"/>
                <w:bCs w:val="1"/>
                <w:color w:val="auto"/>
                <w:vertAlign w:val="superscript"/>
              </w:rPr>
              <w:t>(1)</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line="216" w:lineRule="exact"/>
              <w:rPr>
                <w:sz w:val="20"/>
                <w:szCs w:val="20"/>
                <w:color w:val="auto"/>
              </w:rPr>
            </w:pPr>
            <w:r>
              <w:rPr>
                <w:rFonts w:ascii="Arial" w:cs="Arial" w:eastAsia="Arial" w:hAnsi="Arial"/>
                <w:sz w:val="18"/>
                <w:szCs w:val="18"/>
                <w:b w:val="1"/>
                <w:bCs w:val="1"/>
                <w:color w:val="auto"/>
                <w:w w:val="87"/>
              </w:rPr>
              <w:t xml:space="preserve">Offering </w:t>
            </w:r>
            <w:r>
              <w:rPr>
                <w:rFonts w:ascii="Arial" w:cs="Arial" w:eastAsia="Arial" w:hAnsi="Arial"/>
                <w:sz w:val="25"/>
                <w:szCs w:val="25"/>
                <w:b w:val="1"/>
                <w:bCs w:val="1"/>
                <w:color w:val="auto"/>
                <w:w w:val="87"/>
                <w:vertAlign w:val="superscript"/>
              </w:rPr>
              <w:t>(25)</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Prospectus</w:t>
            </w:r>
          </w:p>
        </w:tc>
        <w:tc>
          <w:tcPr>
            <w:tcW w:w="134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Number</w:t>
            </w: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Percent*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Montsant Partners LLC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164,164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1,623,410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164,164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line="216" w:lineRule="exact"/>
              <w:rPr>
                <w:sz w:val="20"/>
                <w:szCs w:val="20"/>
                <w:color w:val="auto"/>
              </w:rPr>
            </w:pPr>
            <w:r>
              <w:rPr>
                <w:rFonts w:ascii="Arial" w:cs="Arial" w:eastAsia="Arial" w:hAnsi="Arial"/>
                <w:sz w:val="18"/>
                <w:szCs w:val="18"/>
                <w:color w:val="auto"/>
              </w:rPr>
              <w:t xml:space="preserve">Cato Holding Company </w:t>
            </w:r>
            <w:r>
              <w:rPr>
                <w:rFonts w:ascii="Arial" w:cs="Arial" w:eastAsia="Arial" w:hAnsi="Arial"/>
                <w:sz w:val="25"/>
                <w:szCs w:val="25"/>
                <w:color w:val="auto"/>
                <w:vertAlign w:val="superscript"/>
              </w:rPr>
              <w:t>(3)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238,734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328,571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238,734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Morrison &amp; Foerster LLP </w:t>
            </w:r>
            <w:r>
              <w:rPr>
                <w:rFonts w:ascii="Arial" w:cs="Arial" w:eastAsia="Arial" w:hAnsi="Arial"/>
                <w:sz w:val="25"/>
                <w:szCs w:val="25"/>
                <w:color w:val="auto"/>
                <w:vertAlign w:val="superscript"/>
              </w:rPr>
              <w:t>(4)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377,571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257,143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120,448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line="216" w:lineRule="exact"/>
              <w:rPr>
                <w:sz w:val="20"/>
                <w:szCs w:val="20"/>
                <w:color w:val="auto"/>
              </w:rPr>
            </w:pPr>
            <w:r>
              <w:rPr>
                <w:rFonts w:ascii="Arial" w:cs="Arial" w:eastAsia="Arial" w:hAnsi="Arial"/>
                <w:sz w:val="18"/>
                <w:szCs w:val="18"/>
                <w:color w:val="auto"/>
              </w:rPr>
              <w:t xml:space="preserve">Michael Goldberg </w:t>
            </w:r>
            <w:r>
              <w:rPr>
                <w:rFonts w:ascii="Arial" w:cs="Arial" w:eastAsia="Arial" w:hAnsi="Arial"/>
                <w:sz w:val="25"/>
                <w:szCs w:val="25"/>
                <w:color w:val="auto"/>
                <w:vertAlign w:val="superscript"/>
              </w:rPr>
              <w:t>(5)</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172,894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193,355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172,894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University Health Network </w:t>
            </w:r>
            <w:r>
              <w:rPr>
                <w:rFonts w:ascii="Arial" w:cs="Arial" w:eastAsia="Arial" w:hAnsi="Arial"/>
                <w:sz w:val="25"/>
                <w:szCs w:val="25"/>
                <w:color w:val="auto"/>
                <w:vertAlign w:val="superscript"/>
              </w:rPr>
              <w:t>(6)</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150,658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93,775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56,903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line="216" w:lineRule="exact"/>
              <w:rPr>
                <w:sz w:val="20"/>
                <w:szCs w:val="20"/>
                <w:color w:val="auto"/>
              </w:rPr>
            </w:pPr>
            <w:r>
              <w:rPr>
                <w:rFonts w:ascii="Arial" w:cs="Arial" w:eastAsia="Arial" w:hAnsi="Arial"/>
                <w:sz w:val="18"/>
                <w:szCs w:val="18"/>
                <w:color w:val="auto"/>
              </w:rPr>
              <w:t xml:space="preserve">Chardan Capital Markets </w:t>
            </w:r>
            <w:r>
              <w:rPr>
                <w:rFonts w:ascii="Arial" w:cs="Arial" w:eastAsia="Arial" w:hAnsi="Arial"/>
                <w:sz w:val="25"/>
                <w:szCs w:val="25"/>
                <w:color w:val="auto"/>
                <w:vertAlign w:val="superscript"/>
              </w:rPr>
              <w:t>(7)</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75,000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75,000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Calm Seas Capital </w:t>
            </w:r>
            <w:r>
              <w:rPr>
                <w:rFonts w:ascii="Arial" w:cs="Arial" w:eastAsia="Arial" w:hAnsi="Arial"/>
                <w:sz w:val="25"/>
                <w:szCs w:val="25"/>
                <w:color w:val="auto"/>
                <w:vertAlign w:val="superscript"/>
              </w:rPr>
              <w:t>(8)</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82,944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71,429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11,515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line="216" w:lineRule="exact"/>
              <w:rPr>
                <w:sz w:val="20"/>
                <w:szCs w:val="20"/>
                <w:color w:val="auto"/>
              </w:rPr>
            </w:pPr>
            <w:r>
              <w:rPr>
                <w:rFonts w:ascii="Arial" w:cs="Arial" w:eastAsia="Arial" w:hAnsi="Arial"/>
                <w:sz w:val="18"/>
                <w:szCs w:val="18"/>
                <w:color w:val="auto"/>
              </w:rPr>
              <w:t xml:space="preserve">McCarthy Tetrault LLP </w:t>
            </w:r>
            <w:r>
              <w:rPr>
                <w:rFonts w:ascii="Arial" w:cs="Arial" w:eastAsia="Arial" w:hAnsi="Arial"/>
                <w:sz w:val="25"/>
                <w:szCs w:val="25"/>
                <w:color w:val="auto"/>
                <w:vertAlign w:val="superscript"/>
              </w:rPr>
              <w:t>(9)</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64,230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59,230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Brio Capital Master Fund Ltd. </w:t>
            </w:r>
            <w:r>
              <w:rPr>
                <w:rFonts w:ascii="Arial" w:cs="Arial" w:eastAsia="Arial" w:hAnsi="Arial"/>
                <w:sz w:val="25"/>
                <w:szCs w:val="25"/>
                <w:color w:val="auto"/>
                <w:vertAlign w:val="superscript"/>
              </w:rPr>
              <w:t>(10)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128,594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54,214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74,380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Matthew A. Kreling</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68,965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43,752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25,213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Icahn School of Medicine at Mount Sinai </w:t>
            </w:r>
            <w:r>
              <w:rPr>
                <w:rFonts w:ascii="Arial" w:cs="Arial" w:eastAsia="Arial" w:hAnsi="Arial"/>
                <w:sz w:val="25"/>
                <w:szCs w:val="25"/>
                <w:color w:val="auto"/>
                <w:vertAlign w:val="superscript"/>
              </w:rPr>
              <w:t>(11)</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73,000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Praim S. Singh &amp; Marlene Singh Trustees, Singh Family Trust 4/25/1997</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79,560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40,760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38,800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Plazacorp Investments Limited </w:t>
            </w:r>
            <w:r>
              <w:rPr>
                <w:rFonts w:ascii="Arial" w:cs="Arial" w:eastAsia="Arial" w:hAnsi="Arial"/>
                <w:sz w:val="25"/>
                <w:szCs w:val="25"/>
                <w:color w:val="auto"/>
                <w:vertAlign w:val="superscript"/>
              </w:rPr>
              <w:t>(12)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50,924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35,924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line="216" w:lineRule="exact"/>
              <w:rPr>
                <w:sz w:val="20"/>
                <w:szCs w:val="20"/>
                <w:color w:val="auto"/>
              </w:rPr>
            </w:pPr>
            <w:r>
              <w:rPr>
                <w:rFonts w:ascii="Arial" w:cs="Arial" w:eastAsia="Arial" w:hAnsi="Arial"/>
                <w:sz w:val="18"/>
                <w:szCs w:val="18"/>
                <w:color w:val="auto"/>
              </w:rPr>
              <w:t xml:space="preserve">Excell Advisors LLC </w:t>
            </w:r>
            <w:r>
              <w:rPr>
                <w:rFonts w:ascii="Arial" w:cs="Arial" w:eastAsia="Arial" w:hAnsi="Arial"/>
                <w:sz w:val="25"/>
                <w:szCs w:val="25"/>
                <w:color w:val="auto"/>
                <w:vertAlign w:val="superscript"/>
              </w:rPr>
              <w:t>(13)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67,342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34,842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32,500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Desjardins Securities, Inc. </w:t>
            </w:r>
            <w:r>
              <w:rPr>
                <w:rFonts w:ascii="Arial" w:cs="Arial" w:eastAsia="Arial" w:hAnsi="Arial"/>
                <w:sz w:val="25"/>
                <w:szCs w:val="25"/>
                <w:color w:val="auto"/>
                <w:vertAlign w:val="superscript"/>
              </w:rPr>
              <w:t>(14)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34,098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32,143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1,955</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40" w:type="dxa"/>
            <w:vAlign w:val="bottom"/>
          </w:tcPr>
          <w:p>
            <w:pPr>
              <w:spacing w:after="0" w:line="201" w:lineRule="exact"/>
              <w:rPr>
                <w:sz w:val="20"/>
                <w:szCs w:val="20"/>
                <w:color w:val="auto"/>
              </w:rPr>
            </w:pPr>
            <w:r>
              <w:rPr>
                <w:rFonts w:ascii="Arial" w:cs="Arial" w:eastAsia="Arial" w:hAnsi="Arial"/>
                <w:sz w:val="18"/>
                <w:szCs w:val="18"/>
                <w:color w:val="auto"/>
                <w:w w:val="93"/>
              </w:rPr>
              <w:t>John Doherty &amp; Jennifer Doherty, Trustees, The Doherty Revocable Trust dated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color w:val="auto"/>
              </w:rPr>
              <w:t>6/1/2011</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61,879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30,476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31,403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MAZ Partners, LP </w:t>
            </w:r>
            <w:r>
              <w:rPr>
                <w:rFonts w:ascii="Arial" w:cs="Arial" w:eastAsia="Arial" w:hAnsi="Arial"/>
                <w:sz w:val="25"/>
                <w:szCs w:val="25"/>
                <w:color w:val="auto"/>
                <w:vertAlign w:val="superscript"/>
              </w:rPr>
              <w:t>(15)</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Yaakov Yitzchak Bodner</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36,928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29,428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Daniel Zucker</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43,852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28,852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line="216" w:lineRule="exact"/>
              <w:rPr>
                <w:sz w:val="20"/>
                <w:szCs w:val="20"/>
                <w:color w:val="auto"/>
              </w:rPr>
            </w:pPr>
            <w:r>
              <w:rPr>
                <w:rFonts w:ascii="Arial" w:cs="Arial" w:eastAsia="Arial" w:hAnsi="Arial"/>
                <w:sz w:val="18"/>
                <w:szCs w:val="18"/>
                <w:color w:val="auto"/>
              </w:rPr>
              <w:t xml:space="preserve">Daniel W. Rumsey </w:t>
            </w:r>
            <w:r>
              <w:rPr>
                <w:rFonts w:ascii="Arial" w:cs="Arial" w:eastAsia="Arial" w:hAnsi="Arial"/>
                <w:sz w:val="25"/>
                <w:szCs w:val="25"/>
                <w:color w:val="auto"/>
                <w:vertAlign w:val="superscript"/>
              </w:rPr>
              <w:t>(16)</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54,584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29,584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Thomas T. Tavares</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64,582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24,446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40,136</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Nathan Steinmetz</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35,988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23,288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12,700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Michael C. Phillips</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62,947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21,860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41,087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Akiva Horowitz</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21,430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21,430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Burr Pilger Mayer, Inc. </w:t>
            </w:r>
            <w:r>
              <w:rPr>
                <w:rFonts w:ascii="Arial" w:cs="Arial" w:eastAsia="Arial" w:hAnsi="Arial"/>
                <w:sz w:val="25"/>
                <w:szCs w:val="25"/>
                <w:color w:val="auto"/>
                <w:vertAlign w:val="superscript"/>
              </w:rPr>
              <w:t>(17)</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21,429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21,429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Tracy K &amp; Valerie M Price TR Price Family Trust 8/15/2007</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58,154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20,590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37,564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Wayne Lindholm</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37,988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20,488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Jeffrey M. Quick</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20,000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Alexander I. Elperin Living Trust dated August 1, 2012</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23,890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18,890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Mordechai Schechter</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38,682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18,682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20,000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Eva Levi</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18,636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18,636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GMP Securities ITF Robert J. Halpern</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25,402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17,902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Thomas W. Hanson</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37,862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17,862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line="216" w:lineRule="exact"/>
              <w:rPr>
                <w:sz w:val="20"/>
                <w:szCs w:val="20"/>
                <w:color w:val="auto"/>
              </w:rPr>
            </w:pPr>
            <w:r>
              <w:rPr>
                <w:rFonts w:ascii="Arial" w:cs="Arial" w:eastAsia="Arial" w:hAnsi="Arial"/>
                <w:sz w:val="18"/>
                <w:szCs w:val="18"/>
                <w:color w:val="auto"/>
              </w:rPr>
              <w:t xml:space="preserve">National Jewish Health </w:t>
            </w:r>
            <w:r>
              <w:rPr>
                <w:rFonts w:ascii="Arial" w:cs="Arial" w:eastAsia="Arial" w:hAnsi="Arial"/>
                <w:sz w:val="25"/>
                <w:szCs w:val="25"/>
                <w:color w:val="auto"/>
                <w:vertAlign w:val="superscript"/>
              </w:rPr>
              <w:t>(18)</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19,700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17,857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1,843</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MicroConstants, Inc. </w:t>
            </w:r>
            <w:r>
              <w:rPr>
                <w:rFonts w:ascii="Arial" w:cs="Arial" w:eastAsia="Arial" w:hAnsi="Arial"/>
                <w:sz w:val="25"/>
                <w:szCs w:val="25"/>
                <w:color w:val="auto"/>
                <w:vertAlign w:val="superscript"/>
              </w:rPr>
              <w:t>(19)</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17,857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17,857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line="216" w:lineRule="exact"/>
              <w:rPr>
                <w:sz w:val="20"/>
                <w:szCs w:val="20"/>
                <w:color w:val="auto"/>
              </w:rPr>
            </w:pPr>
            <w:r>
              <w:rPr>
                <w:rFonts w:ascii="Arial" w:cs="Arial" w:eastAsia="Arial" w:hAnsi="Arial"/>
                <w:sz w:val="18"/>
                <w:szCs w:val="18"/>
                <w:color w:val="auto"/>
              </w:rPr>
              <w:t xml:space="preserve">M Capital Partners LLC </w:t>
            </w:r>
            <w:r>
              <w:rPr>
                <w:rFonts w:ascii="Arial" w:cs="Arial" w:eastAsia="Arial" w:hAnsi="Arial"/>
                <w:sz w:val="25"/>
                <w:szCs w:val="25"/>
                <w:color w:val="auto"/>
                <w:vertAlign w:val="superscript"/>
              </w:rPr>
              <w:t>(20)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27,144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17,144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Reber-Burness Trust </w:t>
            </w:r>
            <w:r>
              <w:rPr>
                <w:rFonts w:ascii="Arial" w:cs="Arial" w:eastAsia="Arial" w:hAnsi="Arial"/>
                <w:sz w:val="25"/>
                <w:szCs w:val="25"/>
                <w:color w:val="auto"/>
                <w:vertAlign w:val="superscript"/>
              </w:rPr>
              <w:t>(21)</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line="216" w:lineRule="exact"/>
              <w:rPr>
                <w:sz w:val="20"/>
                <w:szCs w:val="20"/>
                <w:color w:val="auto"/>
              </w:rPr>
            </w:pPr>
            <w:r>
              <w:rPr>
                <w:rFonts w:ascii="Arial" w:cs="Arial" w:eastAsia="Arial" w:hAnsi="Arial"/>
                <w:sz w:val="18"/>
                <w:szCs w:val="18"/>
                <w:color w:val="auto"/>
              </w:rPr>
              <w:t xml:space="preserve">GGG Investments, LLC </w:t>
            </w:r>
            <w:r>
              <w:rPr>
                <w:rFonts w:ascii="Arial" w:cs="Arial" w:eastAsia="Arial" w:hAnsi="Arial"/>
                <w:sz w:val="25"/>
                <w:szCs w:val="25"/>
                <w:color w:val="auto"/>
                <w:vertAlign w:val="superscript"/>
              </w:rPr>
              <w:t>(22)</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15,000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Michael W. Dinnen</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14,286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14,286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Marvin Mermelstein</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14,286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14,286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Jacob J. Tepper</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14,286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14,286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Jeff &amp; Jenifer Culbertson JT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21,518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14,074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7,444</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Luke Matthys &amp; Marilyn Good JT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25,674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15,280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Moshe Glassman</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10,002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Joe Gerard</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12,706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line="216" w:lineRule="exact"/>
              <w:rPr>
                <w:sz w:val="20"/>
                <w:szCs w:val="20"/>
                <w:color w:val="auto"/>
              </w:rPr>
            </w:pPr>
            <w:r>
              <w:rPr>
                <w:rFonts w:ascii="Arial" w:cs="Arial" w:eastAsia="Arial" w:hAnsi="Arial"/>
                <w:sz w:val="18"/>
                <w:szCs w:val="18"/>
                <w:color w:val="auto"/>
              </w:rPr>
              <w:t xml:space="preserve">IBH Capital LLC </w:t>
            </w:r>
            <w:r>
              <w:rPr>
                <w:rFonts w:ascii="Arial" w:cs="Arial" w:eastAsia="Arial" w:hAnsi="Arial"/>
                <w:sz w:val="25"/>
                <w:szCs w:val="25"/>
                <w:color w:val="auto"/>
                <w:vertAlign w:val="superscript"/>
              </w:rPr>
              <w:t>(23)</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7,144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7,144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Harry Klein</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7,144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7,144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Eli Scharf</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7,144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7,144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Fell 1996 Trust </w:t>
            </w:r>
            <w:r>
              <w:rPr>
                <w:rFonts w:ascii="Arial" w:cs="Arial" w:eastAsia="Arial" w:hAnsi="Arial"/>
                <w:sz w:val="25"/>
                <w:szCs w:val="25"/>
                <w:color w:val="auto"/>
                <w:vertAlign w:val="superscript"/>
              </w:rPr>
              <w:t>(24)</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14,820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8,536</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w w:val="98"/>
              </w:rPr>
              <w:t>Jeffrey A. Lindeman Trust UAD 09/23/10, Jeffrey A. Lindeman and Mona L.</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5,000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Lindeman Ttees</w:t>
            </w:r>
          </w:p>
        </w:tc>
        <w:tc>
          <w:tcPr>
            <w:tcW w:w="1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Daniel J. Turner</w:t>
            </w:r>
          </w:p>
        </w:tc>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10,336</w:t>
            </w:r>
          </w:p>
        </w:tc>
        <w:tc>
          <w:tcPr>
            <w:tcW w:w="1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4,190</w:t>
            </w:r>
          </w:p>
        </w:tc>
        <w:tc>
          <w:tcPr>
            <w:tcW w:w="14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5,146</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 M Marks and Joan M Marks Family Trust</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7,019</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4,072</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2,947</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02"/>
        </w:trPr>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Bernhard A. Votteri MD, Trustee, Bernhard A. Votteri Inc. Profit Sharing Trust</w:t>
            </w:r>
          </w:p>
        </w:tc>
        <w:tc>
          <w:tcPr>
            <w:tcW w:w="1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08/01/78</w:t>
            </w:r>
          </w:p>
        </w:tc>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9,610</w:t>
            </w:r>
          </w:p>
        </w:tc>
        <w:tc>
          <w:tcPr>
            <w:tcW w:w="1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3,956</w:t>
            </w:r>
          </w:p>
        </w:tc>
        <w:tc>
          <w:tcPr>
            <w:tcW w:w="14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5,654</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Lawrence C. Gotelli ,Jr.</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40,633</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2,090</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38,543</w:t>
            </w:r>
          </w:p>
        </w:tc>
        <w:tc>
          <w:tcPr>
            <w:tcW w:w="100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Christopher A. Andreozzi</w:t>
            </w:r>
          </w:p>
        </w:tc>
        <w:tc>
          <w:tcPr>
            <w:tcW w:w="13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6,683</w:t>
            </w:r>
          </w:p>
        </w:tc>
        <w:tc>
          <w:tcPr>
            <w:tcW w:w="13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1,868</w:t>
            </w:r>
          </w:p>
        </w:tc>
        <w:tc>
          <w:tcPr>
            <w:tcW w:w="14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4,815</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Reid Adler</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22,000</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9,500</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12,500</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593"/>
        </w:trPr>
        <w:tc>
          <w:tcPr>
            <w:tcW w:w="6320" w:type="dxa"/>
            <w:vAlign w:val="bottom"/>
          </w:tcPr>
          <w:p>
            <w:pPr>
              <w:ind w:left="5520"/>
              <w:spacing w:after="0"/>
              <w:rPr>
                <w:sz w:val="20"/>
                <w:szCs w:val="20"/>
                <w:color w:val="auto"/>
              </w:rPr>
            </w:pPr>
            <w:r>
              <w:rPr>
                <w:rFonts w:ascii="Arial" w:cs="Arial" w:eastAsia="Arial" w:hAnsi="Arial"/>
                <w:sz w:val="18"/>
                <w:szCs w:val="18"/>
                <w:color w:val="auto"/>
              </w:rPr>
              <w:t>-107-</w:t>
            </w: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8"/>
        </w:trPr>
        <w:tc>
          <w:tcPr>
            <w:tcW w:w="63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ind w:left="580" w:right="20" w:hanging="572"/>
        <w:spacing w:after="0" w:line="277" w:lineRule="auto"/>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as otherwise indicated in the following footnotes, the Selling Stockholder listed has voting and investment control over the securities beneficially owned, including the Registrable Securities..</w:t>
      </w:r>
    </w:p>
    <w:p>
      <w:pPr>
        <w:spacing w:after="0" w:line="170" w:lineRule="exact"/>
        <w:rPr>
          <w:rFonts w:ascii="Arial" w:cs="Arial" w:eastAsia="Arial" w:hAnsi="Arial"/>
          <w:sz w:val="18"/>
          <w:szCs w:val="18"/>
          <w:color w:val="auto"/>
        </w:rPr>
      </w:pPr>
    </w:p>
    <w:p>
      <w:pPr>
        <w:jc w:val="both"/>
        <w:ind w:left="580" w:right="20" w:hanging="572"/>
        <w:spacing w:after="0" w:line="257" w:lineRule="auto"/>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Montsant Partners, LLC (“</w:t>
      </w:r>
      <w:r>
        <w:rPr>
          <w:rFonts w:ascii="Arial" w:cs="Arial" w:eastAsia="Arial" w:hAnsi="Arial"/>
          <w:sz w:val="18"/>
          <w:szCs w:val="18"/>
          <w:i w:val="1"/>
          <w:iCs w:val="1"/>
          <w:color w:val="auto"/>
        </w:rPr>
        <w:t>Montsant</w:t>
      </w:r>
      <w:r>
        <w:rPr>
          <w:rFonts w:ascii="Arial" w:cs="Arial" w:eastAsia="Arial" w:hAnsi="Arial"/>
          <w:sz w:val="18"/>
          <w:szCs w:val="18"/>
          <w:color w:val="auto"/>
        </w:rPr>
        <w:t>”) is an affiliate of Platinum Long Term Growth Fund VII (“</w:t>
      </w:r>
      <w:r>
        <w:rPr>
          <w:rFonts w:ascii="Arial" w:cs="Arial" w:eastAsia="Arial" w:hAnsi="Arial"/>
          <w:sz w:val="18"/>
          <w:szCs w:val="18"/>
          <w:i w:val="1"/>
          <w:iCs w:val="1"/>
          <w:color w:val="auto"/>
        </w:rPr>
        <w:t>Platinum</w:t>
      </w:r>
      <w:r>
        <w:rPr>
          <w:rFonts w:ascii="Arial" w:cs="Arial" w:eastAsia="Arial" w:hAnsi="Arial"/>
          <w:sz w:val="18"/>
          <w:szCs w:val="18"/>
          <w:color w:val="auto"/>
        </w:rPr>
        <w:t>”), to whom Platinum has previously transferred certain of the equity securities initially issued by us to Platinum. The number of beneficially owned shares reported both before and after the Offering includes 115,570 restricted shares of common stock owned by Montsant and 25,241 restricted shares of common stock and a warrant to purchase 20,172 restricted shares of common stock that may currently be acquired by Montsant upon exchange of 18,827 restricted shares of our Series A Preferred Stock (“</w:t>
      </w:r>
      <w:r>
        <w:rPr>
          <w:rFonts w:ascii="Arial" w:cs="Arial" w:eastAsia="Arial" w:hAnsi="Arial"/>
          <w:sz w:val="18"/>
          <w:szCs w:val="18"/>
          <w:i w:val="1"/>
          <w:iCs w:val="1"/>
          <w:color w:val="auto"/>
        </w:rPr>
        <w:t>Series A Preferred</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jc w:val="both"/>
        <w:ind w:left="580" w:right="20"/>
        <w:spacing w:after="0" w:line="272" w:lineRule="auto"/>
        <w:rPr>
          <w:rFonts w:ascii="Arial" w:cs="Arial" w:eastAsia="Arial" w:hAnsi="Arial"/>
          <w:sz w:val="18"/>
          <w:szCs w:val="18"/>
          <w:color w:val="auto"/>
        </w:rPr>
      </w:pPr>
      <w:r>
        <w:rPr>
          <w:rFonts w:ascii="Arial" w:cs="Arial" w:eastAsia="Arial" w:hAnsi="Arial"/>
          <w:sz w:val="17"/>
          <w:szCs w:val="17"/>
          <w:color w:val="auto"/>
        </w:rPr>
        <w:t>The reported number of shares beneficially owned both before and after the Offering excludes 609,259 restricted shares of common stock and a warrant to purchase 435,186 restricted shares of common stock that may currently be acquired by Montsant upon exchange of 406,173 restricted shares of our Series A Preferred. Pursuant to the October 11, 2012 Note Exchange and Purchase Agreement by and between us and Platinum, there is a limitation on exchange such that the number of shares of our common stock that may be acquired by Platinum or its affiliates upon exchange of the Series A Preferred is limited to the extent necessary to ensure that, following such exchange, the total number of shares of our common stock then beneficially owned by Platinum or its affiliates does not exceed 9.99% of the total number of our then issued and outstanding shares of common stock without providing us with 61 days’ prior notice thereof.</w:t>
      </w:r>
    </w:p>
    <w:p>
      <w:pPr>
        <w:spacing w:after="0" w:line="177" w:lineRule="exact"/>
        <w:rPr>
          <w:rFonts w:ascii="Arial" w:cs="Arial" w:eastAsia="Arial" w:hAnsi="Arial"/>
          <w:sz w:val="18"/>
          <w:szCs w:val="18"/>
          <w:color w:val="auto"/>
        </w:rPr>
      </w:pPr>
    </w:p>
    <w:p>
      <w:pPr>
        <w:jc w:val="both"/>
        <w:ind w:left="580"/>
        <w:spacing w:after="0" w:line="270" w:lineRule="auto"/>
        <w:rPr>
          <w:rFonts w:ascii="Arial" w:cs="Arial" w:eastAsia="Arial" w:hAnsi="Arial"/>
          <w:sz w:val="18"/>
          <w:szCs w:val="18"/>
          <w:color w:val="auto"/>
        </w:rPr>
      </w:pPr>
      <w:r>
        <w:rPr>
          <w:rFonts w:ascii="Arial" w:cs="Arial" w:eastAsia="Arial" w:hAnsi="Arial"/>
          <w:sz w:val="17"/>
          <w:szCs w:val="17"/>
          <w:color w:val="auto"/>
        </w:rPr>
        <w:t>Further, the reported number of shares beneficially owned by Montsant before the Offering also excludes 3,253,410 Registrable Shares pursuant to its ownership of 1,512,022 shares of our Series B 10% Convertible Preferred Stock (“</w:t>
      </w:r>
      <w:r>
        <w:rPr>
          <w:rFonts w:ascii="Arial" w:cs="Arial" w:eastAsia="Arial" w:hAnsi="Arial"/>
          <w:sz w:val="17"/>
          <w:szCs w:val="17"/>
          <w:i w:val="1"/>
          <w:iCs w:val="1"/>
          <w:color w:val="auto"/>
        </w:rPr>
        <w:t>Series B Preferred</w:t>
      </w:r>
      <w:r>
        <w:rPr>
          <w:rFonts w:ascii="Arial" w:cs="Arial" w:eastAsia="Arial" w:hAnsi="Arial"/>
          <w:sz w:val="17"/>
          <w:szCs w:val="17"/>
          <w:color w:val="auto"/>
        </w:rPr>
        <w:t>”), immediately convertible into a like number of shares of our restricted common stock, of which 430,000 shares are excluded from Registrable Securities herein, and warrants to purchase 1,741,388 shares of our restricted common stock, of which 1,200,000 shares are excluded from Registrable Securities herein. Pursuant to the terms of the Certificate of Designation of the Relative Rights and Preferences of the Series B 10% Convertible Preferred Stock and of the respective common stock warrant agreements, there is a limitation on conversion of the Series B Preferred and exercise of the warrants such that the number of shares of common stock that Montsant may beneficially acquire upon such conversion or exercise is limited to the extent necessary to ensure that, following such conversion or exercise,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77" w:lineRule="exact"/>
        <w:rPr>
          <w:rFonts w:ascii="Arial" w:cs="Arial" w:eastAsia="Arial" w:hAnsi="Arial"/>
          <w:sz w:val="18"/>
          <w:szCs w:val="18"/>
          <w:color w:val="auto"/>
        </w:rPr>
      </w:pPr>
    </w:p>
    <w:p>
      <w:pPr>
        <w:jc w:val="both"/>
        <w:ind w:left="580"/>
        <w:spacing w:after="0" w:line="255" w:lineRule="auto"/>
        <w:rPr>
          <w:rFonts w:ascii="Arial" w:cs="Arial" w:eastAsia="Arial" w:hAnsi="Arial"/>
          <w:sz w:val="18"/>
          <w:szCs w:val="18"/>
          <w:color w:val="auto"/>
        </w:rPr>
      </w:pPr>
      <w:r>
        <w:rPr>
          <w:rFonts w:ascii="Arial" w:cs="Arial" w:eastAsia="Arial" w:hAnsi="Arial"/>
          <w:sz w:val="18"/>
          <w:szCs w:val="18"/>
          <w:color w:val="auto"/>
        </w:rPr>
        <w:t>Additionally, the reported number of shares beneficially owned both before and after the Offering excludes currently exercisable warrants owned by Platinum to purchase 320,124 shares of our restricted common stock. Pursuant to the terms of the respective common stock warrant agreements, there is a limitation on the exercise of the warrants such that the number of shares of common stock that Platinum may beneficially acquire upon such exercise is limited to the extent necessary to ensure that, following such exercise, the total number of shares of common stock then beneficially owned by Platinum or Montsant does not exceed 9.99% of the total number of then issued and outstanding shares of our common stock without providing us with 61 days’ prior notice thereof.</w:t>
      </w:r>
    </w:p>
    <w:p>
      <w:pPr>
        <w:spacing w:after="0" w:line="19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Mark Nordlicht has voting and investment control over the shares held by Platinum and Montsant.</w:t>
      </w:r>
    </w:p>
    <w:p>
      <w:pPr>
        <w:spacing w:after="0" w:line="225" w:lineRule="exact"/>
        <w:rPr>
          <w:rFonts w:ascii="Arial" w:cs="Arial" w:eastAsia="Arial" w:hAnsi="Arial"/>
          <w:sz w:val="18"/>
          <w:szCs w:val="18"/>
          <w:color w:val="auto"/>
        </w:rPr>
      </w:pPr>
    </w:p>
    <w:p>
      <w:pPr>
        <w:jc w:val="both"/>
        <w:ind w:left="580" w:hanging="572"/>
        <w:spacing w:after="0" w:line="272" w:lineRule="auto"/>
        <w:tabs>
          <w:tab w:leader="none" w:pos="5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reported number of shares beneficially owned by Cato Holding Company dba Cato Bio Ventures prior to the Offering excludes 328,571 Registrable Shares, currently exchangeable for 328,571 restricted shares of our common stock. Pursuant to the terms of the Certificate of Designation of the Relative Rights and Preferences of the Series B 10% Convertible Preferred Stock, there is a limitation on conversion of the Series B Preferred such that the number of shares of common stock that Cato may beneficially acquire upon such conversion is limited to the extent necessary to ensure that, following such conversion, the total number of shares of common stock then beneficially owned by Cato does not exceed 9.99% of the total number of then issued and outstanding shares of our common stock without providing us with 61 days’ prior notice thereof. Lynda Sutton has voting and investment authority over the shares held by Cato Holding Company.</w:t>
      </w:r>
    </w:p>
    <w:p>
      <w:pPr>
        <w:spacing w:after="0" w:line="177" w:lineRule="exact"/>
        <w:rPr>
          <w:rFonts w:ascii="Arial" w:cs="Arial" w:eastAsia="Arial" w:hAnsi="Arial"/>
          <w:sz w:val="17"/>
          <w:szCs w:val="17"/>
          <w:color w:val="auto"/>
        </w:rPr>
      </w:pPr>
    </w:p>
    <w:p>
      <w:pPr>
        <w:ind w:left="580" w:hanging="572"/>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Mark J. Blumenthal has voting and investment authority over the shares held by Morrison &amp; Foerster LLP.</w:t>
      </w:r>
    </w:p>
    <w:p>
      <w:pPr>
        <w:spacing w:after="0" w:line="225" w:lineRule="exact"/>
        <w:rPr>
          <w:rFonts w:ascii="Arial" w:cs="Arial" w:eastAsia="Arial" w:hAnsi="Arial"/>
          <w:sz w:val="18"/>
          <w:szCs w:val="18"/>
          <w:color w:val="auto"/>
        </w:rPr>
      </w:pPr>
    </w:p>
    <w:p>
      <w:pPr>
        <w:jc w:val="both"/>
        <w:ind w:left="580" w:hanging="572"/>
        <w:spacing w:after="0" w:line="257" w:lineRule="auto"/>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Platinum has previously transferred to Michael Goldberg (“</w:t>
      </w:r>
      <w:r>
        <w:rPr>
          <w:rFonts w:ascii="Arial" w:cs="Arial" w:eastAsia="Arial" w:hAnsi="Arial"/>
          <w:sz w:val="18"/>
          <w:szCs w:val="18"/>
          <w:i w:val="1"/>
          <w:iCs w:val="1"/>
          <w:color w:val="auto"/>
        </w:rPr>
        <w:t>Goldberg</w:t>
      </w:r>
      <w:r>
        <w:rPr>
          <w:rFonts w:ascii="Arial" w:cs="Arial" w:eastAsia="Arial" w:hAnsi="Arial"/>
          <w:sz w:val="18"/>
          <w:szCs w:val="18"/>
          <w:color w:val="auto"/>
        </w:rPr>
        <w:t>”) certain of the equity securities initially issued by us to Platinum. The conversion or exercise restrictions in those securities initially applicable to Platinum remain applicable to Goldberg. The number of beneficially owned shares reported both before and after the Offering includes 37,508 restricted shares of common stock owned by Goldberg and 78,975 restricted shares of common stock and a currently exercisable warrant to purchase 56,411 restricted shares of common stock that may currently be acquired by Goldberg upon exchange of 52,650 restricted shares of our Series A Preferred.</w:t>
      </w:r>
    </w:p>
    <w:p>
      <w:pPr>
        <w:spacing w:after="0" w:line="188" w:lineRule="exact"/>
        <w:rPr>
          <w:rFonts w:ascii="Arial" w:cs="Arial" w:eastAsia="Arial" w:hAnsi="Arial"/>
          <w:sz w:val="18"/>
          <w:szCs w:val="18"/>
          <w:color w:val="auto"/>
        </w:rPr>
      </w:pPr>
    </w:p>
    <w:p>
      <w:pPr>
        <w:jc w:val="both"/>
        <w:ind w:left="580" w:right="20"/>
        <w:spacing w:after="0" w:line="255" w:lineRule="auto"/>
        <w:rPr>
          <w:rFonts w:ascii="Arial" w:cs="Arial" w:eastAsia="Arial" w:hAnsi="Arial"/>
          <w:sz w:val="18"/>
          <w:szCs w:val="18"/>
          <w:color w:val="auto"/>
        </w:rPr>
      </w:pPr>
      <w:r>
        <w:rPr>
          <w:rFonts w:ascii="Arial" w:cs="Arial" w:eastAsia="Arial" w:hAnsi="Arial"/>
          <w:sz w:val="18"/>
          <w:szCs w:val="18"/>
          <w:color w:val="auto"/>
        </w:rPr>
        <w:t>The reported number of shares beneficially owned both before and after the Offering excludes 33,525 restricted shares of common stock and a warrant to purchase 23,946 restricted shares of common stock that may currently be acquired by Goldberg upon exchange of 22,350 restricted shares of our Series A Preferred. Pursuant to the October 11, 2012 Note Exchange and Purchase Agreement by and between us and Platinum, there is a limitation on exchange such that the number of shares of our common stock that may be acquired by Goldberg upon exchange of the Series A Preferred is limited to the extent necessary to ensure that, following such exchange, the total number of shares of our common stock then beneficially owned by Goldberg does not exceed 9.99% of the total number of our then issued and outstanding shares of common stock without providing us with 61 days’ prior notice thereof.</w:t>
      </w:r>
    </w:p>
    <w:p>
      <w:pPr>
        <w:spacing w:after="0" w:line="189" w:lineRule="exact"/>
        <w:rPr>
          <w:rFonts w:ascii="Arial" w:cs="Arial" w:eastAsia="Arial" w:hAnsi="Arial"/>
          <w:sz w:val="18"/>
          <w:szCs w:val="18"/>
          <w:color w:val="auto"/>
        </w:rPr>
      </w:pPr>
    </w:p>
    <w:p>
      <w:pPr>
        <w:jc w:val="both"/>
        <w:ind w:left="580"/>
        <w:spacing w:after="0" w:line="271" w:lineRule="auto"/>
        <w:rPr>
          <w:rFonts w:ascii="Arial" w:cs="Arial" w:eastAsia="Arial" w:hAnsi="Arial"/>
          <w:sz w:val="18"/>
          <w:szCs w:val="18"/>
          <w:color w:val="auto"/>
        </w:rPr>
      </w:pPr>
      <w:r>
        <w:rPr>
          <w:rFonts w:ascii="Arial" w:cs="Arial" w:eastAsia="Arial" w:hAnsi="Arial"/>
          <w:sz w:val="17"/>
          <w:szCs w:val="17"/>
          <w:color w:val="auto"/>
        </w:rPr>
        <w:t>Further, the reported number of shares beneficially owned by Goldberg before the Offering also excludes 193,355 Registrable Shares pursuant to his ownership of 147,028 shares of our Series B Preferred, immediately convertible into a like number of shares of our restricted common stock, and warrants to purchase 46,327 shares of our restricted common stock. Pursuant to the terms of the Certificate of Designation of the Relative Rights and Preferences of the Series B 10% Convertible Preferred Stock and of the respective common stock warrant agreements, there is a limitation on conversion of the Series B Preferred and exercise of the warrants such that the number of shares of common stock that Goldberg may beneficially acquire upon such conversion or exercise is limited to the extent necessary to ensure that, following such conversion or exercise, the total number of shares of common stock then beneficially owned by Goldberg does not exceed 9.99% of the total number of then issued and outstanding shares of our common stock without providing us with 61 days’ prior notice thereof.</w:t>
      </w:r>
    </w:p>
    <w:p>
      <w:pPr>
        <w:spacing w:after="0" w:line="178" w:lineRule="exact"/>
        <w:rPr>
          <w:rFonts w:ascii="Arial" w:cs="Arial" w:eastAsia="Arial" w:hAnsi="Arial"/>
          <w:sz w:val="18"/>
          <w:szCs w:val="18"/>
          <w:color w:val="auto"/>
        </w:rPr>
      </w:pPr>
    </w:p>
    <w:p>
      <w:pPr>
        <w:jc w:val="both"/>
        <w:ind w:left="580"/>
        <w:spacing w:after="0" w:line="302" w:lineRule="auto"/>
        <w:rPr>
          <w:rFonts w:ascii="Arial" w:cs="Arial" w:eastAsia="Arial" w:hAnsi="Arial"/>
          <w:sz w:val="18"/>
          <w:szCs w:val="18"/>
          <w:color w:val="auto"/>
        </w:rPr>
      </w:pPr>
      <w:r>
        <w:rPr>
          <w:rFonts w:ascii="Arial" w:cs="Arial" w:eastAsia="Arial" w:hAnsi="Arial"/>
          <w:sz w:val="16"/>
          <w:szCs w:val="16"/>
          <w:color w:val="auto"/>
        </w:rPr>
        <w:t>Additionally, the reported number of shares beneficially owned by Goldberg both before and after the Offering excludes currently exercisable warrants to purchase 66,251 shares of our restricted common stock. Pursuant to the terms of the respective common stock warrant agreements, there is a limitation on the exercise of the warrants such that the number of shares of common stock that Goldberg may beneficially acquire upon such exercise is limited to the extent necessary to ensure that, following such exercise, the total number of shares of common stock then beneficially</w:t>
      </w:r>
    </w:p>
    <w:p>
      <w:pPr>
        <w:sectPr>
          <w:pgSz w:w="11900" w:h="16838" w:orient="portrait"/>
          <w:cols w:equalWidth="0" w:num="1">
            <w:col w:w="11320"/>
          </w:cols>
          <w:pgMar w:left="240" w:top="130" w:right="339" w:bottom="0" w:gutter="0" w:footer="0" w:header="0"/>
        </w:sectPr>
      </w:pPr>
    </w:p>
    <w:bookmarkStart w:id="119" w:name="page120"/>
    <w:bookmarkEnd w:id="119"/>
    <w:p>
      <w:pPr>
        <w:ind w:left="572" w:right="20"/>
        <w:spacing w:after="0" w:line="277" w:lineRule="auto"/>
        <w:rPr>
          <w:sz w:val="20"/>
          <w:szCs w:val="20"/>
          <w:color w:val="auto"/>
        </w:rPr>
      </w:pPr>
      <w:r>
        <w:rPr>
          <w:rFonts w:ascii="Arial" w:cs="Arial" w:eastAsia="Arial" w:hAnsi="Arial"/>
          <w:sz w:val="18"/>
          <w:szCs w:val="18"/>
          <w:color w:val="auto"/>
        </w:rPr>
        <w:t>owned by Goldberg does not exceed 9.99% of the total number of then issued and outstanding shares of our common stock without providing us with 61 days’ prior notice thereof.</w:t>
      </w:r>
    </w:p>
    <w:p>
      <w:pPr>
        <w:spacing w:after="0" w:line="170" w:lineRule="exact"/>
        <w:rPr>
          <w:sz w:val="20"/>
          <w:szCs w:val="20"/>
          <w:color w:val="auto"/>
        </w:rPr>
      </w:pPr>
    </w:p>
    <w:p>
      <w:pPr>
        <w:ind w:left="572" w:hanging="572"/>
        <w:spacing w:after="0"/>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Christopher Paige, Ph.D. has voting and investment authority over the shares held by University Health Network.</w:t>
      </w:r>
    </w:p>
    <w:p>
      <w:pPr>
        <w:spacing w:after="0" w:line="225" w:lineRule="exact"/>
        <w:rPr>
          <w:rFonts w:ascii="Arial" w:cs="Arial" w:eastAsia="Arial" w:hAnsi="Arial"/>
          <w:sz w:val="18"/>
          <w:szCs w:val="18"/>
          <w:color w:val="auto"/>
        </w:rPr>
      </w:pPr>
    </w:p>
    <w:p>
      <w:pPr>
        <w:ind w:left="572" w:right="20" w:hanging="572"/>
        <w:spacing w:after="0" w:line="342" w:lineRule="auto"/>
        <w:tabs>
          <w:tab w:leader="none" w:pos="572" w:val="left"/>
        </w:tabs>
        <w:numPr>
          <w:ilvl w:val="0"/>
          <w:numId w:val="74"/>
        </w:numPr>
        <w:rPr>
          <w:rFonts w:ascii="Arial" w:cs="Arial" w:eastAsia="Arial" w:hAnsi="Arial"/>
          <w:sz w:val="16"/>
          <w:szCs w:val="16"/>
          <w:color w:val="auto"/>
        </w:rPr>
      </w:pPr>
      <w:r>
        <w:rPr>
          <w:rFonts w:ascii="Arial" w:cs="Arial" w:eastAsia="Arial" w:hAnsi="Arial"/>
          <w:sz w:val="16"/>
          <w:szCs w:val="16"/>
          <w:color w:val="auto"/>
        </w:rPr>
        <w:t>Chardan Capital Markets (“</w:t>
      </w:r>
      <w:r>
        <w:rPr>
          <w:rFonts w:ascii="Arial" w:cs="Arial" w:eastAsia="Arial" w:hAnsi="Arial"/>
          <w:sz w:val="16"/>
          <w:szCs w:val="16"/>
          <w:i w:val="1"/>
          <w:iCs w:val="1"/>
          <w:color w:val="auto"/>
        </w:rPr>
        <w:t>Chardan</w:t>
      </w:r>
      <w:r>
        <w:rPr>
          <w:rFonts w:ascii="Arial" w:cs="Arial" w:eastAsia="Arial" w:hAnsi="Arial"/>
          <w:sz w:val="16"/>
          <w:szCs w:val="16"/>
          <w:color w:val="auto"/>
        </w:rPr>
        <w:t>”) is a broker dealer and has received its Registrable Shares from us for services rendered and to be rendered to us pursuant to our financial advisory agreement. Steven Urbach has voting and investment authority over the shares held by Chardan.</w:t>
      </w:r>
    </w:p>
    <w:p>
      <w:pPr>
        <w:spacing w:after="0" w:line="123" w:lineRule="exact"/>
        <w:rPr>
          <w:rFonts w:ascii="Arial" w:cs="Arial" w:eastAsia="Arial" w:hAnsi="Arial"/>
          <w:sz w:val="16"/>
          <w:szCs w:val="16"/>
          <w:color w:val="auto"/>
        </w:rPr>
      </w:pPr>
    </w:p>
    <w:p>
      <w:pPr>
        <w:ind w:left="572" w:hanging="572"/>
        <w:spacing w:after="0"/>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Michael McCarthy has voting and investment authority over the shares held by Calm Seas Capital.</w:t>
      </w:r>
    </w:p>
    <w:p>
      <w:pPr>
        <w:spacing w:after="0" w:line="225" w:lineRule="exact"/>
        <w:rPr>
          <w:rFonts w:ascii="Arial" w:cs="Arial" w:eastAsia="Arial" w:hAnsi="Arial"/>
          <w:sz w:val="18"/>
          <w:szCs w:val="18"/>
          <w:color w:val="auto"/>
        </w:rPr>
      </w:pPr>
    </w:p>
    <w:p>
      <w:pPr>
        <w:ind w:left="572" w:hanging="572"/>
        <w:spacing w:after="0"/>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David E. Woollcombe has voting and investment authority over the shares held by McCarthy Tetrault LLP.</w:t>
      </w:r>
    </w:p>
    <w:p>
      <w:pPr>
        <w:spacing w:after="0" w:line="225" w:lineRule="exact"/>
        <w:rPr>
          <w:rFonts w:ascii="Arial" w:cs="Arial" w:eastAsia="Arial" w:hAnsi="Arial"/>
          <w:sz w:val="18"/>
          <w:szCs w:val="18"/>
          <w:color w:val="auto"/>
        </w:rPr>
      </w:pPr>
    </w:p>
    <w:p>
      <w:pPr>
        <w:ind w:left="572" w:hanging="572"/>
        <w:spacing w:after="0"/>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Shaye Hirsch has voting and investment authority over the shares held by Brio Capital Master Fund Ltd.</w:t>
      </w:r>
    </w:p>
    <w:p>
      <w:pPr>
        <w:spacing w:after="0" w:line="225" w:lineRule="exact"/>
        <w:rPr>
          <w:rFonts w:ascii="Arial" w:cs="Arial" w:eastAsia="Arial" w:hAnsi="Arial"/>
          <w:sz w:val="18"/>
          <w:szCs w:val="18"/>
          <w:color w:val="auto"/>
        </w:rPr>
      </w:pPr>
    </w:p>
    <w:p>
      <w:pPr>
        <w:ind w:left="572" w:hanging="572"/>
        <w:spacing w:after="0"/>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Robert Hellauer has voting and investment authority over the shares held by Icahn School of Medicine at Mount Sinai.</w:t>
      </w:r>
    </w:p>
    <w:p>
      <w:pPr>
        <w:spacing w:after="0" w:line="225" w:lineRule="exact"/>
        <w:rPr>
          <w:rFonts w:ascii="Arial" w:cs="Arial" w:eastAsia="Arial" w:hAnsi="Arial"/>
          <w:sz w:val="18"/>
          <w:szCs w:val="18"/>
          <w:color w:val="auto"/>
        </w:rPr>
      </w:pPr>
    </w:p>
    <w:p>
      <w:pPr>
        <w:ind w:left="572" w:hanging="572"/>
        <w:spacing w:after="0"/>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Anthony Heller has voting and investment authority over the shares held by Plazacorp Investments Limited.</w:t>
      </w:r>
    </w:p>
    <w:p>
      <w:pPr>
        <w:spacing w:after="0" w:line="225" w:lineRule="exact"/>
        <w:rPr>
          <w:rFonts w:ascii="Arial" w:cs="Arial" w:eastAsia="Arial" w:hAnsi="Arial"/>
          <w:sz w:val="18"/>
          <w:szCs w:val="18"/>
          <w:color w:val="auto"/>
        </w:rPr>
      </w:pPr>
    </w:p>
    <w:p>
      <w:pPr>
        <w:ind w:left="572" w:hanging="572"/>
        <w:spacing w:after="0"/>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Benjamin Mayer has voting and investment authority over the shares held by Excell Advisors LLC.</w:t>
      </w:r>
    </w:p>
    <w:p>
      <w:pPr>
        <w:spacing w:after="0" w:line="225" w:lineRule="exact"/>
        <w:rPr>
          <w:rFonts w:ascii="Arial" w:cs="Arial" w:eastAsia="Arial" w:hAnsi="Arial"/>
          <w:sz w:val="18"/>
          <w:szCs w:val="18"/>
          <w:color w:val="auto"/>
        </w:rPr>
      </w:pPr>
    </w:p>
    <w:p>
      <w:pPr>
        <w:jc w:val="both"/>
        <w:ind w:left="572" w:hanging="572"/>
        <w:spacing w:after="0" w:line="264" w:lineRule="auto"/>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Desjardins Securities, Inc. (“</w:t>
      </w:r>
      <w:r>
        <w:rPr>
          <w:rFonts w:ascii="Arial" w:cs="Arial" w:eastAsia="Arial" w:hAnsi="Arial"/>
          <w:sz w:val="18"/>
          <w:szCs w:val="18"/>
          <w:i w:val="1"/>
          <w:iCs w:val="1"/>
          <w:color w:val="auto"/>
        </w:rPr>
        <w:t>Desjardins</w:t>
      </w:r>
      <w:r>
        <w:rPr>
          <w:rFonts w:ascii="Arial" w:cs="Arial" w:eastAsia="Arial" w:hAnsi="Arial"/>
          <w:sz w:val="18"/>
          <w:szCs w:val="18"/>
          <w:color w:val="auto"/>
        </w:rPr>
        <w:t>”) is a broker dealer and has received its Registrable Shares in exchange for the cancellation of certain promissory notes previously issued as payment of certain investment advisory services rendered to us. Jean-Yves Bourgeois has voting and investment authority over the shares held by Desjardins Securities, Inc.</w:t>
      </w:r>
    </w:p>
    <w:p>
      <w:pPr>
        <w:spacing w:after="0" w:line="181" w:lineRule="exact"/>
        <w:rPr>
          <w:rFonts w:ascii="Arial" w:cs="Arial" w:eastAsia="Arial" w:hAnsi="Arial"/>
          <w:sz w:val="18"/>
          <w:szCs w:val="18"/>
          <w:color w:val="auto"/>
        </w:rPr>
      </w:pPr>
    </w:p>
    <w:p>
      <w:pPr>
        <w:ind w:left="572" w:hanging="572"/>
        <w:spacing w:after="0"/>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Walter Schenker has voting and investment authority over the shares held by MAZ Partners, LP.</w:t>
      </w:r>
    </w:p>
    <w:p>
      <w:pPr>
        <w:spacing w:after="0" w:line="225" w:lineRule="exact"/>
        <w:rPr>
          <w:rFonts w:ascii="Arial" w:cs="Arial" w:eastAsia="Arial" w:hAnsi="Arial"/>
          <w:sz w:val="18"/>
          <w:szCs w:val="18"/>
          <w:color w:val="auto"/>
        </w:rPr>
      </w:pPr>
    </w:p>
    <w:p>
      <w:pPr>
        <w:ind w:left="572" w:right="20" w:hanging="572"/>
        <w:spacing w:after="0" w:line="277" w:lineRule="auto"/>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reported number of shares beneficially owned both before and after the Offering includes 16,667 restricted shares of our common stock owned by Disclosure Law Group, of which Daniel W. Rumsey is the managing partner.</w:t>
      </w:r>
    </w:p>
    <w:p>
      <w:pPr>
        <w:spacing w:after="0" w:line="170" w:lineRule="exact"/>
        <w:rPr>
          <w:rFonts w:ascii="Arial" w:cs="Arial" w:eastAsia="Arial" w:hAnsi="Arial"/>
          <w:sz w:val="18"/>
          <w:szCs w:val="18"/>
          <w:color w:val="auto"/>
        </w:rPr>
      </w:pPr>
    </w:p>
    <w:p>
      <w:pPr>
        <w:ind w:left="572" w:hanging="572"/>
        <w:spacing w:after="0"/>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Curtis A. Burr has voting and investment authority over the shares held by Burr Pilger Mayer, Inc.</w:t>
      </w:r>
    </w:p>
    <w:p>
      <w:pPr>
        <w:spacing w:after="0" w:line="225" w:lineRule="exact"/>
        <w:rPr>
          <w:rFonts w:ascii="Arial" w:cs="Arial" w:eastAsia="Arial" w:hAnsi="Arial"/>
          <w:sz w:val="18"/>
          <w:szCs w:val="18"/>
          <w:color w:val="auto"/>
        </w:rPr>
      </w:pPr>
    </w:p>
    <w:p>
      <w:pPr>
        <w:ind w:left="572" w:hanging="572"/>
        <w:spacing w:after="0"/>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Christine K. Forkner has voting and investment authority over the shares held by National Jewish Health.</w:t>
      </w:r>
    </w:p>
    <w:p>
      <w:pPr>
        <w:spacing w:after="0" w:line="225" w:lineRule="exact"/>
        <w:rPr>
          <w:rFonts w:ascii="Arial" w:cs="Arial" w:eastAsia="Arial" w:hAnsi="Arial"/>
          <w:sz w:val="18"/>
          <w:szCs w:val="18"/>
          <w:color w:val="auto"/>
        </w:rPr>
      </w:pPr>
    </w:p>
    <w:p>
      <w:pPr>
        <w:ind w:left="572" w:hanging="572"/>
        <w:spacing w:after="0"/>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Gilbert Lam has voting and investment authority over the shares held by MicroConstants, Inc.</w:t>
      </w:r>
    </w:p>
    <w:p>
      <w:pPr>
        <w:spacing w:after="0" w:line="225" w:lineRule="exact"/>
        <w:rPr>
          <w:rFonts w:ascii="Arial" w:cs="Arial" w:eastAsia="Arial" w:hAnsi="Arial"/>
          <w:sz w:val="18"/>
          <w:szCs w:val="18"/>
          <w:color w:val="auto"/>
        </w:rPr>
      </w:pPr>
    </w:p>
    <w:p>
      <w:pPr>
        <w:ind w:left="572" w:hanging="572"/>
        <w:spacing w:after="0"/>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Benjamin Mayer has voting and investment authority over the shares held by M Capital Partners LLC.</w:t>
      </w:r>
    </w:p>
    <w:p>
      <w:pPr>
        <w:spacing w:after="0" w:line="225" w:lineRule="exact"/>
        <w:rPr>
          <w:rFonts w:ascii="Arial" w:cs="Arial" w:eastAsia="Arial" w:hAnsi="Arial"/>
          <w:sz w:val="18"/>
          <w:szCs w:val="18"/>
          <w:color w:val="auto"/>
        </w:rPr>
      </w:pPr>
    </w:p>
    <w:p>
      <w:pPr>
        <w:ind w:left="572" w:hanging="572"/>
        <w:spacing w:after="0"/>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James A. Burness has voting and investment authority over the shares held by Reber-Burness Trust.</w:t>
      </w:r>
    </w:p>
    <w:p>
      <w:pPr>
        <w:spacing w:after="0" w:line="225" w:lineRule="exact"/>
        <w:rPr>
          <w:rFonts w:ascii="Arial" w:cs="Arial" w:eastAsia="Arial" w:hAnsi="Arial"/>
          <w:sz w:val="18"/>
          <w:szCs w:val="18"/>
          <w:color w:val="auto"/>
        </w:rPr>
      </w:pPr>
    </w:p>
    <w:p>
      <w:pPr>
        <w:ind w:left="572" w:hanging="572"/>
        <w:spacing w:after="0"/>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Giulio Staiano has voting and investment authority over the shares held by GGG Investments, LLC.</w:t>
      </w:r>
    </w:p>
    <w:p>
      <w:pPr>
        <w:spacing w:after="0" w:line="225" w:lineRule="exact"/>
        <w:rPr>
          <w:rFonts w:ascii="Arial" w:cs="Arial" w:eastAsia="Arial" w:hAnsi="Arial"/>
          <w:sz w:val="18"/>
          <w:szCs w:val="18"/>
          <w:color w:val="auto"/>
        </w:rPr>
      </w:pPr>
    </w:p>
    <w:p>
      <w:pPr>
        <w:ind w:left="572" w:hanging="572"/>
        <w:spacing w:after="0"/>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Pincus Kievman has voting and investment authority over the shares held by IBH Capital LLC.</w:t>
      </w:r>
    </w:p>
    <w:p>
      <w:pPr>
        <w:spacing w:after="0" w:line="225" w:lineRule="exact"/>
        <w:rPr>
          <w:rFonts w:ascii="Arial" w:cs="Arial" w:eastAsia="Arial" w:hAnsi="Arial"/>
          <w:sz w:val="18"/>
          <w:szCs w:val="18"/>
          <w:color w:val="auto"/>
        </w:rPr>
      </w:pPr>
    </w:p>
    <w:p>
      <w:pPr>
        <w:ind w:left="572" w:hanging="572"/>
        <w:spacing w:after="0"/>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Thomas Fell has voting and investment authority over the shares held by Fell 1996 Trust.</w:t>
      </w:r>
    </w:p>
    <w:p>
      <w:pPr>
        <w:spacing w:after="0" w:line="225" w:lineRule="exact"/>
        <w:rPr>
          <w:rFonts w:ascii="Arial" w:cs="Arial" w:eastAsia="Arial" w:hAnsi="Arial"/>
          <w:sz w:val="18"/>
          <w:szCs w:val="18"/>
          <w:color w:val="auto"/>
        </w:rPr>
      </w:pPr>
    </w:p>
    <w:p>
      <w:pPr>
        <w:jc w:val="both"/>
        <w:ind w:left="572" w:right="20" w:hanging="572"/>
        <w:spacing w:after="0" w:line="264" w:lineRule="auto"/>
        <w:tabs>
          <w:tab w:leader="none" w:pos="5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Beneficial ownership assumes the conversion of and/ or exercise of any securities held by the Selling Stockholder that are currently convertible or exercisable or that may become convertible or exercisable within 60 days of July 17, 2015, not otherwise subject to conversion or exercise restrictions.</w:t>
      </w:r>
    </w:p>
    <w:p>
      <w:pPr>
        <w:spacing w:after="0" w:line="181" w:lineRule="exact"/>
        <w:rPr>
          <w:sz w:val="20"/>
          <w:szCs w:val="20"/>
          <w:color w:val="auto"/>
        </w:rPr>
      </w:pPr>
    </w:p>
    <w:p>
      <w:pPr>
        <w:ind w:left="572" w:hanging="572"/>
        <w:spacing w:after="0"/>
        <w:tabs>
          <w:tab w:leader="none" w:pos="572"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12"/>
          </w:cols>
          <w:pgMar w:left="248" w:top="125" w:right="339" w:bottom="1440" w:gutter="0" w:footer="0" w:header="0"/>
        </w:sectPr>
      </w:pPr>
    </w:p>
    <w:bookmarkStart w:id="120" w:name="page121"/>
    <w:bookmarkEnd w:id="120"/>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RELATIONSHIPS BETWEEN THE ISSUER AND THE SELLING SECURITY 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than as disclosed herein, none of the Selling Stockholders has at any time during the past three years acted as one of our employees, officers or directors or had a material relationship with us.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Cato Holding Company, doing business as Cato BioVentures (“</w:t>
      </w:r>
      <w:r>
        <w:rPr>
          <w:rFonts w:ascii="Arial" w:cs="Arial" w:eastAsia="Arial" w:hAnsi="Arial"/>
          <w:sz w:val="18"/>
          <w:szCs w:val="18"/>
          <w:i w:val="1"/>
          <w:iCs w:val="1"/>
          <w:color w:val="auto"/>
        </w:rPr>
        <w:t>CBV</w:t>
      </w:r>
      <w:r>
        <w:rPr>
          <w:rFonts w:ascii="Arial" w:cs="Arial" w:eastAsia="Arial" w:hAnsi="Arial"/>
          <w:sz w:val="18"/>
          <w:szCs w:val="18"/>
          <w:color w:val="auto"/>
        </w:rPr>
        <w:t>”), is the parent of Cato Research Ltd., which has served as our contract research organization for the development and regulatory oversight of AV-101 since 2007. Shawn Singh, our Chief Executive Officer and member of our Board of Directors (“</w:t>
      </w:r>
      <w:r>
        <w:rPr>
          <w:rFonts w:ascii="Arial" w:cs="Arial" w:eastAsia="Arial" w:hAnsi="Arial"/>
          <w:sz w:val="18"/>
          <w:szCs w:val="18"/>
          <w:i w:val="1"/>
          <w:iCs w:val="1"/>
          <w:color w:val="auto"/>
        </w:rPr>
        <w:t>Mr. Singh</w:t>
      </w:r>
      <w:r>
        <w:rPr>
          <w:rFonts w:ascii="Arial" w:cs="Arial" w:eastAsia="Arial" w:hAnsi="Arial"/>
          <w:sz w:val="18"/>
          <w:szCs w:val="18"/>
          <w:color w:val="auto"/>
        </w:rPr>
        <w:t>”), served as Managing Principal of CBV and as an officer of CRL until August 2009.</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Morrison &amp; Foerster LLP (“</w:t>
      </w:r>
      <w:r>
        <w:rPr>
          <w:rFonts w:ascii="Arial" w:cs="Arial" w:eastAsia="Arial" w:hAnsi="Arial"/>
          <w:sz w:val="18"/>
          <w:szCs w:val="18"/>
          <w:i w:val="1"/>
          <w:iCs w:val="1"/>
          <w:color w:val="auto"/>
        </w:rPr>
        <w:t>Morrison &amp; Foerster</w:t>
      </w:r>
      <w:r>
        <w:rPr>
          <w:rFonts w:ascii="Arial" w:cs="Arial" w:eastAsia="Arial" w:hAnsi="Arial"/>
          <w:sz w:val="18"/>
          <w:szCs w:val="18"/>
          <w:color w:val="auto"/>
        </w:rPr>
        <w:t>”) has previously provided certain legal services to us, and received its Registrable Securities in exchange for the cancellation of a promissory note previously issued in partial payment of those services.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University Health Network (“</w:t>
      </w:r>
      <w:r>
        <w:rPr>
          <w:rFonts w:ascii="Arial" w:cs="Arial" w:eastAsia="Arial" w:hAnsi="Arial"/>
          <w:sz w:val="18"/>
          <w:szCs w:val="18"/>
          <w:i w:val="1"/>
          <w:iCs w:val="1"/>
          <w:color w:val="auto"/>
        </w:rPr>
        <w:t>UHN</w:t>
      </w:r>
      <w:r>
        <w:rPr>
          <w:rFonts w:ascii="Arial" w:cs="Arial" w:eastAsia="Arial" w:hAnsi="Arial"/>
          <w:sz w:val="18"/>
          <w:szCs w:val="18"/>
          <w:color w:val="auto"/>
        </w:rPr>
        <w:t>”) provides stem cell research and development collaboration services to us through a Sponsored Research Collaboration Agreement (“</w:t>
      </w:r>
      <w:r>
        <w:rPr>
          <w:rFonts w:ascii="Arial" w:cs="Arial" w:eastAsia="Arial" w:hAnsi="Arial"/>
          <w:sz w:val="18"/>
          <w:szCs w:val="18"/>
          <w:i w:val="1"/>
          <w:iCs w:val="1"/>
          <w:color w:val="auto"/>
        </w:rPr>
        <w:t>SRCA</w:t>
      </w:r>
      <w:r>
        <w:rPr>
          <w:rFonts w:ascii="Arial" w:cs="Arial" w:eastAsia="Arial" w:hAnsi="Arial"/>
          <w:sz w:val="18"/>
          <w:szCs w:val="18"/>
          <w:color w:val="auto"/>
        </w:rPr>
        <w:t>”) and is one of our intellectual property licensors. UHN received its Registrable Securities in exchange for the cancellation of a promissory note previously issued as payment for services under the SRCA.</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Icahn School of Medicine at Mount Sinai (“</w:t>
      </w:r>
      <w:r>
        <w:rPr>
          <w:rFonts w:ascii="Arial" w:cs="Arial" w:eastAsia="Arial" w:hAnsi="Arial"/>
          <w:sz w:val="17"/>
          <w:szCs w:val="17"/>
          <w:i w:val="1"/>
          <w:iCs w:val="1"/>
          <w:color w:val="auto"/>
        </w:rPr>
        <w:t>ISMMS</w:t>
      </w:r>
      <w:r>
        <w:rPr>
          <w:rFonts w:ascii="Arial" w:cs="Arial" w:eastAsia="Arial" w:hAnsi="Arial"/>
          <w:sz w:val="17"/>
          <w:szCs w:val="17"/>
          <w:color w:val="auto"/>
        </w:rPr>
        <w:t>”) is one of our intellectual property licensors and received its Registrable Securities in exchange for the cancellation of a promissory note previously issued as payment for certain amounts due under our license agreement with ISMMS.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Daniel W. Rumsey, managing partner of Disclosure Law Group, has served as our legal counsel through Disclosure Law Group since late 2011.</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Praim S. Singh and Marlene Singh, trustees of the Singh Family Trust 4/25/1997 are the parents of Mr. Singh. Tracy K Price, trustee of the Price Family Trust 8/15/2007 is the brother of Mr. Singh.</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Chardan Capital Markets (“</w:t>
      </w:r>
      <w:r>
        <w:rPr>
          <w:rFonts w:ascii="Arial" w:cs="Arial" w:eastAsia="Arial" w:hAnsi="Arial"/>
          <w:sz w:val="18"/>
          <w:szCs w:val="18"/>
          <w:i w:val="1"/>
          <w:iCs w:val="1"/>
          <w:color w:val="auto"/>
        </w:rPr>
        <w:t>Chardan</w:t>
      </w:r>
      <w:r>
        <w:rPr>
          <w:rFonts w:ascii="Arial" w:cs="Arial" w:eastAsia="Arial" w:hAnsi="Arial"/>
          <w:sz w:val="18"/>
          <w:szCs w:val="18"/>
          <w:color w:val="auto"/>
        </w:rPr>
        <w:t>”) provides financial advisory services us. We issued to Chardan its Registrable Securities as compensation for such advisory services.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Desjardins Securities, Inc. (“</w:t>
      </w:r>
      <w:r>
        <w:rPr>
          <w:rFonts w:ascii="Arial" w:cs="Arial" w:eastAsia="Arial" w:hAnsi="Arial"/>
          <w:sz w:val="16"/>
          <w:szCs w:val="16"/>
          <w:i w:val="1"/>
          <w:iCs w:val="1"/>
          <w:color w:val="auto"/>
        </w:rPr>
        <w:t>Desjardins</w:t>
      </w:r>
      <w:r>
        <w:rPr>
          <w:rFonts w:ascii="Arial" w:cs="Arial" w:eastAsia="Arial" w:hAnsi="Arial"/>
          <w:sz w:val="16"/>
          <w:szCs w:val="16"/>
          <w:color w:val="auto"/>
        </w:rPr>
        <w:t>”) previously provided certain investment advisory services to us, and received its Registrable Securities in exchange for the cancellation of a promissory note previously issued as payment of those services and certain current amounts payable by us to Desjardins.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Selling Stockholder and any of their pledgees, assignees and successors-in-interest may, from time to time, resell any or all of their shares of Common Stock covered hereby on the OTCQB or any other stock exchange, market or trading facility on which the shares are traded or in private transactions. These resales may be at fixed or negotiated prices. A Selling Stockholder may use any one or more of the following methods when reselling shares:</w:t>
      </w:r>
    </w:p>
    <w:p>
      <w:pPr>
        <w:spacing w:after="0" w:line="214" w:lineRule="exact"/>
        <w:rPr>
          <w:sz w:val="20"/>
          <w:szCs w:val="20"/>
          <w:color w:val="auto"/>
        </w:rPr>
      </w:pPr>
    </w:p>
    <w:p>
      <w:pPr>
        <w:ind w:left="980" w:hanging="292"/>
        <w:spacing w:after="0"/>
        <w:tabs>
          <w:tab w:leader="none" w:pos="9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on any national securities exchange, market or quotation service on which our Common Stock may be listed or quoted at the time of sale;</w:t>
      </w:r>
    </w:p>
    <w:p>
      <w:pPr>
        <w:spacing w:after="0" w:line="263" w:lineRule="exact"/>
        <w:rPr>
          <w:rFonts w:ascii="Arial" w:cs="Arial" w:eastAsia="Arial" w:hAnsi="Arial"/>
          <w:sz w:val="17"/>
          <w:szCs w:val="17"/>
          <w:color w:val="auto"/>
        </w:rPr>
      </w:pPr>
    </w:p>
    <w:p>
      <w:pPr>
        <w:ind w:left="980" w:hanging="292"/>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transactions other than on these exchanges or systems or in the over-the-counter market;</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ordinary brokerage transactions and transactions in which the broker-dealer solicits purchasers;</w:t>
      </w:r>
    </w:p>
    <w:p>
      <w:pPr>
        <w:spacing w:after="0" w:line="252" w:lineRule="exact"/>
        <w:rPr>
          <w:rFonts w:ascii="Arial" w:cs="Arial" w:eastAsia="Arial" w:hAnsi="Arial"/>
          <w:sz w:val="18"/>
          <w:szCs w:val="18"/>
          <w:color w:val="auto"/>
        </w:rPr>
      </w:pPr>
    </w:p>
    <w:p>
      <w:pPr>
        <w:ind w:left="980" w:hanging="292"/>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block trades in which the broker-dealer will attempt to sell the securities as agent, but may position and resell a portion of the block as principal to facilitate the transaction;</w:t>
      </w:r>
    </w:p>
    <w:p>
      <w:pPr>
        <w:spacing w:after="0" w:line="197" w:lineRule="exact"/>
        <w:rPr>
          <w:rFonts w:ascii="Arial" w:cs="Arial" w:eastAsia="Arial" w:hAnsi="Arial"/>
          <w:sz w:val="18"/>
          <w:szCs w:val="18"/>
          <w:color w:val="auto"/>
        </w:rPr>
      </w:pPr>
    </w:p>
    <w:p>
      <w:pPr>
        <w:ind w:left="980" w:hanging="292"/>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purchases by a broker-dealer as principal and resale by the broker-dealer for its account;</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an exchange distribution in accordance with the rules of the applicable exchange;</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put or call option transactions;</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transactions involving short sales through broker-dealers;</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 transactions wherein the Selling Stockholder sells securities short themselves and delivers the securities to close out short positions;</w:t>
      </w:r>
    </w:p>
    <w:p>
      <w:pPr>
        <w:spacing w:after="0" w:line="263" w:lineRule="exact"/>
        <w:rPr>
          <w:rFonts w:ascii="Arial" w:cs="Arial" w:eastAsia="Arial" w:hAnsi="Arial"/>
          <w:sz w:val="17"/>
          <w:szCs w:val="17"/>
          <w:color w:val="auto"/>
        </w:rPr>
      </w:pPr>
    </w:p>
    <w:p>
      <w:pPr>
        <w:ind w:left="980" w:hanging="292"/>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transactions that may involve crosses or block transactions;</w:t>
      </w:r>
    </w:p>
    <w:p>
      <w:pPr>
        <w:spacing w:after="0" w:line="252" w:lineRule="exact"/>
        <w:rPr>
          <w:rFonts w:ascii="Arial" w:cs="Arial" w:eastAsia="Arial" w:hAnsi="Arial"/>
          <w:sz w:val="18"/>
          <w:szCs w:val="18"/>
          <w:color w:val="auto"/>
        </w:rPr>
      </w:pPr>
    </w:p>
    <w:p>
      <w:pPr>
        <w:ind w:left="980" w:hanging="292"/>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transactions where broker-dealers may agree with the Selling Stockholders to sell a specified number of securities at a stipulated price per security;</w:t>
      </w:r>
    </w:p>
    <w:p>
      <w:pPr>
        <w:spacing w:after="0" w:line="197" w:lineRule="exact"/>
        <w:rPr>
          <w:rFonts w:ascii="Arial" w:cs="Arial" w:eastAsia="Arial" w:hAnsi="Arial"/>
          <w:sz w:val="18"/>
          <w:szCs w:val="18"/>
          <w:color w:val="auto"/>
        </w:rPr>
      </w:pPr>
    </w:p>
    <w:p>
      <w:pPr>
        <w:ind w:left="980" w:hanging="292"/>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252" w:lineRule="exact"/>
        <w:rPr>
          <w:rFonts w:ascii="Arial" w:cs="Arial" w:eastAsia="Arial" w:hAnsi="Arial"/>
          <w:sz w:val="18"/>
          <w:szCs w:val="18"/>
          <w:color w:val="auto"/>
        </w:rPr>
      </w:pPr>
    </w:p>
    <w:p>
      <w:pPr>
        <w:ind w:left="980" w:hanging="292"/>
        <w:spacing w:after="0"/>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any other method permitted by applicable law.</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Selling Stockholders may also resell shares under Rule 144 under the Securities Act, if available, rather than under this prospectus.</w:t>
      </w:r>
    </w:p>
    <w:p>
      <w:pPr>
        <w:sectPr>
          <w:pgSz w:w="11900" w:h="16838" w:orient="portrait"/>
          <w:cols w:equalWidth="0" w:num="1">
            <w:col w:w="11420"/>
          </w:cols>
          <w:pgMar w:left="240" w:top="130" w:right="239" w:bottom="0" w:gutter="0" w:footer="0" w:header="0"/>
        </w:sectPr>
      </w:pPr>
    </w:p>
    <w:bookmarkStart w:id="121" w:name="page122"/>
    <w:bookmarkEnd w:id="121"/>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Rule 2440 of the Financial Industry Regulatory Authority, Inc.; and in the case of a principal transaction a markup or markdown in compliance with IM-2440 of the Financial Industry Regulatory Authority, Inc.</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sale of the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the Common Stock short and deliver these securities to close out their short positions, or loan or pledge the Common Stock to broker-dealers that in turn may resell these securities. The Selling Stockholders may also enter into option or other transactions with broker-dealers or other financial institutions or create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Selling Stockholders and any broker-dealers or agents that are involved in reselling the shares may be deemed to be “underwriters” within the meaning of the Securities Act of 1933, as amended, in connection with such resales. In such event, any commissions received by such broker-dealers or agents and any profit on the resale of the shares purchased by them may be deemed to be underwriting commissions or discounts under the Securities Act. Each Selling Stockholder has informed the Company that it does not have any written or oral agreement or understanding, directly or indirectly, with any person to distribute their shares of Common Stock.</w:t>
      </w:r>
    </w:p>
    <w:p>
      <w:pPr>
        <w:spacing w:after="0" w:line="21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is required to pay certain fees and expenses incurred by the Company incident to the registration of the shares. The Company has agreed to indemnify the Selling Stockholders against certain losses, claims, damages and liabilities, including liabilities under the Securities Act.</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Selling Stockholders may be deemed to be “underwriters” within the meaning of the Securities Act, they will be subject to the prospectus delivery requirements of the Securities Act, including Rule 172 thereunder. The Selling Stockholders have advised us that there is no underwriter or coordinating broker acting in connection with the proposed resale of shares by the Selling Stockholders.</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agreed to keep this prospectus effective until the earlier of (i) the date on which the shares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(assuming that the shares were at no time held by any affiliate of ours, and all warrants are exercised by “cashless exercise” as provided in each of the warrants) or (ii) all of the shares have been resold pursuant to this prospectus or Rule 144 under the Securities Act, or any other rule of similar effect. The resale of shares will be only through registered or licensed brokers or dealers if required under applicable state securities laws. In addition, in certain states, resale of the shares of Common Stock covered hereby may not be consummated unless they have been registered or qualified for resale in the applicable state or an exemption from the registration or qualification requirement is available and is complied with.</w:t>
      </w:r>
    </w:p>
    <w:p>
      <w:pPr>
        <w:spacing w:after="0" w:line="20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resales of shares of the Common Stock by the Selling Stockholders or any other person under this prospectus.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financial statements as of March 31, 2015 and 2014, and for the years then ended, included in this prospectus, have been audited by OUM &amp; Co.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3" w:name="page124"/>
    <w:bookmarkEnd w:id="123"/>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Disclosure Law Group, San Diego, California, will pass upon the validity of the shares of common stock offered hereby. A partner of the Disclosure Law Group beneficially owns 16,667 restricted shares of our common stock, 25,000 shares of our Series B Preferred stock (included as Registrable Securities in the Selling Stockholder Table) and holds warrants to purchase 12,917 restricted shares of our common stock.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NAMED EXPERTS AND COUNSEL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resale of shares of common stock being offered by the Selling Stockholders under this prospectus was employed on a contingency basis or had, or is to receive, in connection with the resale of shares of common stock being offered by us under this prospectus, a substantial interest, directly or indirectly, in the Registrant or any of its parents or subsidiaries. Nor was any such person connected with the Registrant or any of its parents, subsidiaries as a promoter, managing or principal underwriter, voting trustee, director, officer, or employee.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w:t>
      </w:r>
      <w:r>
        <w:rPr>
          <w:rFonts w:ascii="Arial" w:cs="Arial" w:eastAsia="Arial" w:hAnsi="Arial"/>
          <w:sz w:val="17"/>
          <w:szCs w:val="17"/>
          <w:u w:val="single" w:color="auto"/>
          <w:color w:val="auto"/>
        </w:rPr>
        <w:t>http://www.sec.gov</w:t>
      </w:r>
      <w:r>
        <w:rPr>
          <w:rFonts w:ascii="Arial" w:cs="Arial" w:eastAsia="Arial" w:hAnsi="Arial"/>
          <w:sz w:val="17"/>
          <w:szCs w:val="17"/>
          <w:color w:val="auto"/>
        </w:rPr>
        <w: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being offered by the Selling Stockholders under this prospectus. This prospectus is part of that registration statement. This prospectus does not contain all of the information set forth in the registration statement or the exhibits to the registration statement. For further information with respect to us and the shares the Selling Stockholders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facilities and Internet site referred to above.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84"/>
        </w:trPr>
        <w:tc>
          <w:tcPr>
            <w:tcW w:w="9580" w:type="dxa"/>
            <w:vAlign w:val="bottom"/>
            <w:gridSpan w:val="9"/>
          </w:tcPr>
          <w:p>
            <w:pPr>
              <w:spacing w:after="0"/>
              <w:rPr>
                <w:rFonts w:ascii="Arial" w:cs="Arial" w:eastAsia="Arial" w:hAnsi="Arial"/>
                <w:sz w:val="16"/>
                <w:szCs w:val="16"/>
                <w:i w:val="1"/>
                <w:iCs w:val="1"/>
                <w:color w:val="0000EE"/>
              </w:rPr>
            </w:pPr>
            <w:hyperlink w:anchor="page4">
              <w:r>
                <w:rPr>
                  <w:rFonts w:ascii="Arial" w:cs="Arial" w:eastAsia="Arial" w:hAnsi="Arial"/>
                  <w:sz w:val="16"/>
                  <w:szCs w:val="16"/>
                  <w:i w:val="1"/>
                  <w:iCs w:val="1"/>
                  <w:color w:val="0000EE"/>
                </w:rPr>
                <w:t>Table of Contents</w:t>
              </w:r>
            </w:hyperlink>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20" w:type="dxa"/>
            <w:vAlign w:val="bottom"/>
            <w:gridSpan w:val="4"/>
          </w:tcPr>
          <w:p>
            <w:pPr>
              <w:jc w:val="center"/>
              <w:ind w:right="1210"/>
              <w:spacing w:after="0"/>
              <w:rPr>
                <w:sz w:val="20"/>
                <w:szCs w:val="20"/>
                <w:color w:val="auto"/>
              </w:rPr>
            </w:pPr>
            <w:r>
              <w:rPr>
                <w:rFonts w:ascii="Arial" w:cs="Arial" w:eastAsia="Arial" w:hAnsi="Arial"/>
                <w:sz w:val="18"/>
                <w:szCs w:val="18"/>
                <w:b w:val="1"/>
                <w:bCs w:val="1"/>
                <w:color w:val="auto"/>
              </w:rPr>
              <w:t>INDEX TO CONSOLIDATED FINANCIAL STATEMENTS</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60" w:type="dxa"/>
            <w:vAlign w:val="bottom"/>
            <w:gridSpan w:val="8"/>
            <w:shd w:val="clear" w:color="auto" w:fill="CCEEFF"/>
          </w:tcPr>
          <w:p>
            <w:pPr>
              <w:spacing w:after="0" w:line="176" w:lineRule="exact"/>
              <w:rPr>
                <w:rFonts w:ascii="Arial" w:cs="Arial" w:eastAsia="Arial" w:hAnsi="Arial"/>
                <w:sz w:val="18"/>
                <w:szCs w:val="18"/>
                <w:color w:val="0000EE"/>
              </w:rPr>
            </w:pPr>
            <w:hyperlink w:anchor="page126">
              <w:r>
                <w:rPr>
                  <w:rFonts w:ascii="Arial" w:cs="Arial" w:eastAsia="Arial" w:hAnsi="Arial"/>
                  <w:sz w:val="18"/>
                  <w:szCs w:val="18"/>
                  <w:color w:val="0000EE"/>
                </w:rPr>
                <w:t>Report of Independent Registered Public Accounting Firm</w:t>
              </w:r>
            </w:hyperlink>
          </w:p>
        </w:tc>
        <w:tc>
          <w:tcPr>
            <w:tcW w:w="1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0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127">
              <w:r>
                <w:rPr>
                  <w:rFonts w:ascii="Arial" w:cs="Arial" w:eastAsia="Arial" w:hAnsi="Arial"/>
                  <w:sz w:val="18"/>
                  <w:szCs w:val="18"/>
                  <w:color w:val="0000EE"/>
                </w:rPr>
                <w:t>Consolidated Balance Sheets</w:t>
              </w:r>
            </w:hyperlink>
          </w:p>
        </w:tc>
        <w:tc>
          <w:tcPr>
            <w:tcW w:w="5360" w:type="dxa"/>
            <w:vAlign w:val="bottom"/>
            <w:tcBorders>
              <w:top w:val="single" w:sz="8" w:color="CCEEFF"/>
            </w:tcBorders>
            <w:gridSpan w:val="2"/>
          </w:tcPr>
          <w:p>
            <w:pPr>
              <w:spacing w:after="0"/>
              <w:rPr>
                <w:sz w:val="15"/>
                <w:szCs w:val="15"/>
                <w:color w:val="auto"/>
              </w:rPr>
            </w:pPr>
          </w:p>
        </w:tc>
        <w:tc>
          <w:tcPr>
            <w:tcW w:w="18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560" w:type="dxa"/>
            <w:vAlign w:val="bottom"/>
            <w:gridSpan w:val="8"/>
            <w:shd w:val="clear" w:color="auto" w:fill="CCEEFF"/>
          </w:tcPr>
          <w:p>
            <w:pPr>
              <w:spacing w:after="0" w:line="176" w:lineRule="exact"/>
              <w:rPr>
                <w:rFonts w:ascii="Arial" w:cs="Arial" w:eastAsia="Arial" w:hAnsi="Arial"/>
                <w:sz w:val="18"/>
                <w:szCs w:val="18"/>
                <w:color w:val="0000EE"/>
              </w:rPr>
            </w:pPr>
            <w:hyperlink w:anchor="page128">
              <w:r>
                <w:rPr>
                  <w:rFonts w:ascii="Arial" w:cs="Arial" w:eastAsia="Arial" w:hAnsi="Arial"/>
                  <w:sz w:val="18"/>
                  <w:szCs w:val="18"/>
                  <w:color w:val="0000EE"/>
                </w:rPr>
                <w:t>Consolidated Statements of Operations and Comprehensive Loss</w:t>
              </w:r>
            </w:hyperlink>
          </w:p>
        </w:tc>
        <w:tc>
          <w:tcPr>
            <w:tcW w:w="1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6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Consolidated Statements of Cash Flows</w:t>
              </w:r>
            </w:hyperlink>
          </w:p>
        </w:tc>
        <w:tc>
          <w:tcPr>
            <w:tcW w:w="4900" w:type="dxa"/>
            <w:vAlign w:val="bottom"/>
            <w:tcBorders>
              <w:top w:val="single" w:sz="8" w:color="CCEEFF"/>
            </w:tcBorders>
          </w:tcPr>
          <w:p>
            <w:pPr>
              <w:spacing w:after="0"/>
              <w:rPr>
                <w:sz w:val="15"/>
                <w:szCs w:val="15"/>
                <w:color w:val="auto"/>
              </w:rPr>
            </w:pPr>
          </w:p>
        </w:tc>
        <w:tc>
          <w:tcPr>
            <w:tcW w:w="18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560" w:type="dxa"/>
            <w:vAlign w:val="bottom"/>
            <w:gridSpan w:val="8"/>
            <w:shd w:val="clear" w:color="auto" w:fill="CCEEFF"/>
          </w:tcPr>
          <w:p>
            <w:pPr>
              <w:spacing w:after="0" w:line="176" w:lineRule="exact"/>
              <w:rPr>
                <w:rFonts w:ascii="Arial" w:cs="Arial" w:eastAsia="Arial" w:hAnsi="Arial"/>
                <w:sz w:val="18"/>
                <w:szCs w:val="18"/>
                <w:color w:val="0000EE"/>
              </w:rPr>
            </w:pPr>
            <w:hyperlink w:anchor="page130">
              <w:r>
                <w:rPr>
                  <w:rFonts w:ascii="Arial" w:cs="Arial" w:eastAsia="Arial" w:hAnsi="Arial"/>
                  <w:sz w:val="18"/>
                  <w:szCs w:val="18"/>
                  <w:color w:val="0000EE"/>
                </w:rPr>
                <w:t>Consolidated Statements of Stockholders' Deficit</w:t>
              </w:r>
            </w:hyperlink>
          </w:p>
        </w:tc>
        <w:tc>
          <w:tcPr>
            <w:tcW w:w="18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tcBorders>
              <w:top w:val="single" w:sz="8" w:color="0000EE"/>
            </w:tcBorders>
            <w:gridSpan w:val="5"/>
          </w:tcPr>
          <w:p>
            <w:pPr>
              <w:spacing w:after="0" w:line="176" w:lineRule="exact"/>
              <w:rPr>
                <w:rFonts w:ascii="Arial" w:cs="Arial" w:eastAsia="Arial" w:hAnsi="Arial"/>
                <w:sz w:val="18"/>
                <w:szCs w:val="18"/>
                <w:color w:val="0000EE"/>
                <w:w w:val="99"/>
              </w:rPr>
            </w:pPr>
            <w:hyperlink w:anchor="page132">
              <w:r>
                <w:rPr>
                  <w:rFonts w:ascii="Arial" w:cs="Arial" w:eastAsia="Arial" w:hAnsi="Arial"/>
                  <w:sz w:val="18"/>
                  <w:szCs w:val="18"/>
                  <w:color w:val="0000EE"/>
                  <w:w w:val="99"/>
                </w:rPr>
                <w:t>Notes to Consolidated Financial Statements</w:t>
              </w:r>
            </w:hyperlink>
          </w:p>
        </w:tc>
        <w:tc>
          <w:tcPr>
            <w:tcW w:w="6040" w:type="dxa"/>
            <w:vAlign w:val="bottom"/>
            <w:tcBorders>
              <w:top w:val="single" w:sz="8" w:color="CCEEFF"/>
            </w:tcBorders>
            <w:gridSpan w:val="3"/>
          </w:tcPr>
          <w:p>
            <w:pPr>
              <w:spacing w:after="0"/>
              <w:rPr>
                <w:sz w:val="15"/>
                <w:szCs w:val="15"/>
                <w:color w:val="auto"/>
              </w:rPr>
            </w:pPr>
          </w:p>
        </w:tc>
        <w:tc>
          <w:tcPr>
            <w:tcW w:w="18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00" w:type="dxa"/>
            <w:vAlign w:val="bottom"/>
          </w:tcPr>
          <w:p>
            <w:pPr>
              <w:jc w:val="center"/>
              <w:ind w:right="2750"/>
              <w:spacing w:after="0"/>
              <w:rPr>
                <w:sz w:val="20"/>
                <w:szCs w:val="20"/>
                <w:color w:val="auto"/>
              </w:rPr>
            </w:pPr>
            <w:r>
              <w:rPr>
                <w:rFonts w:ascii="Arial" w:cs="Arial" w:eastAsia="Arial" w:hAnsi="Arial"/>
                <w:sz w:val="18"/>
                <w:szCs w:val="18"/>
                <w:color w:val="auto"/>
                <w:w w:val="96"/>
              </w:rPr>
              <w:t>F-1</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5" w:name="page126"/>
    <w:bookmarkEnd w:id="125"/>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VistaGen Therapeutics, Inc. as of March 31, 2015 and 2014 and the related consolidated statements of operations and comprehensive loss, cash flows, preferred stock, and stockholders’ deficit for the years then ended. These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VistaGen Therapeutics, Inc. at March 31, 2015 and 2014, and the consolidated results of its operations and its cash flows for the years then ended, in conformity with U.S. generally accepted accounting principles.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2 to the consolidated financial statements, the Company has not yet generated sustainable revenues, has suffered recurring losses and negative cash flows from operations and has a stockholders’ deficit, all of which raise substantial doubt about its ability to continue as a going concern. The consolidated financial statements do not include any adjustments that might result from the outcome of this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29, 2015</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184"/>
        </w:trPr>
        <w:tc>
          <w:tcPr>
            <w:tcW w:w="8700" w:type="dxa"/>
            <w:vAlign w:val="bottom"/>
            <w:gridSpan w:val="2"/>
          </w:tcPr>
          <w:p>
            <w:pPr>
              <w:spacing w:after="0"/>
              <w:rPr>
                <w:rFonts w:ascii="Arial" w:cs="Arial" w:eastAsia="Arial" w:hAnsi="Arial"/>
                <w:sz w:val="16"/>
                <w:szCs w:val="16"/>
                <w:i w:val="1"/>
                <w:iCs w:val="1"/>
                <w:color w:val="0000EE"/>
              </w:rPr>
            </w:pPr>
            <w:hyperlink w:anchor="page4">
              <w:r>
                <w:rPr>
                  <w:rFonts w:ascii="Arial" w:cs="Arial" w:eastAsia="Arial" w:hAnsi="Arial"/>
                  <w:sz w:val="16"/>
                  <w:szCs w:val="16"/>
                  <w:i w:val="1"/>
                  <w:iCs w:val="1"/>
                  <w:color w:val="0000EE"/>
                </w:rPr>
                <w:t>Table of Contents</w:t>
              </w:r>
            </w:hyperlink>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0"/>
        </w:trPr>
        <w:tc>
          <w:tcPr>
            <w:tcW w:w="1140" w:type="dxa"/>
            <w:vAlign w:val="bottom"/>
            <w:tcBorders>
              <w:top w:val="single" w:sz="8" w:color="0000EE"/>
            </w:tcBorders>
          </w:tcPr>
          <w:p>
            <w:pPr>
              <w:spacing w:after="0"/>
              <w:rPr>
                <w:sz w:val="24"/>
                <w:szCs w:val="24"/>
                <w:color w:val="auto"/>
              </w:rPr>
            </w:pPr>
          </w:p>
        </w:tc>
        <w:tc>
          <w:tcPr>
            <w:tcW w:w="7560" w:type="dxa"/>
            <w:vAlign w:val="bottom"/>
          </w:tcPr>
          <w:p>
            <w:pPr>
              <w:jc w:val="center"/>
              <w:ind w:left="1490"/>
              <w:spacing w:after="0"/>
              <w:rPr>
                <w:sz w:val="20"/>
                <w:szCs w:val="20"/>
                <w:color w:val="auto"/>
              </w:rPr>
            </w:pPr>
            <w:r>
              <w:rPr>
                <w:rFonts w:ascii="Arial" w:cs="Arial" w:eastAsia="Arial" w:hAnsi="Arial"/>
                <w:sz w:val="18"/>
                <w:szCs w:val="18"/>
                <w:b w:val="1"/>
                <w:bCs w:val="1"/>
                <w:color w:val="auto"/>
              </w:rPr>
              <w:t>VISTAGEN THERAPEUTICS, INC.</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140" w:type="dxa"/>
            <w:vAlign w:val="bottom"/>
          </w:tcPr>
          <w:p>
            <w:pPr>
              <w:spacing w:after="0"/>
              <w:rPr>
                <w:sz w:val="24"/>
                <w:szCs w:val="24"/>
                <w:color w:val="auto"/>
              </w:rPr>
            </w:pPr>
          </w:p>
        </w:tc>
        <w:tc>
          <w:tcPr>
            <w:tcW w:w="7560" w:type="dxa"/>
            <w:vAlign w:val="bottom"/>
          </w:tcPr>
          <w:p>
            <w:pPr>
              <w:jc w:val="center"/>
              <w:ind w:left="151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7560" w:type="dxa"/>
            <w:vAlign w:val="bottom"/>
          </w:tcPr>
          <w:p>
            <w:pPr>
              <w:jc w:val="center"/>
              <w:ind w:left="1490"/>
              <w:spacing w:after="0"/>
              <w:rPr>
                <w:sz w:val="20"/>
                <w:szCs w:val="20"/>
                <w:color w:val="auto"/>
              </w:rPr>
            </w:pPr>
            <w:r>
              <w:rPr>
                <w:rFonts w:ascii="Arial" w:cs="Arial" w:eastAsia="Arial" w:hAnsi="Arial"/>
                <w:sz w:val="18"/>
                <w:szCs w:val="18"/>
                <w:b w:val="1"/>
                <w:bCs w:val="1"/>
                <w:color w:val="auto"/>
                <w:w w:val="89"/>
              </w:rPr>
              <w:t>(Amounts in dollars, except share amounts)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1140" w:type="dxa"/>
            <w:vAlign w:val="bottom"/>
          </w:tcPr>
          <w:p>
            <w:pPr>
              <w:spacing w:after="0"/>
              <w:rPr>
                <w:sz w:val="24"/>
                <w:szCs w:val="24"/>
                <w:color w:val="auto"/>
              </w:rPr>
            </w:pPr>
          </w:p>
        </w:tc>
        <w:tc>
          <w:tcPr>
            <w:tcW w:w="7560" w:type="dxa"/>
            <w:vAlign w:val="bottom"/>
          </w:tcPr>
          <w:p>
            <w:pPr>
              <w:jc w:val="center"/>
              <w:ind w:left="1390"/>
              <w:spacing w:after="0"/>
              <w:rPr>
                <w:sz w:val="20"/>
                <w:szCs w:val="20"/>
                <w:color w:val="auto"/>
              </w:rPr>
            </w:pPr>
            <w:r>
              <w:rPr>
                <w:rFonts w:ascii="Arial" w:cs="Arial" w:eastAsia="Arial" w:hAnsi="Arial"/>
                <w:sz w:val="18"/>
                <w:szCs w:val="18"/>
                <w:b w:val="1"/>
                <w:bCs w:val="1"/>
                <w:color w:val="auto"/>
              </w:rPr>
              <w:t>VISTAGEN THERAPEUTICS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1140" w:type="dxa"/>
            <w:vAlign w:val="bottom"/>
          </w:tcPr>
          <w:p>
            <w:pPr>
              <w:spacing w:after="0"/>
              <w:rPr>
                <w:sz w:val="19"/>
                <w:szCs w:val="19"/>
                <w:color w:val="auto"/>
              </w:rPr>
            </w:pPr>
          </w:p>
        </w:tc>
        <w:tc>
          <w:tcPr>
            <w:tcW w:w="7560" w:type="dxa"/>
            <w:vAlign w:val="bottom"/>
          </w:tcPr>
          <w:p>
            <w:pPr>
              <w:jc w:val="center"/>
              <w:ind w:left="1390"/>
              <w:spacing w:after="0"/>
              <w:rPr>
                <w:sz w:val="20"/>
                <w:szCs w:val="20"/>
                <w:color w:val="auto"/>
              </w:rPr>
            </w:pPr>
            <w:r>
              <w:rPr>
                <w:rFonts w:ascii="Arial" w:cs="Arial" w:eastAsia="Arial" w:hAnsi="Arial"/>
                <w:sz w:val="18"/>
                <w:szCs w:val="18"/>
                <w:b w:val="1"/>
                <w:bCs w:val="1"/>
                <w:color w:val="auto"/>
                <w:w w:val="87"/>
              </w:rPr>
              <w:t>Consolidated Balance Sheets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p>
        </w:tc>
        <w:tc>
          <w:tcPr>
            <w:tcW w:w="7560" w:type="dxa"/>
            <w:vAlign w:val="bottom"/>
          </w:tcPr>
          <w:p>
            <w:pPr>
              <w:jc w:val="center"/>
              <w:ind w:left="1370"/>
              <w:spacing w:after="0"/>
              <w:rPr>
                <w:sz w:val="20"/>
                <w:szCs w:val="20"/>
                <w:color w:val="auto"/>
              </w:rPr>
            </w:pPr>
            <w:r>
              <w:rPr>
                <w:rFonts w:ascii="Arial" w:cs="Arial" w:eastAsia="Arial" w:hAnsi="Arial"/>
                <w:sz w:val="18"/>
                <w:szCs w:val="18"/>
                <w:color w:val="auto"/>
                <w:w w:val="93"/>
              </w:rPr>
              <w:t>Amounts in Dollars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14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March 31,</w:t>
            </w:r>
          </w:p>
        </w:tc>
      </w:tr>
      <w:tr>
        <w:trPr>
          <w:trHeight w:val="241"/>
        </w:trPr>
        <w:tc>
          <w:tcPr>
            <w:tcW w:w="114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02"/>
        </w:trPr>
        <w:tc>
          <w:tcPr>
            <w:tcW w:w="1140" w:type="dxa"/>
            <w:vAlign w:val="bottom"/>
          </w:tcPr>
          <w:p>
            <w:pPr>
              <w:spacing w:after="0"/>
              <w:rPr>
                <w:sz w:val="17"/>
                <w:szCs w:val="17"/>
                <w:color w:val="auto"/>
              </w:rPr>
            </w:pPr>
          </w:p>
        </w:tc>
        <w:tc>
          <w:tcPr>
            <w:tcW w:w="7560" w:type="dxa"/>
            <w:vAlign w:val="bottom"/>
          </w:tcPr>
          <w:p>
            <w:pPr>
              <w:jc w:val="center"/>
              <w:ind w:left="1390"/>
              <w:spacing w:after="0" w:line="201" w:lineRule="exact"/>
              <w:rPr>
                <w:sz w:val="20"/>
                <w:szCs w:val="20"/>
                <w:color w:val="auto"/>
              </w:rPr>
            </w:pPr>
            <w:r>
              <w:rPr>
                <w:rFonts w:ascii="Arial" w:cs="Arial" w:eastAsia="Arial" w:hAnsi="Arial"/>
                <w:sz w:val="18"/>
                <w:szCs w:val="18"/>
                <w:b w:val="1"/>
                <w:bCs w:val="1"/>
                <w:color w:val="auto"/>
                <w:w w:val="94"/>
              </w:rPr>
              <w:t>ASSETS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700" w:type="dxa"/>
            <w:vAlign w:val="bottom"/>
            <w:gridSpan w:val="2"/>
          </w:tcPr>
          <w:p>
            <w:pPr>
              <w:ind w:left="6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35,700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40,500</w:t>
            </w:r>
          </w:p>
        </w:tc>
      </w:tr>
      <w:tr>
        <w:trPr>
          <w:trHeight w:val="27"/>
        </w:trPr>
        <w:tc>
          <w:tcPr>
            <w:tcW w:w="11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105,700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40,500</w:t>
            </w:r>
          </w:p>
        </w:tc>
      </w:tr>
      <w:tr>
        <w:trPr>
          <w:trHeight w:val="216"/>
        </w:trPr>
        <w:tc>
          <w:tcPr>
            <w:tcW w:w="8700" w:type="dxa"/>
            <w:vAlign w:val="bottom"/>
            <w:gridSpan w:val="2"/>
          </w:tcPr>
          <w:p>
            <w:pPr>
              <w:ind w:left="6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117,100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176,300</w:t>
            </w:r>
          </w:p>
        </w:tc>
      </w:tr>
      <w:tr>
        <w:trPr>
          <w:trHeight w:val="216"/>
        </w:trPr>
        <w:tc>
          <w:tcPr>
            <w:tcW w:w="8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46,900</w:t>
            </w:r>
          </w:p>
        </w:tc>
      </w:tr>
      <w:tr>
        <w:trPr>
          <w:trHeight w:val="27"/>
        </w:trPr>
        <w:tc>
          <w:tcPr>
            <w:tcW w:w="114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700" w:type="dxa"/>
            <w:vAlign w:val="bottom"/>
            <w:gridSpan w:val="2"/>
          </w:tcPr>
          <w:p>
            <w:pPr>
              <w:ind w:left="700"/>
              <w:spacing w:after="0"/>
              <w:rPr>
                <w:sz w:val="20"/>
                <w:szCs w:val="20"/>
                <w:color w:val="auto"/>
              </w:rPr>
            </w:pPr>
            <w:r>
              <w:rPr>
                <w:rFonts w:ascii="Arial" w:cs="Arial" w:eastAsia="Arial" w:hAnsi="Arial"/>
                <w:sz w:val="18"/>
                <w:szCs w:val="18"/>
                <w:color w:val="auto"/>
              </w:rPr>
              <w:t>Total assets</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269,700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263,700</w:t>
            </w:r>
          </w:p>
        </w:tc>
      </w:tr>
      <w:tr>
        <w:trPr>
          <w:trHeight w:val="21"/>
        </w:trPr>
        <w:tc>
          <w:tcPr>
            <w:tcW w:w="11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14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560" w:type="dxa"/>
            <w:vAlign w:val="bottom"/>
          </w:tcPr>
          <w:p>
            <w:pPr>
              <w:jc w:val="center"/>
              <w:ind w:left="1390"/>
              <w:spacing w:after="0"/>
              <w:rPr>
                <w:sz w:val="20"/>
                <w:szCs w:val="20"/>
                <w:color w:val="auto"/>
              </w:rPr>
            </w:pPr>
            <w:r>
              <w:rPr>
                <w:rFonts w:ascii="Arial" w:cs="Arial" w:eastAsia="Arial" w:hAnsi="Arial"/>
                <w:sz w:val="18"/>
                <w:szCs w:val="18"/>
                <w:b w:val="1"/>
                <w:bCs w:val="1"/>
                <w:color w:val="auto"/>
              </w:rPr>
              <w:t>LIABILITIES AND STOCKHOLDERS’ DEFICIT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2,251,100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2,443,900</w:t>
            </w:r>
          </w:p>
        </w:tc>
      </w:tr>
      <w:tr>
        <w:trPr>
          <w:trHeight w:val="216"/>
        </w:trPr>
        <w:tc>
          <w:tcPr>
            <w:tcW w:w="8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1,206,500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625,600</w:t>
            </w:r>
          </w:p>
        </w:tc>
      </w:tr>
      <w:tr>
        <w:trPr>
          <w:trHeight w:val="216"/>
        </w:trPr>
        <w:tc>
          <w:tcPr>
            <w:tcW w:w="8700" w:type="dxa"/>
            <w:vAlign w:val="bottom"/>
            <w:gridSpan w:val="2"/>
          </w:tcPr>
          <w:p>
            <w:pPr>
              <w:ind w:left="360"/>
              <w:spacing w:after="0"/>
              <w:rPr>
                <w:sz w:val="20"/>
                <w:szCs w:val="20"/>
                <w:color w:val="auto"/>
              </w:rPr>
            </w:pPr>
            <w:r>
              <w:rPr>
                <w:rFonts w:ascii="Arial" w:cs="Arial" w:eastAsia="Arial" w:hAnsi="Arial"/>
                <w:sz w:val="18"/>
                <w:szCs w:val="18"/>
                <w:color w:val="auto"/>
              </w:rPr>
              <w:t>Advance from officer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3,600</w:t>
            </w:r>
          </w:p>
        </w:tc>
      </w:tr>
      <w:tr>
        <w:trPr>
          <w:trHeight w:val="216"/>
        </w:trPr>
        <w:tc>
          <w:tcPr>
            <w:tcW w:w="8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Current maturities of senior secured convertible promissory notes and accrued interest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4,146,100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Current portion of notes payable, net of discount of $474,500 at March 31, 2014 and accrued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4,117,000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1,442,300</w:t>
            </w:r>
          </w:p>
        </w:tc>
      </w:tr>
      <w:tr>
        <w:trPr>
          <w:trHeight w:val="216"/>
        </w:trPr>
        <w:tc>
          <w:tcPr>
            <w:tcW w:w="8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Current portion of notes payable to related parties, net of discount of $54,500 at March 31, 2015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ind w:left="700"/>
              <w:spacing w:after="0"/>
              <w:rPr>
                <w:sz w:val="20"/>
                <w:szCs w:val="20"/>
                <w:color w:val="auto"/>
              </w:rPr>
            </w:pPr>
            <w:r>
              <w:rPr>
                <w:rFonts w:ascii="Arial" w:cs="Arial" w:eastAsia="Arial" w:hAnsi="Arial"/>
                <w:sz w:val="18"/>
                <w:szCs w:val="18"/>
                <w:color w:val="auto"/>
              </w:rPr>
              <w:t>and accrued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1,508,800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290,400</w:t>
            </w:r>
          </w:p>
        </w:tc>
      </w:tr>
      <w:tr>
        <w:trPr>
          <w:trHeight w:val="216"/>
        </w:trPr>
        <w:tc>
          <w:tcPr>
            <w:tcW w:w="8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Convertible promissory notes and accrued interest, net of discount of $180,000 at March 31, 2015 and</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ind w:left="540"/>
              <w:spacing w:after="0"/>
              <w:rPr>
                <w:sz w:val="20"/>
                <w:szCs w:val="20"/>
                <w:color w:val="auto"/>
              </w:rPr>
            </w:pPr>
            <w:r>
              <w:rPr>
                <w:rFonts w:ascii="Arial" w:cs="Arial" w:eastAsia="Arial" w:hAnsi="Arial"/>
                <w:sz w:val="18"/>
                <w:szCs w:val="18"/>
                <w:color w:val="auto"/>
              </w:rPr>
              <w:t>$697,400 at March 31, 2014, respectively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4,157,600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396,000</w:t>
            </w:r>
          </w:p>
        </w:tc>
      </w:tr>
      <w:tr>
        <w:trPr>
          <w:trHeight w:val="216"/>
        </w:trPr>
        <w:tc>
          <w:tcPr>
            <w:tcW w:w="8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Capital lease obligations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r>
      <w:tr>
        <w:trPr>
          <w:trHeight w:val="27"/>
        </w:trPr>
        <w:tc>
          <w:tcPr>
            <w:tcW w:w="114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700" w:type="dxa"/>
            <w:vAlign w:val="bottom"/>
            <w:gridSpan w:val="2"/>
          </w:tcPr>
          <w:p>
            <w:pPr>
              <w:ind w:left="70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17,388,100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5,205,700</w:t>
            </w:r>
          </w:p>
        </w:tc>
      </w:tr>
      <w:tr>
        <w:trPr>
          <w:trHeight w:val="216"/>
        </w:trPr>
        <w:tc>
          <w:tcPr>
            <w:tcW w:w="8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tcPr>
          <w:p>
            <w:pPr>
              <w:ind w:left="240"/>
              <w:spacing w:after="0"/>
              <w:rPr>
                <w:sz w:val="20"/>
                <w:szCs w:val="20"/>
                <w:color w:val="auto"/>
              </w:rPr>
            </w:pPr>
            <w:r>
              <w:rPr>
                <w:rFonts w:ascii="Arial" w:cs="Arial" w:eastAsia="Arial" w:hAnsi="Arial"/>
                <w:sz w:val="18"/>
                <w:szCs w:val="18"/>
                <w:color w:val="auto"/>
              </w:rPr>
              <w:t>Senior secured convertible promissory notes, net of discount of $0 at March 31, 2015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$2,085,900 at March 31, 2014, respectively, and accrued interest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296,200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1,929,800</w:t>
            </w:r>
          </w:p>
        </w:tc>
      </w:tr>
      <w:tr>
        <w:trPr>
          <w:trHeight w:val="216"/>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Notes payable, net of discount of $0 at March 31, 2015 and $848,100 at March 31, 2014,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and accrued interest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1,797,600</w:t>
            </w:r>
          </w:p>
        </w:tc>
      </w:tr>
      <w:tr>
        <w:trPr>
          <w:trHeight w:val="216"/>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Notes payable to related parties, net of discount of $103,200 at March 31, 2014 and accrued 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1,057,100</w:t>
            </w:r>
          </w:p>
        </w:tc>
      </w:tr>
      <w:tr>
        <w:trPr>
          <w:trHeight w:val="216"/>
        </w:trPr>
        <w:tc>
          <w:tcPr>
            <w:tcW w:w="8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Warrant liability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3,008,500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2,973,900</w:t>
            </w:r>
          </w:p>
        </w:tc>
      </w:tr>
      <w:tr>
        <w:trPr>
          <w:trHeight w:val="216"/>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Deferred rent liability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83,000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97,400</w:t>
            </w:r>
          </w:p>
        </w:tc>
      </w:tr>
      <w:tr>
        <w:trPr>
          <w:trHeight w:val="216"/>
        </w:trPr>
        <w:tc>
          <w:tcPr>
            <w:tcW w:w="8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Capital lease obligations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r>
      <w:tr>
        <w:trPr>
          <w:trHeight w:val="27"/>
        </w:trPr>
        <w:tc>
          <w:tcPr>
            <w:tcW w:w="114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700" w:type="dxa"/>
            <w:vAlign w:val="bottom"/>
            <w:gridSpan w:val="2"/>
          </w:tcPr>
          <w:p>
            <w:pPr>
              <w:ind w:left="540"/>
              <w:spacing w:after="0"/>
              <w:rPr>
                <w:sz w:val="20"/>
                <w:szCs w:val="20"/>
                <w:color w:val="auto"/>
              </w:rPr>
            </w:pPr>
            <w:r>
              <w:rPr>
                <w:rFonts w:ascii="Arial" w:cs="Arial" w:eastAsia="Arial" w:hAnsi="Arial"/>
                <w:sz w:val="18"/>
                <w:szCs w:val="18"/>
                <w:color w:val="auto"/>
              </w:rPr>
              <w:t>Total non-current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3,424,400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7,857,900</w:t>
            </w:r>
          </w:p>
        </w:tc>
      </w:tr>
      <w:tr>
        <w:trPr>
          <w:trHeight w:val="27"/>
        </w:trPr>
        <w:tc>
          <w:tcPr>
            <w:tcW w:w="11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20,812,500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13,063,600</w:t>
            </w:r>
          </w:p>
        </w:tc>
      </w:tr>
      <w:tr>
        <w:trPr>
          <w:trHeight w:val="216"/>
        </w:trPr>
        <w:tc>
          <w:tcPr>
            <w:tcW w:w="1140" w:type="dxa"/>
            <w:vAlign w:val="bottom"/>
            <w:tcBorders>
              <w:top w:val="single" w:sz="8" w:color="CCEEFF"/>
            </w:tcBorders>
          </w:tcPr>
          <w:p>
            <w:pPr>
              <w:spacing w:after="0"/>
              <w:rPr>
                <w:sz w:val="18"/>
                <w:szCs w:val="18"/>
                <w:color w:val="auto"/>
              </w:rPr>
            </w:pPr>
          </w:p>
        </w:tc>
        <w:tc>
          <w:tcPr>
            <w:tcW w:w="7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70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Preferred stock, $0.001 par value; 10,000,000 shares, including 500,000 Series A shares, authorized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700" w:type="dxa"/>
            <w:vAlign w:val="bottom"/>
            <w:gridSpan w:val="2"/>
          </w:tcPr>
          <w:p>
            <w:pPr>
              <w:ind w:left="460"/>
              <w:spacing w:after="0"/>
              <w:rPr>
                <w:sz w:val="20"/>
                <w:szCs w:val="20"/>
                <w:color w:val="auto"/>
              </w:rPr>
            </w:pPr>
            <w:r>
              <w:rPr>
                <w:rFonts w:ascii="Arial" w:cs="Arial" w:eastAsia="Arial" w:hAnsi="Arial"/>
                <w:sz w:val="18"/>
                <w:szCs w:val="18"/>
                <w:color w:val="auto"/>
              </w:rPr>
              <w:t>at March 31, 2015 and March 31, 2014, respectively; 500,000 Series A shares issued and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700" w:type="dxa"/>
            <w:vAlign w:val="bottom"/>
            <w:gridSpan w:val="2"/>
          </w:tcPr>
          <w:p>
            <w:pPr>
              <w:ind w:left="460"/>
              <w:spacing w:after="0"/>
              <w:rPr>
                <w:sz w:val="20"/>
                <w:szCs w:val="20"/>
                <w:color w:val="auto"/>
              </w:rPr>
            </w:pPr>
            <w:r>
              <w:rPr>
                <w:rFonts w:ascii="Arial" w:cs="Arial" w:eastAsia="Arial" w:hAnsi="Arial"/>
                <w:sz w:val="18"/>
                <w:szCs w:val="18"/>
                <w:color w:val="auto"/>
              </w:rPr>
              <w:t>outstanding at March 31, 2015 and March 31, 2014, respectively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8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Common stock, $0.001 par value; 10,000,000 shares authorized at March 31, 2015 and March 31, 2014,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respectively; 1,677,110 shares and 1,310,093 shares issued at March 31, 2015 and March 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2014, respectively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r>
      <w:tr>
        <w:trPr>
          <w:trHeight w:val="216"/>
        </w:trPr>
        <w:tc>
          <w:tcPr>
            <w:tcW w:w="8700" w:type="dxa"/>
            <w:vAlign w:val="bottom"/>
            <w:gridSpan w:val="2"/>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67,945,800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62,001,400</w:t>
            </w:r>
          </w:p>
        </w:tc>
      </w:tr>
      <w:tr>
        <w:trPr>
          <w:trHeight w:val="216"/>
        </w:trPr>
        <w:tc>
          <w:tcPr>
            <w:tcW w:w="8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Treasury stock, at cost, 135,665 shares of common stock held at March 31, 2015 and March 31, 2014,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(3,968,100)</w:t>
            </w:r>
          </w:p>
        </w:tc>
      </w:tr>
      <w:tr>
        <w:trPr>
          <w:trHeight w:val="216"/>
        </w:trPr>
        <w:tc>
          <w:tcPr>
            <w:tcW w:w="8700" w:type="dxa"/>
            <w:vAlign w:val="bottom"/>
            <w:gridSpan w:val="2"/>
          </w:tcPr>
          <w:p>
            <w:pPr>
              <w:ind w:left="380"/>
              <w:spacing w:after="0"/>
              <w:rPr>
                <w:sz w:val="20"/>
                <w:szCs w:val="20"/>
                <w:color w:val="auto"/>
              </w:rPr>
            </w:pPr>
            <w:r>
              <w:rPr>
                <w:rFonts w:ascii="Arial" w:cs="Arial" w:eastAsia="Arial" w:hAnsi="Arial"/>
                <w:sz w:val="18"/>
                <w:szCs w:val="18"/>
                <w:color w:val="auto"/>
              </w:rPr>
              <w:t>Note receivable from sale of common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(198,100)</w:t>
            </w:r>
          </w:p>
        </w:tc>
      </w:tr>
      <w:tr>
        <w:trPr>
          <w:trHeight w:val="216"/>
        </w:trPr>
        <w:tc>
          <w:tcPr>
            <w:tcW w:w="8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(84,522,700)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(70,636,900)</w:t>
            </w:r>
          </w:p>
        </w:tc>
      </w:tr>
      <w:tr>
        <w:trPr>
          <w:trHeight w:val="27"/>
        </w:trPr>
        <w:tc>
          <w:tcPr>
            <w:tcW w:w="1140" w:type="dxa"/>
            <w:vAlign w:val="bottom"/>
            <w:shd w:val="clear" w:color="auto" w:fill="CCEEFF"/>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700" w:type="dxa"/>
            <w:vAlign w:val="bottom"/>
            <w:gridSpan w:val="2"/>
          </w:tcPr>
          <w:p>
            <w:pPr>
              <w:ind w:left="700"/>
              <w:spacing w:after="0"/>
              <w:rPr>
                <w:sz w:val="20"/>
                <w:szCs w:val="20"/>
                <w:color w:val="auto"/>
              </w:rPr>
            </w:pPr>
            <w:r>
              <w:rPr>
                <w:rFonts w:ascii="Arial" w:cs="Arial" w:eastAsia="Arial" w:hAnsi="Arial"/>
                <w:sz w:val="18"/>
                <w:szCs w:val="18"/>
                <w:color w:val="auto"/>
              </w:rPr>
              <w:t>Total stockholders’ deficit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(20,542,800)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(12,799,900)</w:t>
            </w:r>
          </w:p>
        </w:tc>
      </w:tr>
      <w:tr>
        <w:trPr>
          <w:trHeight w:val="27"/>
        </w:trPr>
        <w:tc>
          <w:tcPr>
            <w:tcW w:w="1140" w:type="dxa"/>
            <w:vAlign w:val="bottom"/>
          </w:tcPr>
          <w:p>
            <w:pPr>
              <w:spacing w:after="0"/>
              <w:rPr>
                <w:sz w:val="2"/>
                <w:szCs w:val="2"/>
                <w:color w:val="auto"/>
              </w:rPr>
            </w:pPr>
          </w:p>
        </w:tc>
        <w:tc>
          <w:tcPr>
            <w:tcW w:w="7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8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liabilities and stockholders’ deficit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269,700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263,700</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18" w:right="239" w:bottom="1043"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043" w:gutter="0" w:footer="0" w:header="0"/>
          <w:type w:val="continuous"/>
        </w:sectPr>
      </w:pPr>
    </w:p>
    <w:bookmarkStart w:id="127" w:name="page128"/>
    <w:bookmarkEnd w:id="127"/>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Fiscal Years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5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2,432,700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2,480,600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4,344,400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2,548,300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5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6,777,100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5,028,900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Loss from operations</w:t>
            </w:r>
          </w:p>
        </w:tc>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(6,777,100)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(5,028,900)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5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(4,548,700)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(1,503,000)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warrant liability</w:t>
            </w:r>
          </w:p>
        </w:tc>
        <w:tc>
          <w:tcPr>
            <w:tcW w:w="5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3,566,900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Arial" w:cs="Arial" w:eastAsia="Arial" w:hAnsi="Arial"/>
                <w:sz w:val="18"/>
                <w:szCs w:val="18"/>
                <w:color w:val="auto"/>
              </w:rPr>
              <w:t>Loss on extinguishment of debt</w:t>
            </w:r>
          </w:p>
        </w:tc>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(2,388,000)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5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00" w:type="dxa"/>
            <w:vAlign w:val="bottom"/>
            <w:shd w:val="clear" w:color="auto" w:fill="CCEEFF"/>
          </w:tcPr>
          <w:p>
            <w:pPr>
              <w:spacing w:after="0"/>
              <w:rPr>
                <w:sz w:val="2"/>
                <w:szCs w:val="2"/>
                <w:color w:val="auto"/>
              </w:rPr>
            </w:pPr>
          </w:p>
        </w:tc>
        <w:tc>
          <w:tcPr>
            <w:tcW w:w="55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(13,883,400)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(2,965,000)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5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55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5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(13,885,800)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(2,967,700)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55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common share</w:t>
            </w:r>
          </w:p>
        </w:tc>
        <w:tc>
          <w:tcPr>
            <w:tcW w:w="5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(10.53)</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55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common share</w:t>
            </w:r>
          </w:p>
        </w:tc>
        <w:tc>
          <w:tcPr>
            <w:tcW w:w="5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00" w:type="dxa"/>
            <w:vAlign w:val="bottom"/>
            <w:tcBorders>
              <w:top w:val="single" w:sz="8" w:color="CCEEFF"/>
            </w:tcBorders>
          </w:tcPr>
          <w:p>
            <w:pPr>
              <w:spacing w:after="0"/>
              <w:rPr>
                <w:sz w:val="18"/>
                <w:szCs w:val="18"/>
                <w:color w:val="auto"/>
              </w:rPr>
            </w:pPr>
          </w:p>
        </w:tc>
        <w:tc>
          <w:tcPr>
            <w:tcW w:w="55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w w:val="92"/>
              </w:rPr>
              <w:t>Weighted average shares used in computing</w:t>
            </w:r>
          </w:p>
        </w:tc>
        <w:tc>
          <w:tcPr>
            <w:tcW w:w="5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20"/>
              <w:spacing w:after="0"/>
              <w:rPr>
                <w:sz w:val="20"/>
                <w:szCs w:val="20"/>
                <w:color w:val="auto"/>
              </w:rPr>
            </w:pPr>
            <w:r>
              <w:rPr>
                <w:rFonts w:ascii="Arial" w:cs="Arial" w:eastAsia="Arial" w:hAnsi="Arial"/>
                <w:sz w:val="18"/>
                <w:szCs w:val="18"/>
                <w:color w:val="auto"/>
              </w:rPr>
              <w:t>Basic net loss per common share</w:t>
            </w:r>
          </w:p>
        </w:tc>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1,318,797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1,098,742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5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320"/>
              <w:spacing w:after="0"/>
              <w:rPr>
                <w:sz w:val="20"/>
                <w:szCs w:val="20"/>
                <w:color w:val="auto"/>
              </w:rPr>
            </w:pPr>
            <w:r>
              <w:rPr>
                <w:rFonts w:ascii="Arial" w:cs="Arial" w:eastAsia="Arial" w:hAnsi="Arial"/>
                <w:sz w:val="18"/>
                <w:szCs w:val="18"/>
                <w:color w:val="auto"/>
              </w:rPr>
              <w:t>Diluted net loss per common share</w:t>
            </w:r>
          </w:p>
        </w:tc>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1,318,797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1,099,216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680" w:type="dxa"/>
            <w:vAlign w:val="bottom"/>
            <w:gridSpan w:val="2"/>
          </w:tcPr>
          <w:p>
            <w:pPr>
              <w:jc w:val="right"/>
              <w:ind w:right="1060"/>
              <w:spacing w:after="0"/>
              <w:rPr>
                <w:sz w:val="20"/>
                <w:szCs w:val="20"/>
                <w:color w:val="auto"/>
              </w:rPr>
            </w:pPr>
            <w:r>
              <w:rPr>
                <w:rFonts w:ascii="Arial" w:cs="Arial" w:eastAsia="Arial" w:hAnsi="Arial"/>
                <w:sz w:val="18"/>
                <w:szCs w:val="18"/>
                <w:color w:val="auto"/>
                <w:w w:val="92"/>
              </w:rPr>
              <w:t>See accompanying notes to consolidated financial statements.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680" w:type="dxa"/>
            <w:vAlign w:val="bottom"/>
            <w:gridSpan w:val="2"/>
          </w:tcPr>
          <w:p>
            <w:pPr>
              <w:jc w:val="right"/>
              <w:ind w:right="3160"/>
              <w:spacing w:after="0"/>
              <w:rPr>
                <w:sz w:val="20"/>
                <w:szCs w:val="20"/>
                <w:color w:val="auto"/>
              </w:rPr>
            </w:pPr>
            <w:r>
              <w:rPr>
                <w:rFonts w:ascii="Arial" w:cs="Arial" w:eastAsia="Arial" w:hAnsi="Arial"/>
                <w:sz w:val="18"/>
                <w:szCs w:val="18"/>
                <w:color w:val="auto"/>
              </w:rPr>
              <w:t>F-4</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55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84"/>
        </w:trPr>
        <w:tc>
          <w:tcPr>
            <w:tcW w:w="8320" w:type="dxa"/>
            <w:vAlign w:val="bottom"/>
            <w:gridSpan w:val="2"/>
          </w:tcPr>
          <w:p>
            <w:pPr>
              <w:spacing w:after="0"/>
              <w:rPr>
                <w:rFonts w:ascii="Arial" w:cs="Arial" w:eastAsia="Arial" w:hAnsi="Arial"/>
                <w:sz w:val="16"/>
                <w:szCs w:val="16"/>
                <w:i w:val="1"/>
                <w:iCs w:val="1"/>
                <w:color w:val="0000EE"/>
              </w:rPr>
            </w:pPr>
            <w:hyperlink w:anchor="page4">
              <w:r>
                <w:rPr>
                  <w:rFonts w:ascii="Arial" w:cs="Arial" w:eastAsia="Arial" w:hAnsi="Arial"/>
                  <w:sz w:val="16"/>
                  <w:szCs w:val="16"/>
                  <w:i w:val="1"/>
                  <w:iCs w:val="1"/>
                  <w:color w:val="0000EE"/>
                </w:rPr>
                <w:t>Table of Contents</w:t>
              </w:r>
            </w:hyperlink>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0"/>
        </w:trPr>
        <w:tc>
          <w:tcPr>
            <w:tcW w:w="1140" w:type="dxa"/>
            <w:vAlign w:val="bottom"/>
            <w:tcBorders>
              <w:top w:val="single" w:sz="8" w:color="0000EE"/>
            </w:tcBorders>
          </w:tcPr>
          <w:p>
            <w:pPr>
              <w:spacing w:after="0"/>
              <w:rPr>
                <w:sz w:val="24"/>
                <w:szCs w:val="24"/>
                <w:color w:val="auto"/>
              </w:rPr>
            </w:pPr>
          </w:p>
        </w:tc>
        <w:tc>
          <w:tcPr>
            <w:tcW w:w="7180" w:type="dxa"/>
            <w:vAlign w:val="bottom"/>
          </w:tcPr>
          <w:p>
            <w:pPr>
              <w:jc w:val="center"/>
              <w:ind w:left="1870"/>
              <w:spacing w:after="0"/>
              <w:rPr>
                <w:sz w:val="20"/>
                <w:szCs w:val="20"/>
                <w:color w:val="auto"/>
              </w:rPr>
            </w:pPr>
            <w:r>
              <w:rPr>
                <w:rFonts w:ascii="Arial" w:cs="Arial" w:eastAsia="Arial" w:hAnsi="Arial"/>
                <w:sz w:val="18"/>
                <w:szCs w:val="18"/>
                <w:b w:val="1"/>
                <w:bCs w:val="1"/>
                <w:color w:val="auto"/>
              </w:rPr>
              <w:t>VISTAGEN THERAPEUTICS, INC.</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1140" w:type="dxa"/>
            <w:vAlign w:val="bottom"/>
          </w:tcPr>
          <w:p>
            <w:pPr>
              <w:spacing w:after="0"/>
              <w:rPr>
                <w:sz w:val="24"/>
                <w:szCs w:val="24"/>
                <w:color w:val="auto"/>
              </w:rPr>
            </w:pPr>
          </w:p>
        </w:tc>
        <w:tc>
          <w:tcPr>
            <w:tcW w:w="718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718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(Amounts in dollars)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11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Fiscal Years Ended March 31,</w:t>
            </w:r>
          </w:p>
        </w:tc>
      </w:tr>
      <w:tr>
        <w:trPr>
          <w:trHeight w:val="223"/>
        </w:trPr>
        <w:tc>
          <w:tcPr>
            <w:tcW w:w="1140" w:type="dxa"/>
            <w:vAlign w:val="bottom"/>
          </w:tcPr>
          <w:p>
            <w:pPr>
              <w:spacing w:after="0"/>
              <w:rPr>
                <w:sz w:val="19"/>
                <w:szCs w:val="19"/>
                <w:color w:val="auto"/>
              </w:rPr>
            </w:pPr>
          </w:p>
        </w:tc>
        <w:tc>
          <w:tcPr>
            <w:tcW w:w="7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r>
      <w:tr>
        <w:trPr>
          <w:trHeight w:val="216"/>
        </w:trPr>
        <w:tc>
          <w:tcPr>
            <w:tcW w:w="8320" w:type="dxa"/>
            <w:vAlign w:val="bottom"/>
            <w:gridSpan w:val="2"/>
          </w:tcPr>
          <w:p>
            <w:pPr>
              <w:ind w:left="60"/>
              <w:spacing w:after="0"/>
              <w:rPr>
                <w:sz w:val="20"/>
                <w:szCs w:val="20"/>
                <w:color w:val="auto"/>
              </w:rPr>
            </w:pPr>
            <w:r>
              <w:rPr>
                <w:rFonts w:ascii="Arial" w:cs="Arial" w:eastAsia="Arial" w:hAnsi="Arial"/>
                <w:sz w:val="18"/>
                <w:szCs w:val="18"/>
                <w:color w:val="auto"/>
              </w:rPr>
              <w:t>Cash flows from operating activities: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loss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(13,885,800)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(2,967,700)</w:t>
            </w:r>
          </w:p>
        </w:tc>
      </w:tr>
      <w:tr>
        <w:trPr>
          <w:trHeight w:val="216"/>
        </w:trPr>
        <w:tc>
          <w:tcPr>
            <w:tcW w:w="8320" w:type="dxa"/>
            <w:vAlign w:val="bottom"/>
            <w:gridSpan w:val="2"/>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54,600</w:t>
            </w:r>
          </w:p>
        </w:tc>
      </w:tr>
      <w:tr>
        <w:trPr>
          <w:trHeight w:val="216"/>
        </w:trPr>
        <w:tc>
          <w:tcPr>
            <w:tcW w:w="8320" w:type="dxa"/>
            <w:vAlign w:val="bottom"/>
            <w:gridSpan w:val="2"/>
          </w:tcPr>
          <w:p>
            <w:pPr>
              <w:ind w:left="620"/>
              <w:spacing w:after="0"/>
              <w:rPr>
                <w:sz w:val="20"/>
                <w:szCs w:val="20"/>
                <w:color w:val="auto"/>
              </w:rPr>
            </w:pPr>
            <w:r>
              <w:rPr>
                <w:rFonts w:ascii="Arial" w:cs="Arial" w:eastAsia="Arial" w:hAnsi="Arial"/>
                <w:sz w:val="18"/>
                <w:szCs w:val="18"/>
                <w:color w:val="auto"/>
              </w:rPr>
              <w:t>Amortization of discounts on convertible and promissory notes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3,372,000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640,000</w:t>
            </w:r>
          </w:p>
        </w:tc>
      </w:tr>
      <w:tr>
        <w:trPr>
          <w:trHeight w:val="216"/>
        </w:trPr>
        <w:tc>
          <w:tcPr>
            <w:tcW w:w="8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Change in warrant liability</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(3,566,900)</w:t>
            </w:r>
          </w:p>
        </w:tc>
      </w:tr>
      <w:tr>
        <w:trPr>
          <w:trHeight w:val="216"/>
        </w:trPr>
        <w:tc>
          <w:tcPr>
            <w:tcW w:w="8320" w:type="dxa"/>
            <w:vAlign w:val="bottom"/>
            <w:gridSpan w:val="2"/>
          </w:tcPr>
          <w:p>
            <w:pPr>
              <w:ind w:left="620"/>
              <w:spacing w:after="0"/>
              <w:rPr>
                <w:sz w:val="20"/>
                <w:szCs w:val="20"/>
                <w:color w:val="auto"/>
              </w:rPr>
            </w:pPr>
            <w:r>
              <w:rPr>
                <w:rFonts w:ascii="Arial" w:cs="Arial" w:eastAsia="Arial" w:hAnsi="Arial"/>
                <w:sz w:val="18"/>
                <w:szCs w:val="18"/>
                <w:color w:val="auto"/>
              </w:rPr>
              <w:t>Stock-based compensation</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2,460,100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1,137,300</w:t>
            </w:r>
          </w:p>
        </w:tc>
      </w:tr>
      <w:tr>
        <w:trPr>
          <w:trHeight w:val="216"/>
        </w:trPr>
        <w:tc>
          <w:tcPr>
            <w:tcW w:w="8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Expense related to modification of warrants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98,400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204,300</w:t>
            </w:r>
          </w:p>
        </w:tc>
      </w:tr>
      <w:tr>
        <w:trPr>
          <w:trHeight w:val="216"/>
        </w:trPr>
        <w:tc>
          <w:tcPr>
            <w:tcW w:w="8320" w:type="dxa"/>
            <w:vAlign w:val="bottom"/>
            <w:gridSpan w:val="2"/>
          </w:tcPr>
          <w:p>
            <w:pPr>
              <w:ind w:left="620"/>
              <w:spacing w:after="0"/>
              <w:rPr>
                <w:sz w:val="20"/>
                <w:szCs w:val="20"/>
                <w:color w:val="auto"/>
              </w:rPr>
            </w:pPr>
            <w:r>
              <w:rPr>
                <w:rFonts w:ascii="Arial" w:cs="Arial" w:eastAsia="Arial" w:hAnsi="Arial"/>
                <w:sz w:val="18"/>
                <w:szCs w:val="18"/>
                <w:color w:val="auto"/>
              </w:rPr>
              <w:t>Non-cash rent and relocation expense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(14,400)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56,800</w:t>
            </w:r>
          </w:p>
        </w:tc>
      </w:tr>
      <w:tr>
        <w:trPr>
          <w:trHeight w:val="216"/>
        </w:trPr>
        <w:tc>
          <w:tcPr>
            <w:tcW w:w="8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Interest income on note receivable for stock purchase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(1,200)</w:t>
            </w:r>
          </w:p>
        </w:tc>
      </w:tr>
      <w:tr>
        <w:trPr>
          <w:trHeight w:val="216"/>
        </w:trPr>
        <w:tc>
          <w:tcPr>
            <w:tcW w:w="8320" w:type="dxa"/>
            <w:vAlign w:val="bottom"/>
            <w:gridSpan w:val="2"/>
          </w:tcPr>
          <w:p>
            <w:pPr>
              <w:ind w:left="620"/>
              <w:spacing w:after="0"/>
              <w:rPr>
                <w:sz w:val="20"/>
                <w:szCs w:val="20"/>
                <w:color w:val="auto"/>
              </w:rPr>
            </w:pPr>
            <w:r>
              <w:rPr>
                <w:rFonts w:ascii="Arial" w:cs="Arial" w:eastAsia="Arial" w:hAnsi="Arial"/>
                <w:sz w:val="18"/>
                <w:szCs w:val="18"/>
                <w:color w:val="auto"/>
              </w:rPr>
              <w:t>Loss on settlement of note receivable for stock purchase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134,900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Fair value of common stock granted for services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469,000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gridSpan w:val="2"/>
          </w:tcPr>
          <w:p>
            <w:pPr>
              <w:ind w:left="620"/>
              <w:spacing w:after="0"/>
              <w:rPr>
                <w:sz w:val="20"/>
                <w:szCs w:val="20"/>
                <w:color w:val="auto"/>
              </w:rPr>
            </w:pPr>
            <w:r>
              <w:rPr>
                <w:rFonts w:ascii="Arial" w:cs="Arial" w:eastAsia="Arial" w:hAnsi="Arial"/>
                <w:sz w:val="18"/>
                <w:szCs w:val="18"/>
                <w:color w:val="auto"/>
              </w:rPr>
              <w:t>Fair value of warrants granted for services and interest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44,500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60,700</w:t>
            </w:r>
          </w:p>
        </w:tc>
      </w:tr>
      <w:tr>
        <w:trPr>
          <w:trHeight w:val="216"/>
        </w:trPr>
        <w:tc>
          <w:tcPr>
            <w:tcW w:w="8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Gain on currency fluctuation</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(48,600)</w:t>
            </w:r>
          </w:p>
        </w:tc>
      </w:tr>
      <w:tr>
        <w:trPr>
          <w:trHeight w:val="216"/>
        </w:trPr>
        <w:tc>
          <w:tcPr>
            <w:tcW w:w="8320" w:type="dxa"/>
            <w:vAlign w:val="bottom"/>
            <w:gridSpan w:val="2"/>
          </w:tcPr>
          <w:p>
            <w:pPr>
              <w:ind w:left="620"/>
              <w:spacing w:after="0"/>
              <w:rPr>
                <w:sz w:val="20"/>
                <w:szCs w:val="20"/>
                <w:color w:val="auto"/>
              </w:rPr>
            </w:pPr>
            <w:r>
              <w:rPr>
                <w:rFonts w:ascii="Arial" w:cs="Arial" w:eastAsia="Arial" w:hAnsi="Arial"/>
                <w:sz w:val="18"/>
                <w:szCs w:val="18"/>
                <w:color w:val="auto"/>
              </w:rPr>
              <w:t>Loss on extinguishment of debt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2,388,000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Changes in operating assets and liabilities: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84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107,400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92,700</w:t>
            </w:r>
          </w:p>
        </w:tc>
      </w:tr>
      <w:tr>
        <w:trPr>
          <w:trHeight w:val="216"/>
        </w:trPr>
        <w:tc>
          <w:tcPr>
            <w:tcW w:w="83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Security deposits and other assets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(17,900)</w:t>
            </w:r>
          </w:p>
        </w:tc>
      </w:tr>
      <w:tr>
        <w:trPr>
          <w:trHeight w:val="216"/>
        </w:trPr>
        <w:tc>
          <w:tcPr>
            <w:tcW w:w="8320" w:type="dxa"/>
            <w:vAlign w:val="bottom"/>
            <w:gridSpan w:val="2"/>
          </w:tcPr>
          <w:p>
            <w:pPr>
              <w:ind w:left="820"/>
              <w:spacing w:after="0"/>
              <w:rPr>
                <w:sz w:val="20"/>
                <w:szCs w:val="20"/>
                <w:color w:val="auto"/>
              </w:rPr>
            </w:pPr>
            <w:r>
              <w:rPr>
                <w:rFonts w:ascii="Arial" w:cs="Arial" w:eastAsia="Arial" w:hAnsi="Arial"/>
                <w:sz w:val="18"/>
                <w:szCs w:val="18"/>
                <w:color w:val="auto"/>
              </w:rPr>
              <w:t>Accounts payable and accrued expenses, including accrued interest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2,024,100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2,229,900</w:t>
            </w:r>
          </w:p>
        </w:tc>
      </w:tr>
      <w:tr>
        <w:trPr>
          <w:trHeight w:val="27"/>
        </w:trPr>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(2,768,900)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(2,126,000)</w:t>
            </w:r>
          </w:p>
        </w:tc>
      </w:tr>
      <w:tr>
        <w:trPr>
          <w:trHeight w:val="216"/>
        </w:trPr>
        <w:tc>
          <w:tcPr>
            <w:tcW w:w="1140" w:type="dxa"/>
            <w:vAlign w:val="bottom"/>
            <w:tcBorders>
              <w:top w:val="single" w:sz="8" w:color="CCEEFF"/>
            </w:tcBorders>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flows from investing activities: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420"/>
              <w:spacing w:after="0"/>
              <w:rPr>
                <w:sz w:val="20"/>
                <w:szCs w:val="20"/>
                <w:color w:val="auto"/>
              </w:rPr>
            </w:pPr>
            <w:r>
              <w:rPr>
                <w:rFonts w:ascii="Arial" w:cs="Arial" w:eastAsia="Arial" w:hAnsi="Arial"/>
                <w:sz w:val="18"/>
                <w:szCs w:val="18"/>
                <w:color w:val="auto"/>
              </w:rPr>
              <w:t>Purchases of equipment, net</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(9,600)</w:t>
            </w:r>
          </w:p>
        </w:tc>
      </w:tr>
      <w:tr>
        <w:trPr>
          <w:trHeight w:val="27"/>
        </w:trPr>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(9,600)</w:t>
            </w:r>
          </w:p>
        </w:tc>
      </w:tr>
      <w:tr>
        <w:trPr>
          <w:trHeight w:val="216"/>
        </w:trPr>
        <w:tc>
          <w:tcPr>
            <w:tcW w:w="1140" w:type="dxa"/>
            <w:vAlign w:val="bottom"/>
            <w:tcBorders>
              <w:top w:val="single" w:sz="8" w:color="CCEEFF"/>
            </w:tcBorders>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flows from financing activities: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420"/>
              <w:spacing w:after="0"/>
              <w:rPr>
                <w:sz w:val="20"/>
                <w:szCs w:val="20"/>
                <w:color w:val="auto"/>
              </w:rPr>
            </w:pPr>
            <w:r>
              <w:rPr>
                <w:rFonts w:ascii="Arial" w:cs="Arial" w:eastAsia="Arial" w:hAnsi="Arial"/>
                <w:sz w:val="18"/>
                <w:szCs w:val="18"/>
                <w:color w:val="auto"/>
              </w:rPr>
              <w:t>Net proceeds from issuance of common stock and warrants, including Units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3,146,600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1,075,500</w:t>
            </w:r>
          </w:p>
        </w:tc>
      </w:tr>
      <w:tr>
        <w:trPr>
          <w:trHeight w:val="216"/>
        </w:trPr>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exercise of modified warrants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264,200</w:t>
            </w:r>
          </w:p>
        </w:tc>
      </w:tr>
      <w:tr>
        <w:trPr>
          <w:trHeight w:val="216"/>
        </w:trPr>
        <w:tc>
          <w:tcPr>
            <w:tcW w:w="8320" w:type="dxa"/>
            <w:vAlign w:val="bottom"/>
            <w:gridSpan w:val="2"/>
          </w:tcPr>
          <w:p>
            <w:pPr>
              <w:ind w:left="420"/>
              <w:spacing w:after="0"/>
              <w:rPr>
                <w:sz w:val="20"/>
                <w:szCs w:val="20"/>
                <w:color w:val="auto"/>
              </w:rPr>
            </w:pPr>
            <w:r>
              <w:rPr>
                <w:rFonts w:ascii="Arial" w:cs="Arial" w:eastAsia="Arial" w:hAnsi="Arial"/>
                <w:sz w:val="18"/>
                <w:szCs w:val="18"/>
                <w:color w:val="auto"/>
              </w:rPr>
              <w:t>Proceeds from sale of note and warrant to Platinum</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Advance from officer</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64,000</w:t>
            </w:r>
          </w:p>
        </w:tc>
      </w:tr>
      <w:tr>
        <w:trPr>
          <w:trHeight w:val="216"/>
        </w:trPr>
        <w:tc>
          <w:tcPr>
            <w:tcW w:w="8320" w:type="dxa"/>
            <w:vAlign w:val="bottom"/>
            <w:gridSpan w:val="2"/>
          </w:tcPr>
          <w:p>
            <w:pPr>
              <w:ind w:left="420"/>
              <w:spacing w:after="0"/>
              <w:rPr>
                <w:sz w:val="20"/>
                <w:szCs w:val="20"/>
                <w:color w:val="auto"/>
              </w:rPr>
            </w:pPr>
            <w:r>
              <w:rPr>
                <w:rFonts w:ascii="Arial" w:cs="Arial" w:eastAsia="Arial" w:hAnsi="Arial"/>
                <w:sz w:val="18"/>
                <w:szCs w:val="18"/>
                <w:color w:val="auto"/>
              </w:rPr>
              <w:t>Repayment of capital lease obligations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(3,900)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(7,600)</w:t>
            </w:r>
          </w:p>
        </w:tc>
      </w:tr>
      <w:tr>
        <w:trPr>
          <w:trHeight w:val="216"/>
        </w:trPr>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 of notes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(148,600)</w:t>
            </w:r>
          </w:p>
        </w:tc>
      </w:tr>
      <w:tr>
        <w:trPr>
          <w:trHeight w:val="27"/>
        </w:trPr>
        <w:tc>
          <w:tcPr>
            <w:tcW w:w="1140" w:type="dxa"/>
            <w:vAlign w:val="bottom"/>
            <w:shd w:val="clear" w:color="auto" w:fill="CCEEFF"/>
          </w:tcPr>
          <w:p>
            <w:pPr>
              <w:spacing w:after="0"/>
              <w:rPr>
                <w:sz w:val="2"/>
                <w:szCs w:val="2"/>
                <w:color w:val="auto"/>
              </w:rPr>
            </w:pPr>
          </w:p>
        </w:tc>
        <w:tc>
          <w:tcPr>
            <w:tcW w:w="71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320" w:type="dxa"/>
            <w:vAlign w:val="bottom"/>
            <w:gridSpan w:val="2"/>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2,838,900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1,497,500</w:t>
            </w:r>
          </w:p>
        </w:tc>
      </w:tr>
      <w:tr>
        <w:trPr>
          <w:trHeight w:val="27"/>
        </w:trPr>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Net increase (decrease) in cash and cash equivalents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(638,100)</w:t>
            </w:r>
          </w:p>
        </w:tc>
      </w:tr>
      <w:tr>
        <w:trPr>
          <w:trHeight w:val="216"/>
        </w:trPr>
        <w:tc>
          <w:tcPr>
            <w:tcW w:w="8320" w:type="dxa"/>
            <w:vAlign w:val="bottom"/>
            <w:gridSpan w:val="2"/>
          </w:tcPr>
          <w:p>
            <w:pPr>
              <w:ind w:left="60"/>
              <w:spacing w:after="0"/>
              <w:rPr>
                <w:sz w:val="20"/>
                <w:szCs w:val="20"/>
                <w:color w:val="auto"/>
              </w:rPr>
            </w:pPr>
            <w:r>
              <w:rPr>
                <w:rFonts w:ascii="Arial" w:cs="Arial" w:eastAsia="Arial" w:hAnsi="Arial"/>
                <w:sz w:val="18"/>
                <w:szCs w:val="18"/>
                <w:color w:val="auto"/>
              </w:rPr>
              <w:t>Cash and cash equivalents at beginning of period</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638,100</w:t>
            </w:r>
          </w:p>
        </w:tc>
      </w:tr>
      <w:tr>
        <w:trPr>
          <w:trHeight w:val="27"/>
        </w:trPr>
        <w:tc>
          <w:tcPr>
            <w:tcW w:w="1140" w:type="dxa"/>
            <w:vAlign w:val="bottom"/>
          </w:tcPr>
          <w:p>
            <w:pPr>
              <w:spacing w:after="0"/>
              <w:rPr>
                <w:sz w:val="2"/>
                <w:szCs w:val="2"/>
                <w:color w:val="auto"/>
              </w:rPr>
            </w:pPr>
          </w:p>
        </w:tc>
        <w:tc>
          <w:tcPr>
            <w:tcW w:w="7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8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Cash and cash equivalents at end of period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70,000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1140" w:type="dxa"/>
            <w:vAlign w:val="bottom"/>
            <w:tcBorders>
              <w:top w:val="single" w:sz="8" w:color="CCEEFF"/>
            </w:tcBorders>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60"/>
              <w:spacing w:after="0"/>
              <w:rPr>
                <w:sz w:val="20"/>
                <w:szCs w:val="20"/>
                <w:color w:val="auto"/>
              </w:rPr>
            </w:pPr>
            <w:r>
              <w:rPr>
                <w:rFonts w:ascii="Arial" w:cs="Arial" w:eastAsia="Arial" w:hAnsi="Arial"/>
                <w:sz w:val="18"/>
                <w:szCs w:val="18"/>
                <w:color w:val="auto"/>
              </w:rPr>
              <w:t>Supplemental disclosure of cash flow activities: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paid for interest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21,000</w:t>
            </w:r>
          </w:p>
        </w:tc>
      </w:tr>
      <w:tr>
        <w:trPr>
          <w:trHeight w:val="216"/>
        </w:trPr>
        <w:tc>
          <w:tcPr>
            <w:tcW w:w="8320" w:type="dxa"/>
            <w:vAlign w:val="bottom"/>
            <w:gridSpan w:val="2"/>
          </w:tcPr>
          <w:p>
            <w:pPr>
              <w:ind w:left="420"/>
              <w:spacing w:after="0"/>
              <w:rPr>
                <w:sz w:val="20"/>
                <w:szCs w:val="20"/>
                <w:color w:val="auto"/>
              </w:rPr>
            </w:pPr>
            <w:r>
              <w:rPr>
                <w:rFonts w:ascii="Arial" w:cs="Arial" w:eastAsia="Arial" w:hAnsi="Arial"/>
                <w:sz w:val="18"/>
                <w:szCs w:val="18"/>
                <w:color w:val="auto"/>
              </w:rPr>
              <w:t>Cash paid for income taxes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2,700</w:t>
            </w:r>
          </w:p>
        </w:tc>
      </w:tr>
      <w:tr>
        <w:trPr>
          <w:trHeight w:val="216"/>
        </w:trPr>
        <w:tc>
          <w:tcPr>
            <w:tcW w:w="114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Supplemental disclosure of noncash activities: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Insurance premiums settled by issuing note payable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105,300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98,300</w:t>
            </w:r>
          </w:p>
        </w:tc>
      </w:tr>
      <w:tr>
        <w:trPr>
          <w:trHeight w:val="216"/>
        </w:trPr>
        <w:tc>
          <w:tcPr>
            <w:tcW w:w="8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 settled by issuance of stock or notes payable and stock</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438,400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Recognition of warrant liability upon issuance to Platinum of July 2013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Senior Secured Convertible Note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146,800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29" w:name="page130"/>
    <w:bookmarkEnd w:id="129"/>
    <w:p>
      <w:pPr>
        <w:spacing w:after="0" w:line="62" w:lineRule="exact"/>
        <w:rPr>
          <w:sz w:val="20"/>
          <w:szCs w:val="20"/>
          <w:color w:val="auto"/>
        </w:rPr>
      </w:pPr>
    </w:p>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Fiscal Years Ended march 31, 2015 and 2014</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Note</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Receivable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90"/>
              </w:rPr>
              <w:t>Series A Preferred</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Additional</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from Sale</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920" w:type="dxa"/>
            <w:vAlign w:val="bottom"/>
            <w:tcBorders>
              <w:right w:val="single" w:sz="8" w:color="auto"/>
            </w:tcBorders>
            <w:gridSpan w:val="5"/>
          </w:tcPr>
          <w:p>
            <w:pPr>
              <w:jc w:val="center"/>
              <w:ind w:right="10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20"/>
                <w:szCs w:val="20"/>
                <w:color w:val="auto"/>
              </w:rPr>
            </w:pPr>
          </w:p>
        </w:tc>
        <w:tc>
          <w:tcPr>
            <w:tcW w:w="2000" w:type="dxa"/>
            <w:vAlign w:val="bottom"/>
            <w:gridSpan w:val="6"/>
          </w:tcPr>
          <w:p>
            <w:pPr>
              <w:ind w:left="36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Paid-in</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Treasury</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of</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Accumulated</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9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Shares</w:t>
            </w:r>
          </w:p>
        </w:tc>
        <w:tc>
          <w:tcPr>
            <w:tcW w:w="94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Capital</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Stock</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Deficit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5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Balances at March</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31, 2013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1,174,092</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1,200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$59,288,300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 (3,968,100)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(209,100)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 (67,669,200)</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(12,556,400)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Share-based</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1,137,300</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tcPr>
          <w:p>
            <w:pPr>
              <w:ind w:left="40"/>
              <w:spacing w:after="0" w:line="201" w:lineRule="exact"/>
              <w:rPr>
                <w:sz w:val="20"/>
                <w:szCs w:val="20"/>
                <w:color w:val="auto"/>
              </w:rPr>
            </w:pPr>
            <w:r>
              <w:rPr>
                <w:rFonts w:ascii="Arial" w:cs="Arial" w:eastAsia="Arial" w:hAnsi="Arial"/>
                <w:sz w:val="18"/>
                <w:szCs w:val="18"/>
                <w:color w:val="auto"/>
                <w:w w:val="97"/>
              </w:rPr>
              <w:t>Proceeds from sale</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w w:val="97"/>
              </w:rPr>
              <w:t>of common stock for</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cash, including</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exercises of</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warrants under</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Discount Warrant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Exercise Program</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32,751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335,900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335,900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Beneficial</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on note issued to</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Platinum in July</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100,700</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tcPr>
          <w:p>
            <w:pPr>
              <w:ind w:left="40"/>
              <w:spacing w:after="0" w:line="201" w:lineRule="exact"/>
              <w:rPr>
                <w:sz w:val="20"/>
                <w:szCs w:val="20"/>
                <w:color w:val="auto"/>
              </w:rPr>
            </w:pPr>
            <w:r>
              <w:rPr>
                <w:rFonts w:ascii="Arial" w:cs="Arial" w:eastAsia="Arial" w:hAnsi="Arial"/>
                <w:sz w:val="18"/>
                <w:szCs w:val="18"/>
                <w:color w:val="auto"/>
              </w:rPr>
              <w:t>Payment on note</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w w:val="98"/>
              </w:rPr>
              <w:t>receivable from sale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of stock</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11,000</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Allocated proceeds</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from sale of Units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7"/>
              </w:rPr>
              <w:t>for cash under 2013</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Unit Private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Placement,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including beneficial</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100,750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838,100</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tcPr>
          <w:p>
            <w:pPr>
              <w:ind w:left="20"/>
              <w:spacing w:after="0" w:line="201" w:lineRule="exact"/>
              <w:rPr>
                <w:sz w:val="20"/>
                <w:szCs w:val="20"/>
                <w:color w:val="auto"/>
              </w:rPr>
            </w:pPr>
            <w:r>
              <w:rPr>
                <w:rFonts w:ascii="Arial" w:cs="Arial" w:eastAsia="Arial" w:hAnsi="Arial"/>
                <w:sz w:val="18"/>
                <w:szCs w:val="18"/>
                <w:color w:val="auto"/>
              </w:rPr>
              <w:t>Allocated proceeds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from sale of Units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w w:val="98"/>
              </w:rPr>
              <w:t>for cash under 2014</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Unit Private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Placement,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including beneficial</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conversion feature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36,000</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Incremental fair</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value of warrant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modifications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204,300</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tcPr>
          <w:p>
            <w:pPr>
              <w:ind w:left="40"/>
              <w:spacing w:after="0" w:line="201" w:lineRule="exact"/>
              <w:rPr>
                <w:sz w:val="20"/>
                <w:szCs w:val="20"/>
                <w:color w:val="auto"/>
              </w:rPr>
            </w:pPr>
            <w:r>
              <w:rPr>
                <w:rFonts w:ascii="Arial" w:cs="Arial" w:eastAsia="Arial" w:hAnsi="Arial"/>
                <w:sz w:val="18"/>
                <w:szCs w:val="18"/>
                <w:color w:val="auto"/>
              </w:rPr>
              <w:t>Fair value of</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warrants issued to</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Morrison &amp;</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Foerster, Cato</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Research Ltd. and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University Health</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Network in</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connection with</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accrued interest on</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underlying notes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60,800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60,800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Net loss for fiscal</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year 2014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(2,967,700)</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(2,967,700)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right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5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Balances at March</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31, 2014</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1,310,093</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1,300</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$62,001,400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 (3,968,100)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(198,100)</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0"/>
              </w:rPr>
              <w:t>$ (70,636,900)</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(12,799,900)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Allocated proceeds</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from sale of Units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7"/>
              </w:rPr>
              <w:t>for cash under 2014</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Unit Private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Placement,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including beneficial</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280,350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2,746,800</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2,747,100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80" w:type="dxa"/>
            <w:vAlign w:val="bottom"/>
          </w:tcPr>
          <w:p>
            <w:pPr>
              <w:ind w:left="40"/>
              <w:spacing w:after="0" w:line="205" w:lineRule="exact"/>
              <w:rPr>
                <w:sz w:val="20"/>
                <w:szCs w:val="20"/>
                <w:color w:val="auto"/>
              </w:rPr>
            </w:pPr>
            <w:r>
              <w:rPr>
                <w:rFonts w:ascii="Arial" w:cs="Arial" w:eastAsia="Arial" w:hAnsi="Arial"/>
                <w:sz w:val="18"/>
                <w:szCs w:val="18"/>
                <w:color w:val="auto"/>
              </w:rPr>
              <w:t>Share-based</w:t>
            </w:r>
          </w:p>
        </w:tc>
        <w:tc>
          <w:tcPr>
            <w:tcW w:w="80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100"/>
              <w:spacing w:after="0" w:line="20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80"/>
              <w:spacing w:after="0" w:line="20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2,460,100</w:t>
            </w:r>
          </w:p>
        </w:tc>
        <w:tc>
          <w:tcPr>
            <w:tcW w:w="200" w:type="dxa"/>
            <w:vAlign w:val="bottom"/>
          </w:tcPr>
          <w:p>
            <w:pPr>
              <w:spacing w:after="0"/>
              <w:rPr>
                <w:sz w:val="17"/>
                <w:szCs w:val="17"/>
                <w:color w:val="auto"/>
              </w:rPr>
            </w:pPr>
          </w:p>
        </w:tc>
        <w:tc>
          <w:tcPr>
            <w:tcW w:w="92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00"/>
              <w:spacing w:after="0" w:line="205"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5"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2,460,100</w:t>
            </w:r>
          </w:p>
        </w:tc>
        <w:tc>
          <w:tcPr>
            <w:tcW w:w="0" w:type="dxa"/>
            <w:vAlign w:val="bottom"/>
          </w:tcPr>
          <w:p>
            <w:pPr>
              <w:spacing w:after="0"/>
              <w:rPr>
                <w:sz w:val="1"/>
                <w:szCs w:val="1"/>
                <w:color w:val="auto"/>
              </w:rPr>
            </w:pPr>
          </w:p>
        </w:tc>
      </w:tr>
    </w:tbl>
    <w:p>
      <w:pPr>
        <w:sectPr>
          <w:pgSz w:w="11900" w:h="16900" w:orient="portrait"/>
          <w:cols w:equalWidth="0" w:num="1">
            <w:col w:w="11420"/>
          </w:cols>
          <w:pgMar w:left="240" w:top="130" w:right="239" w:bottom="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expense</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Payment on and</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settlement of note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6"/>
              </w:rPr>
              <w:t>receivable from sale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of stock</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198,100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tcPr>
          <w:p>
            <w:pPr>
              <w:ind w:left="40"/>
              <w:spacing w:after="0" w:line="201" w:lineRule="exact"/>
              <w:rPr>
                <w:sz w:val="20"/>
                <w:szCs w:val="20"/>
                <w:color w:val="auto"/>
              </w:rPr>
            </w:pPr>
            <w:r>
              <w:rPr>
                <w:rFonts w:ascii="Arial" w:cs="Arial" w:eastAsia="Arial" w:hAnsi="Arial"/>
                <w:sz w:val="18"/>
                <w:szCs w:val="18"/>
                <w:color w:val="auto"/>
              </w:rPr>
              <w:t>Incremental fair</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value of modified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98,400</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98,400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Fair Value of</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issued for services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71,667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635,600</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tcPr>
          <w:p>
            <w:pPr>
              <w:ind w:left="40"/>
              <w:spacing w:after="0" w:line="201" w:lineRule="exact"/>
              <w:rPr>
                <w:sz w:val="20"/>
                <w:szCs w:val="20"/>
                <w:color w:val="auto"/>
              </w:rPr>
            </w:pPr>
            <w:r>
              <w:rPr>
                <w:rFonts w:ascii="Arial" w:cs="Arial" w:eastAsia="Arial" w:hAnsi="Arial"/>
                <w:sz w:val="18"/>
                <w:szCs w:val="18"/>
                <w:color w:val="auto"/>
              </w:rPr>
              <w:t>Fair value of</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common stock and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warrants issued in</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settlement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of technology</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license expenses</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230,200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230,200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Fair value of</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to</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Morrison &amp;</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Foerster, Cato</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Research Ltd. and</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University Health</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Network in</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connection with</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on</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underlying notes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44,400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tcPr>
          <w:p>
            <w:pPr>
              <w:ind w:left="40"/>
              <w:spacing w:after="0" w:line="201" w:lineRule="exact"/>
              <w:rPr>
                <w:sz w:val="20"/>
                <w:szCs w:val="20"/>
                <w:color w:val="auto"/>
              </w:rPr>
            </w:pPr>
            <w:r>
              <w:rPr>
                <w:rFonts w:ascii="Arial" w:cs="Arial" w:eastAsia="Arial" w:hAnsi="Arial"/>
                <w:sz w:val="18"/>
                <w:szCs w:val="18"/>
                <w:color w:val="auto"/>
              </w:rPr>
              <w:t>Effect of</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w w:val="93"/>
              </w:rPr>
              <w:t>amendments of 2013</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Unit Notes and</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w w:val="95"/>
              </w:rPr>
              <w:t>including repurchase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of beneficial</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conversion feature</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109,300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109,300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Effect of</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amendments of</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Platinum Senior</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w w:val="96"/>
              </w:rPr>
              <w:t>Secured Promissory</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Notes, including</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repurchase of</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beneficial</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(380,400)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80" w:type="dxa"/>
            <w:vAlign w:val="bottom"/>
          </w:tcPr>
          <w:p>
            <w:pPr>
              <w:ind w:left="40"/>
              <w:spacing w:after="0" w:line="201" w:lineRule="exact"/>
              <w:rPr>
                <w:sz w:val="20"/>
                <w:szCs w:val="20"/>
                <w:color w:val="auto"/>
              </w:rPr>
            </w:pPr>
            <w:r>
              <w:rPr>
                <w:rFonts w:ascii="Arial" w:cs="Arial" w:eastAsia="Arial" w:hAnsi="Arial"/>
                <w:sz w:val="18"/>
                <w:szCs w:val="18"/>
                <w:color w:val="auto"/>
              </w:rPr>
              <w:t>Net loss for fiscal</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600" w:type="dxa"/>
            <w:vAlign w:val="bottom"/>
            <w:gridSpan w:val="2"/>
          </w:tcPr>
          <w:p>
            <w:pPr>
              <w:spacing w:after="0"/>
              <w:rPr>
                <w:sz w:val="20"/>
                <w:szCs w:val="20"/>
                <w:color w:val="auto"/>
              </w:rPr>
            </w:pPr>
            <w:r>
              <w:rPr>
                <w:rFonts w:ascii="Arial" w:cs="Arial" w:eastAsia="Arial" w:hAnsi="Arial"/>
                <w:sz w:val="18"/>
                <w:szCs w:val="18"/>
                <w:color w:val="auto"/>
              </w:rPr>
              <w:t>year 2015</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(13,885,800)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(13,885,800)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580" w:type="dxa"/>
            <w:vAlign w:val="bottom"/>
          </w:tcPr>
          <w:p>
            <w:pPr>
              <w:spacing w:after="0" w:line="198" w:lineRule="exact"/>
              <w:rPr>
                <w:sz w:val="20"/>
                <w:szCs w:val="20"/>
                <w:color w:val="auto"/>
              </w:rPr>
            </w:pPr>
            <w:r>
              <w:rPr>
                <w:rFonts w:ascii="Arial" w:cs="Arial" w:eastAsia="Arial" w:hAnsi="Arial"/>
                <w:sz w:val="18"/>
                <w:szCs w:val="18"/>
                <w:b w:val="1"/>
                <w:bCs w:val="1"/>
                <w:color w:val="auto"/>
                <w:w w:val="98"/>
              </w:rPr>
              <w:t>Balances at March</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31, 2015</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500,000</w:t>
            </w:r>
          </w:p>
        </w:tc>
        <w:tc>
          <w:tcPr>
            <w:tcW w:w="1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1,677,110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1,700</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b w:val="1"/>
                <w:bCs w:val="1"/>
                <w:u w:val="single" w:color="auto"/>
                <w:color w:val="auto"/>
                <w:w w:val="97"/>
              </w:rPr>
              <w:t>$</w:t>
            </w:r>
            <w:r>
              <w:rPr>
                <w:rFonts w:ascii="Arial" w:cs="Arial" w:eastAsia="Arial" w:hAnsi="Arial"/>
                <w:sz w:val="18"/>
                <w:szCs w:val="18"/>
                <w:b w:val="1"/>
                <w:bCs w:val="1"/>
                <w:color w:val="auto"/>
                <w:w w:val="97"/>
              </w:rPr>
              <w:t>67,945,800</w:t>
            </w: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2"/>
              </w:rPr>
              <w:t>$ (3,968,100)  $</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0"/>
              </w:rPr>
              <w:t>$ (84,522,700)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3"/>
              </w:rPr>
              <w:t>$ (20,542,800)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131" w:name="page132"/>
    <w:bookmarkEnd w:id="131"/>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VistaGen Therapeutics, Inc., a Nevada corporation, is a clinical-stage biopharmaceutical company committed to developing and commercializing product candidates for patients with depression, other diseases and disorders related to the central nervous system (CNS), and cancer. Our principal executive offices are located at 343 Allerton Avenue, South San Francisco, California 94080, and our telephone number is (650) 577-3600. Our website address is </w:t>
      </w:r>
      <w:r>
        <w:rPr>
          <w:rFonts w:ascii="Arial" w:cs="Arial" w:eastAsia="Arial" w:hAnsi="Arial"/>
          <w:sz w:val="18"/>
          <w:szCs w:val="18"/>
          <w:i w:val="1"/>
          <w:iCs w:val="1"/>
          <w:color w:val="auto"/>
        </w:rPr>
        <w:t>www.vistagen.com</w:t>
      </w:r>
      <w:r>
        <w:rPr>
          <w:rFonts w:ascii="Arial" w:cs="Arial" w:eastAsia="Arial" w:hAnsi="Arial"/>
          <w:sz w:val="18"/>
          <w:szCs w:val="18"/>
          <w:color w:val="auto"/>
        </w:rPr>
        <w:t>. Unless the context otherwise requires, the words “</w:t>
      </w:r>
      <w:r>
        <w:rPr>
          <w:rFonts w:ascii="Arial" w:cs="Arial" w:eastAsia="Arial" w:hAnsi="Arial"/>
          <w:sz w:val="18"/>
          <w:szCs w:val="18"/>
          <w:i w:val="1"/>
          <w:iCs w:val="1"/>
          <w:color w:val="auto"/>
        </w:rPr>
        <w:t>VistaGen Therapeutics, Inc.</w:t>
      </w:r>
      <w:r>
        <w:rPr>
          <w:rFonts w:ascii="Arial" w:cs="Arial" w:eastAsia="Arial" w:hAnsi="Arial"/>
          <w:sz w:val="18"/>
          <w:szCs w:val="18"/>
          <w:color w:val="auto"/>
        </w:rPr>
        <w:t>” “</w:t>
      </w:r>
      <w:r>
        <w:rPr>
          <w:rFonts w:ascii="Arial" w:cs="Arial" w:eastAsia="Arial" w:hAnsi="Arial"/>
          <w:sz w:val="18"/>
          <w:szCs w:val="18"/>
          <w:i w:val="1"/>
          <w:iCs w:val="1"/>
          <w:color w:val="auto"/>
        </w:rPr>
        <w:t>VistaGen</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the 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w:t>
      </w:r>
      <w:r>
        <w:rPr>
          <w:rFonts w:ascii="Arial" w:cs="Arial" w:eastAsia="Arial" w:hAnsi="Arial"/>
          <w:sz w:val="18"/>
          <w:szCs w:val="18"/>
          <w:i w:val="1"/>
          <w:iCs w:val="1"/>
          <w:color w:val="auto"/>
        </w:rPr>
        <w:t xml:space="preserve"> </w:t>
      </w:r>
      <w:r>
        <w:rPr>
          <w:rFonts w:ascii="Arial" w:cs="Arial" w:eastAsia="Arial" w:hAnsi="Arial"/>
          <w:sz w:val="18"/>
          <w:szCs w:val="18"/>
          <w:color w:val="auto"/>
        </w:rPr>
        <w:t>VistaGen Therapeutics, Inc., a Nevada corporation.</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VistaGen Therapeutics, Inc., a California corporation incorporated on May 26, 1998 (</w:t>
      </w:r>
      <w:r>
        <w:rPr>
          <w:rFonts w:ascii="Arial" w:cs="Arial" w:eastAsia="Arial" w:hAnsi="Arial"/>
          <w:sz w:val="18"/>
          <w:szCs w:val="18"/>
          <w:i w:val="1"/>
          <w:iCs w:val="1"/>
          <w:color w:val="auto"/>
        </w:rPr>
        <w:t>VistaGen California</w:t>
      </w:r>
      <w:r>
        <w:rPr>
          <w:rFonts w:ascii="Arial" w:cs="Arial" w:eastAsia="Arial" w:hAnsi="Arial"/>
          <w:sz w:val="18"/>
          <w:szCs w:val="18"/>
          <w:color w:val="auto"/>
        </w:rPr>
        <w:t>), is our wholly-owned subsidiary. Pursuant to a strategic merger transaction on May 11, 2011, we acquired all outstanding shares of VistaGen California in exchange for 341,823 shares of our common stock (</w:t>
      </w:r>
      <w:r>
        <w:rPr>
          <w:rFonts w:ascii="Arial" w:cs="Arial" w:eastAsia="Arial" w:hAnsi="Arial"/>
          <w:sz w:val="18"/>
          <w:szCs w:val="18"/>
          <w:i w:val="1"/>
          <w:iCs w:val="1"/>
          <w:color w:val="auto"/>
        </w:rPr>
        <w:t>Merger</w:t>
      </w:r>
      <w:r>
        <w:rPr>
          <w:rFonts w:ascii="Arial" w:cs="Arial" w:eastAsia="Arial" w:hAnsi="Arial"/>
          <w:sz w:val="18"/>
          <w:szCs w:val="18"/>
          <w:color w:val="auto"/>
        </w:rPr>
        <w:t>), and assumed all of VistaGen California’s pre-Merger obligations. The Consolidated Financial Statements in this report also include the accounts of VistaGen California’s two wholly-owned subsidiaries, Artemis Neuroscience, Inc., a Maryland corporation, and VistaStem Canada, Inc., a corporation organized under the laws of Ontario, Canada.</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lead product candidate, AV-101, is an orally available small molecule prodrug in Phase 2 development for Major Depressive Disorder (MDD). AV-101’s mechanism of action (MOA), as an N-methyl-D-aspartate receptor (NMDAR) antagonist binding selectively at the glycine-binding (GlyB) co-agonist site of the NMDAR, is fundamentally different from all currently-approved antidepressants. In three preclinical studies utilizing well-validated animal models of depression, AV-101 was shown to induce fast-acting, dose-dependent, persistent and statistically significant antidepressant-like responses, following a single treatment, which were equivalent to response seen with a single sub-anesthetic dose of ketamine. In the same studies, fluoxetine did not induce rapid onset antidepressant-like responses. Preclinical studies also support the hypothesis that AV-101 has potential to treat several additional CNS disorders, including chronic neuropathic pain, epilepsy and neurodegenerative diseases, such as Parkinson’s disease and Huntington’s disease where modulation of the NMDAR may have therapeutic benefit.</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our two successful randomized, double-blind, placebo-controlled Phase 1 safety studies funded by the U.S. National Institutes of Health (NIH), in February 2015, we entered a Cooperative Research and Development Agreement (CRADA) with the U.S. National Institute of Mental Health (NIMH), part of the NIH. Under this agreement, we will collaborate with the NIH on a Phase 2 clinical study of AV-101 in subjects with treatment resistant Major Depressive Disorder. Pursuant to the CRADA, this study will be conducted and fully-funded by the NIMH. It is contemplated that this clinical study will begin this year under the direction of Dr. Carlos Zarate, Jr., the NIMH’s Chief of Experimental Therapeutics &amp; Pathophysiology Branch and of the Section on Neurobiology and Treatment of Mood and Anxiety Disorders.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addition to developing AV-101 for MDD and other CNS indications, we are using our stem cell technology platform for drug rescue –to identify and develop proprietary new chemical entities (NCEs) for our internal drug candidate pipeline by leveraging our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bioassay systems, prior investment by pharmaceutical companies and others to discover, optimize and test for efficacy NCEs terminated before FDA approval due to unexpected toxicity and medicinal chemistry. Our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bioassay system uses our human pluripotent stem cell (hPSC)-derived cardiomyocytes, or heart cells. Our </w:t>
      </w:r>
      <w:r>
        <w:rPr>
          <w:rFonts w:ascii="Arial" w:cs="Arial" w:eastAsia="Arial" w:hAnsi="Arial"/>
          <w:sz w:val="18"/>
          <w:szCs w:val="18"/>
          <w:i w:val="1"/>
          <w:iCs w:val="1"/>
          <w:color w:val="auto"/>
        </w:rPr>
        <w:t xml:space="preserve">LiverSafe </w:t>
      </w:r>
      <w:r>
        <w:rPr>
          <w:rFonts w:ascii="Arial" w:cs="Arial" w:eastAsia="Arial" w:hAnsi="Arial"/>
          <w:sz w:val="18"/>
          <w:szCs w:val="18"/>
          <w:color w:val="auto"/>
        </w:rPr>
        <w:t>3D™bioassay system uses our stem cell-derived hepatocytes, or liver cells. We believe</w:t>
      </w:r>
      <w:r>
        <w:rPr>
          <w:rFonts w:ascii="Arial" w:cs="Arial" w:eastAsia="Arial" w:hAnsi="Arial"/>
          <w:sz w:val="18"/>
          <w:szCs w:val="18"/>
          <w:i w:val="1"/>
          <w:iCs w:val="1"/>
          <w:color w:val="auto"/>
        </w:rPr>
        <w:t xml:space="preserve"> CardioSafe </w:t>
      </w:r>
      <w:r>
        <w:rPr>
          <w:rFonts w:ascii="Arial" w:cs="Arial" w:eastAsia="Arial" w:hAnsi="Arial"/>
          <w:sz w:val="18"/>
          <w:szCs w:val="18"/>
          <w:color w:val="auto"/>
        </w:rPr>
        <w:t>3D and</w:t>
      </w:r>
      <w:r>
        <w:rPr>
          <w:rFonts w:ascii="Arial" w:cs="Arial" w:eastAsia="Arial" w:hAnsi="Arial"/>
          <w:sz w:val="18"/>
          <w:szCs w:val="18"/>
          <w:i w:val="1"/>
          <w:iCs w:val="1"/>
          <w:color w:val="auto"/>
        </w:rPr>
        <w:t xml:space="preserve"> LiverSafe </w:t>
      </w:r>
      <w:r>
        <w:rPr>
          <w:rFonts w:ascii="Arial" w:cs="Arial" w:eastAsia="Arial" w:hAnsi="Arial"/>
          <w:sz w:val="18"/>
          <w:szCs w:val="18"/>
          <w:color w:val="auto"/>
        </w:rPr>
        <w:t>3D offer a new paradigm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evaluating and predicting potential heart and liver toxicity of NCEs, including potential drug rescue NCEs, early in development, long before costly, high risk animal studies and human clinical trials. We intend to develop each optimized drug rescue NCE internally to establish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proof-of-concept (POC), as to both efficacy and safety, using both established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as well as in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 when available, </w:t>
      </w:r>
      <w:r>
        <w:rPr>
          <w:rFonts w:ascii="Arial" w:cs="Arial" w:eastAsia="Arial" w:hAnsi="Arial"/>
          <w:sz w:val="18"/>
          <w:szCs w:val="18"/>
          <w:i w:val="1"/>
          <w:iCs w:val="1"/>
          <w:color w:val="auto"/>
        </w:rPr>
        <w:t xml:space="preserve">LiverSafe </w:t>
      </w:r>
      <w:r>
        <w:rPr>
          <w:rFonts w:ascii="Arial" w:cs="Arial" w:eastAsia="Arial" w:hAnsi="Arial"/>
          <w:sz w:val="18"/>
          <w:szCs w:val="18"/>
          <w:color w:val="auto"/>
        </w:rPr>
        <w:t>3D.</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we have previously generated approximately $16.4 million of revenue from grant awards and collaborations, we currently have no commercially available, revenue-generating products and, since inception, we have devoted substantially all of our time and efforts to development of AV-101 for CNS indications and our human pluripotent stem cell technology research and development programs, including, customized bioassay system development, creating, protecting and patenting intellectual property, recruiting personnel and raising working capital.</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2" w:name="page133"/>
    <w:bookmarkEnd w:id="132"/>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Going Concern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Effective August 14, 2014, we consummated a 1-for-20 reverse split of our authorized, and issued and outstanding shares of common stock (the </w:t>
      </w:r>
      <w:r>
        <w:rPr>
          <w:rFonts w:ascii="Arial" w:cs="Arial" w:eastAsia="Arial" w:hAnsi="Arial"/>
          <w:sz w:val="18"/>
          <w:szCs w:val="18"/>
          <w:i w:val="1"/>
          <w:iCs w:val="1"/>
          <w:color w:val="auto"/>
        </w:rPr>
        <w:t>Stock</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Consolidation</w:t>
      </w:r>
      <w:r>
        <w:rPr>
          <w:rFonts w:ascii="Arial" w:cs="Arial" w:eastAsia="Arial" w:hAnsi="Arial"/>
          <w:sz w:val="18"/>
          <w:szCs w:val="18"/>
          <w:color w:val="auto"/>
        </w:rPr>
        <w:t>). Each reference to shares of common stock or the price per share of common stock in these financial statements is post-Stock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reflects the 1-for-20 adjustment as a result of the Stock Consolidation. See Note 8, </w:t>
      </w:r>
      <w:r>
        <w:rPr>
          <w:rFonts w:ascii="Arial" w:cs="Arial" w:eastAsia="Arial" w:hAnsi="Arial"/>
          <w:sz w:val="18"/>
          <w:szCs w:val="18"/>
          <w:i w:val="1"/>
          <w:iCs w:val="1"/>
          <w:color w:val="auto"/>
        </w:rPr>
        <w:t>Capital Stock</w:t>
      </w:r>
      <w:r>
        <w:rPr>
          <w:rFonts w:ascii="Arial" w:cs="Arial" w:eastAsia="Arial" w:hAnsi="Arial"/>
          <w:sz w:val="18"/>
          <w:szCs w:val="18"/>
          <w:color w:val="auto"/>
        </w:rPr>
        <w:t>, for more information regarding the Stock Consolidation.</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Consolidated Financial Statements have been prepared assuming that we will continue as a going concern. As a developing-technology company having not yet developed commercial products or achieved sustainable revenues, we have experienced recurring losses and negative cash flows from operations resulting in a deficit of $84.5 million accumulated from inception through March 31, 2015. We expect losses and negative cash flows from operations to continue for the foreseeable future as we engage in further potential development of AV-101 and launch and execute our drug rescue programs and pursue potential drug development and regenerative medicine opportunities.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Since our inception in May 1998 through March 31, 2015, we have financed our operations and technology acquisitions primarily through the issuance and sale of equity and debt securities, including convertible promissory notes and short-term promissory notes, for cash proceeds of approximately $29.0 million, as well as from an aggregate of approximately $16.4 million of government research grant awards, strategic collaboration payments and other revenues. Additionally, we have issued equity securities with an approximate value at issuance of $13.5 million in non-cash settlements of certain liabilities, including liabilities for professional services rendered to us or as compensation for such services.</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Between late-March 2014 and March 31, 2015, we entered into securities purchase agreements with accredited investors and institutions, including Platinum, pursuant to which we sold units to such accredited investors, in private placement transactions (</w:t>
      </w:r>
      <w:r>
        <w:rPr>
          <w:rFonts w:ascii="Arial" w:cs="Arial" w:eastAsia="Arial" w:hAnsi="Arial"/>
          <w:sz w:val="16"/>
          <w:szCs w:val="16"/>
          <w:i w:val="1"/>
          <w:iCs w:val="1"/>
          <w:color w:val="auto"/>
        </w:rPr>
        <w:t>2014 Units</w:t>
      </w:r>
      <w:r>
        <w:rPr>
          <w:rFonts w:ascii="Arial" w:cs="Arial" w:eastAsia="Arial" w:hAnsi="Arial"/>
          <w:sz w:val="16"/>
          <w:szCs w:val="16"/>
          <w:color w:val="auto"/>
        </w:rPr>
        <w:t xml:space="preserve"> or </w:t>
      </w:r>
      <w:r>
        <w:rPr>
          <w:rFonts w:ascii="Arial" w:cs="Arial" w:eastAsia="Arial" w:hAnsi="Arial"/>
          <w:sz w:val="16"/>
          <w:szCs w:val="16"/>
          <w:i w:val="1"/>
          <w:iCs w:val="1"/>
          <w:color w:val="auto"/>
        </w:rPr>
        <w:t>2014 Unit Private Placement</w:t>
      </w:r>
      <w:r>
        <w:rPr>
          <w:rFonts w:ascii="Arial" w:cs="Arial" w:eastAsia="Arial" w:hAnsi="Arial"/>
          <w:sz w:val="16"/>
          <w:szCs w:val="16"/>
          <w:color w:val="auto"/>
        </w:rPr>
        <w:t>), for aggregate cash proceeds of approximately $3.1 million, consisting of (i) 2014 Unit Notes in the aggregate face amount of approximately $3.1 million which matured between March 31, 2015 and April 30, 2015, or were automatically convertible into securities we might issue upon the consummation of a Qualified Financing, as defined, (ii) an aggregate of 282,850 restricted shares of our common stock (</w:t>
      </w:r>
      <w:r>
        <w:rPr>
          <w:rFonts w:ascii="Arial" w:cs="Arial" w:eastAsia="Arial" w:hAnsi="Arial"/>
          <w:sz w:val="16"/>
          <w:szCs w:val="16"/>
          <w:i w:val="1"/>
          <w:iCs w:val="1"/>
          <w:color w:val="auto"/>
        </w:rPr>
        <w:t>2014 Unit Stock)</w:t>
      </w:r>
      <w:r>
        <w:rPr>
          <w:rFonts w:ascii="Arial" w:cs="Arial" w:eastAsia="Arial" w:hAnsi="Arial"/>
          <w:sz w:val="16"/>
          <w:szCs w:val="16"/>
          <w:color w:val="auto"/>
        </w:rPr>
        <w:t>; and (iii) warrants exercisable through December 31, 2016 to purchase an aggregate of 282,850 restricted shares of our common stock at an exercise price of $10.00 per share (</w:t>
      </w:r>
      <w:r>
        <w:rPr>
          <w:rFonts w:ascii="Arial" w:cs="Arial" w:eastAsia="Arial" w:hAnsi="Arial"/>
          <w:sz w:val="16"/>
          <w:szCs w:val="16"/>
          <w:i w:val="1"/>
          <w:iCs w:val="1"/>
          <w:color w:val="auto"/>
        </w:rPr>
        <w:t>2014 Unit Warrants).</w:t>
      </w:r>
      <w:r>
        <w:rPr>
          <w:rFonts w:ascii="Arial" w:cs="Arial" w:eastAsia="Arial" w:hAnsi="Arial"/>
          <w:sz w:val="16"/>
          <w:szCs w:val="16"/>
          <w:color w:val="auto"/>
        </w:rPr>
        <w:t xml:space="preserve"> At March 31, 2015, we did not have sufficient cash and cash equivalents to enable us to fund our planned operations, including expected cash expenditures of approximately $7 million over the next twelve months, including expenditures required to prepare for further clinical trials of AV-101.</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As described more completely in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between April 1 and May 14, 2015, we continued the 2014 Unit Private Placement, pursuant to which we sold to accredited investors 2014 Units, for aggregate cash proceeds of $280,000, consisting of: (i) 10% convertible promissory notes maturing between April 30, 2015 and May 15, 2015, in the aggregate face amount of $280,000, (ii) an aggregate of 33,000 shares of our restricted common stock, and</w:t>
      </w:r>
    </w:p>
    <w:p>
      <w:pPr>
        <w:jc w:val="both"/>
        <w:ind w:firstLine="8"/>
        <w:spacing w:after="0" w:line="255" w:lineRule="auto"/>
        <w:tabs>
          <w:tab w:leader="none" w:pos="317" w:val="left"/>
        </w:tabs>
        <w:numPr>
          <w:ilvl w:val="0"/>
          <w:numId w:val="77"/>
        </w:numPr>
        <w:rPr>
          <w:rFonts w:ascii="Arial" w:cs="Arial" w:eastAsia="Arial" w:hAnsi="Arial"/>
          <w:sz w:val="18"/>
          <w:szCs w:val="18"/>
          <w:color w:val="auto"/>
        </w:rPr>
      </w:pPr>
      <w:r>
        <w:rPr>
          <w:rFonts w:ascii="Arial" w:cs="Arial" w:eastAsia="Arial" w:hAnsi="Arial"/>
          <w:sz w:val="18"/>
          <w:szCs w:val="18"/>
          <w:color w:val="auto"/>
        </w:rPr>
        <w:t>warrants exercisable through December 31, 2016 to purchase an aggregate of 24,250 restricted shares of our common stock at an exercise price of $10.00 per share. As also described more completely in Note 16, Subsequent Events, during May 2015, we entered into an agreement with Platinum (</w:t>
      </w:r>
      <w:r>
        <w:rPr>
          <w:rFonts w:ascii="Arial" w:cs="Arial" w:eastAsia="Arial" w:hAnsi="Arial"/>
          <w:sz w:val="18"/>
          <w:szCs w:val="18"/>
          <w:i w:val="1"/>
          <w:iCs w:val="1"/>
          <w:color w:val="auto"/>
        </w:rPr>
        <w:t>Platinum</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pursuant to which, Platinum has, among other things:</w:t>
      </w:r>
    </w:p>
    <w:p>
      <w:pPr>
        <w:spacing w:after="0" w:line="217" w:lineRule="exact"/>
        <w:rPr>
          <w:rFonts w:ascii="Arial" w:cs="Arial" w:eastAsia="Arial" w:hAnsi="Arial"/>
          <w:sz w:val="18"/>
          <w:szCs w:val="18"/>
          <w:color w:val="auto"/>
        </w:rPr>
      </w:pPr>
    </w:p>
    <w:p>
      <w:pPr>
        <w:ind w:left="960" w:right="480" w:hanging="286"/>
        <w:spacing w:after="0" w:line="264" w:lineRule="auto"/>
        <w:tabs>
          <w:tab w:leader="none" w:pos="9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Converted the approximately $4.5 million outstanding balance (principal and accrued but unpaid interest) of the Senior Notes we issued to Platinum into 641,335 shares of our newly-created Series B 10% Convertible Preferred Stock (</w:t>
      </w:r>
      <w:r>
        <w:rPr>
          <w:rFonts w:ascii="Arial" w:cs="Arial" w:eastAsia="Arial" w:hAnsi="Arial"/>
          <w:sz w:val="18"/>
          <w:szCs w:val="18"/>
          <w:i w:val="1"/>
          <w:iCs w:val="1"/>
          <w:color w:val="auto"/>
        </w:rPr>
        <w:t>Series B Preferred</w:t>
      </w:r>
      <w:r>
        <w:rPr>
          <w:rFonts w:ascii="Arial" w:cs="Arial" w:eastAsia="Arial" w:hAnsi="Arial"/>
          <w:sz w:val="18"/>
          <w:szCs w:val="18"/>
          <w:color w:val="auto"/>
        </w:rPr>
        <w:t>) , thereby cancelling approximately $4.5 million of our outstanding indebtedness;</w:t>
      </w:r>
    </w:p>
    <w:p>
      <w:pPr>
        <w:spacing w:after="0" w:line="181" w:lineRule="exact"/>
        <w:rPr>
          <w:rFonts w:ascii="Arial" w:cs="Arial" w:eastAsia="Arial" w:hAnsi="Arial"/>
          <w:sz w:val="18"/>
          <w:szCs w:val="18"/>
          <w:color w:val="auto"/>
        </w:rPr>
      </w:pPr>
    </w:p>
    <w:p>
      <w:pPr>
        <w:ind w:left="960" w:right="60" w:hanging="286"/>
        <w:spacing w:after="0" w:line="277" w:lineRule="auto"/>
        <w:tabs>
          <w:tab w:leader="none" w:pos="9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Released all of its security interests in our assets and those of our subsidiaries by terminating the Amended and Restated Security Agreement, IP Security Agreement and Negative Covenant, which we had entered into with Platinum in October 2012; and</w:t>
      </w:r>
    </w:p>
    <w:p>
      <w:pPr>
        <w:spacing w:after="0" w:line="197" w:lineRule="exact"/>
        <w:rPr>
          <w:rFonts w:ascii="Arial" w:cs="Arial" w:eastAsia="Arial" w:hAnsi="Arial"/>
          <w:sz w:val="18"/>
          <w:szCs w:val="18"/>
          <w:color w:val="auto"/>
        </w:rPr>
      </w:pPr>
    </w:p>
    <w:p>
      <w:pPr>
        <w:ind w:left="960" w:right="20" w:hanging="286"/>
        <w:spacing w:after="0" w:line="259" w:lineRule="auto"/>
        <w:tabs>
          <w:tab w:leader="none" w:pos="960" w:val="left"/>
        </w:tabs>
        <w:numPr>
          <w:ilvl w:val="1"/>
          <w:numId w:val="77"/>
        </w:numPr>
        <w:rPr>
          <w:rFonts w:ascii="Arial" w:cs="Arial" w:eastAsia="Arial" w:hAnsi="Arial"/>
          <w:sz w:val="18"/>
          <w:szCs w:val="18"/>
          <w:color w:val="auto"/>
        </w:rPr>
      </w:pPr>
      <w:r>
        <w:rPr>
          <w:rFonts w:ascii="Arial" w:cs="Arial" w:eastAsia="Arial" w:hAnsi="Arial"/>
          <w:sz w:val="18"/>
          <w:szCs w:val="18"/>
          <w:color w:val="auto"/>
        </w:rPr>
        <w:t>Converted the approximately $1.3 million outstanding balance (principal and accrued but unpaid interest) of the convertible promissory notes we issued to Platinum in the 2014 Unit Private Placement (</w:t>
      </w:r>
      <w:r>
        <w:rPr>
          <w:rFonts w:ascii="Arial" w:cs="Arial" w:eastAsia="Arial" w:hAnsi="Arial"/>
          <w:sz w:val="18"/>
          <w:szCs w:val="18"/>
          <w:i w:val="1"/>
          <w:iCs w:val="1"/>
          <w:color w:val="auto"/>
        </w:rPr>
        <w:t>2014 Unit Notes</w:t>
      </w:r>
      <w:r>
        <w:rPr>
          <w:rFonts w:ascii="Arial" w:cs="Arial" w:eastAsia="Arial" w:hAnsi="Arial"/>
          <w:sz w:val="18"/>
          <w:szCs w:val="18"/>
          <w:color w:val="auto"/>
        </w:rPr>
        <w:t>) into 240,305 shares of Series B Preferred and five-year warrants to purchase 240,305 shares of our common stock at a fixed exercise price of $7.00 per share (</w:t>
      </w:r>
      <w:r>
        <w:rPr>
          <w:rFonts w:ascii="Arial" w:cs="Arial" w:eastAsia="Arial" w:hAnsi="Arial"/>
          <w:sz w:val="18"/>
          <w:szCs w:val="18"/>
          <w:i w:val="1"/>
          <w:iCs w:val="1"/>
          <w:color w:val="auto"/>
        </w:rPr>
        <w:t>Series B Warrants</w:t>
      </w:r>
      <w:r>
        <w:rPr>
          <w:rFonts w:ascii="Arial" w:cs="Arial" w:eastAsia="Arial" w:hAnsi="Arial"/>
          <w:sz w:val="18"/>
          <w:szCs w:val="18"/>
          <w:color w:val="auto"/>
        </w:rPr>
        <w:t>), thereby cancelling approximately $1.3 million of our outstanding indebtedness;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3" w:name="page134"/>
    <w:bookmarkEnd w:id="133"/>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960" w:right="100" w:hanging="286"/>
        <w:spacing w:after="0" w:line="259"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Purchased approximately $1.5 million (principal and accrued but unpaid interest) of outstanding 2014 Unit Notes we issued to various other investors from the respective holders thereof (</w:t>
      </w:r>
      <w:r>
        <w:rPr>
          <w:rFonts w:ascii="Arial" w:cs="Arial" w:eastAsia="Arial" w:hAnsi="Arial"/>
          <w:sz w:val="18"/>
          <w:szCs w:val="18"/>
          <w:i w:val="1"/>
          <w:iCs w:val="1"/>
          <w:color w:val="auto"/>
        </w:rPr>
        <w:t>Investor 2014 Unit Notes</w:t>
      </w:r>
      <w:r>
        <w:rPr>
          <w:rFonts w:ascii="Arial" w:cs="Arial" w:eastAsia="Arial" w:hAnsi="Arial"/>
          <w:sz w:val="18"/>
          <w:szCs w:val="18"/>
          <w:color w:val="auto"/>
        </w:rPr>
        <w:t xml:space="preserve"> ) and converted the entire outstanding balance of the Investor 2014 Unit Notes into 265,699 shares of Series B Preferred and Series B Warrants to purchase 265,699 shares of our common stock, thereby cancelling approximately $1.5 million of our outstanding indebtedness; and</w:t>
      </w:r>
    </w:p>
    <w:p>
      <w:pPr>
        <w:spacing w:after="0" w:line="213" w:lineRule="exact"/>
        <w:rPr>
          <w:rFonts w:ascii="Arial" w:cs="Arial" w:eastAsia="Arial" w:hAnsi="Arial"/>
          <w:sz w:val="18"/>
          <w:szCs w:val="18"/>
          <w:color w:val="auto"/>
        </w:rPr>
      </w:pPr>
    </w:p>
    <w:p>
      <w:pPr>
        <w:ind w:left="960" w:hanging="286"/>
        <w:spacing w:after="0" w:line="264"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Entered into a Securities Purchase Agreement (</w:t>
      </w:r>
      <w:r>
        <w:rPr>
          <w:rFonts w:ascii="Arial" w:cs="Arial" w:eastAsia="Arial" w:hAnsi="Arial"/>
          <w:sz w:val="18"/>
          <w:szCs w:val="18"/>
          <w:i w:val="1"/>
          <w:iCs w:val="1"/>
          <w:color w:val="auto"/>
        </w:rPr>
        <w:t>SPA</w:t>
      </w:r>
      <w:r>
        <w:rPr>
          <w:rFonts w:ascii="Arial" w:cs="Arial" w:eastAsia="Arial" w:hAnsi="Arial"/>
          <w:sz w:val="18"/>
          <w:szCs w:val="18"/>
          <w:color w:val="auto"/>
        </w:rPr>
        <w:t>) to purchase, for $1.0 million, a total of 142,857 shares of Series B Preferred and a Series B Warrant (</w:t>
      </w:r>
      <w:r>
        <w:rPr>
          <w:rFonts w:ascii="Arial" w:cs="Arial" w:eastAsia="Arial" w:hAnsi="Arial"/>
          <w:sz w:val="18"/>
          <w:szCs w:val="18"/>
          <w:i w:val="1"/>
          <w:iCs w:val="1"/>
          <w:color w:val="auto"/>
        </w:rPr>
        <w:t>Series B Preferred Unit</w:t>
      </w:r>
      <w:r>
        <w:rPr>
          <w:rFonts w:ascii="Arial" w:cs="Arial" w:eastAsia="Arial" w:hAnsi="Arial"/>
          <w:sz w:val="18"/>
          <w:szCs w:val="18"/>
          <w:color w:val="auto"/>
        </w:rPr>
        <w:t>) to purchase 142,857 shares of our common stock, on or before June 11, 2015 (a portion of which purchase was consummated on June 19, 2015).</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further described in Note 16,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effective May 20, 2015, holders of the remaining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 Between May 26, 2015 and June 25, 2015, we sold to accredited investors and institutions an aggregate of $557,500 of units in our Series B Preferred Unit offering, which units consist of Series B Preferred and Series B Warrants (together </w:t>
      </w:r>
      <w:r>
        <w:rPr>
          <w:rFonts w:ascii="Arial" w:cs="Arial" w:eastAsia="Arial" w:hAnsi="Arial"/>
          <w:sz w:val="18"/>
          <w:szCs w:val="18"/>
          <w:i w:val="1"/>
          <w:iCs w:val="1"/>
          <w:color w:val="auto"/>
        </w:rPr>
        <w:t>Series B Preferred Units</w:t>
      </w:r>
      <w:r>
        <w:rPr>
          <w:rFonts w:ascii="Arial" w:cs="Arial" w:eastAsia="Arial" w:hAnsi="Arial"/>
          <w:sz w:val="18"/>
          <w:szCs w:val="18"/>
          <w:color w:val="auto"/>
        </w:rPr>
        <w:t>), including $100,000 to Platinum. We issued 79,646 shares of Series B Preferred and Series B Warrants to purchase 79,646 shares of our common stock. We have received an aggregate of $557,500 in cash proceeds from the sale of the Series B Preferred Units.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Additionally, as further described in Note 16,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holders of certain of our promissory notes outstanding at March 31, 2015 and thereafter, including Morrison &amp; Foerster, Cato Research Ltd., University Health Network, and McCarthy Tetrault, and certain other service providers converted notes payable or accounts payable having an aggregate outstanding balance of approximately $5.8 million (principal and accrued but unpaid interest and certain strategic adjustments) into 831,577 shares of Series B Preferred stock.</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March 31, 2015, we have eliminated approximately $14.9 million of promissory notes, other debt and certain adjustments thereto that was either already due and payable or would have otherwise matured prior to March 31, 2016, through conversion into our Series B Preferred stock and, with respect to a portion of the indebtedness converted, warrants to purchase common stock. Together with the cash proceeds from our Series B Preferred Unit Offering, our working capital position has improved significantly since March 31, 2015. We will, however, need to raise additional capital to fund our operations and execute our business plan over the next year and thereafter.</w:t>
      </w: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believe that our participation in potential strategic collaborations, including potential transactions involving AV-101 such as our February 2015 Cooperative Research and Development Agreement with the U.S. National Institutes of Health (NIH) for an NIH-funded and sponsored Phase 2 study of AV-101 in major depressive disorder, may provide resources to support a portion of our future cash needs and working capital requirements. When and as necessary, we will seek to raise a material amount of financing through a combination of additional private placements and/or registered public offerings of our securities, which may include both debt and equity securities, stem cell technology-based research and development collaborations, stem cell technology and drug candidate license fees, and government grant awards and collaborations. Our future working capital requirements will depend on many factors, including, without limitation, the scope and nature of strategic opportunities related to our success in clinical trials of and further developing AV-101 as a treatment for major depressive disorder and/or other conditions; our stem cell technology platform, including drug rescue and cell therapy research and development efforts and the success of such programs, our ability to obtain government grant awards and our ability to enter into strategic collaborations with institutions on terms acceptable to us. To further advance the clinical development of AV-101 and potential drug rescue applications of our stem cell technology platform, as well as support our operating activities, we plan to continue to carefully manage our routine operating costs, including salaries and benefits, regulatory and public company consulting, contract research and development, legal, accounting and other professional services and working capital costs.</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Notwithstanding the foregoing, substantial additional financing may not be available to us on a timely basis, on acceptable terms, or at all. If we are unable to obtain substantial additional financing on a timely basis in the near term, our business, financial condition, and results of operations may be harmed, the price of our stock may decline, we may be required to reduce, defer, or discontinue certain of our research and development activities and we may not be able to continue as a going concern. These Consolidated Financial Statements do not include any adjustments that might result from the outcome of this uncertainty.</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4" w:name="page135"/>
    <w:bookmarkEnd w:id="134"/>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w:t>
      </w:r>
      <w:r>
        <w:rPr>
          <w:rFonts w:ascii="Arial" w:cs="Arial" w:eastAsia="Arial" w:hAnsi="Arial"/>
          <w:sz w:val="18"/>
          <w:szCs w:val="18"/>
          <w:i w:val="1"/>
          <w:iCs w:val="1"/>
          <w:color w:val="auto"/>
        </w:rPr>
        <w:t>U.S. GAAP</w:t>
      </w:r>
      <w:r>
        <w:rPr>
          <w:rFonts w:ascii="Arial" w:cs="Arial" w:eastAsia="Arial" w:hAnsi="Arial"/>
          <w:sz w:val="18"/>
          <w:szCs w:val="18"/>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consolidated financial statements include the Company’s accounts, and the accounts of VistaGen California’s wholly-owned inactive subsidiaries, Artemis Neurosciences and VistaStem Canada.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are considered to be highly liquid investments with maturities of three months or less at the date of purchase.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or Disposal of Long-Lived Assets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evaluate our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we record an impairment loss in the amount by which the carrying value of the assets exceeds their fair value. If the assets are determined to be recoverable, but the useful lives are shorter than originally estimated, we depreciate or amortize the net book value of the assets over the newly determined remaining useful lives. We have not recorded any impairment charges to date.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do not currently have any such arrangements, we have historically generated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5" w:name="page136"/>
    <w:bookmarkEnd w:id="135"/>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208" w:lineRule="exact"/>
        <w:rPr>
          <w:sz w:val="20"/>
          <w:szCs w:val="20"/>
          <w:color w:val="auto"/>
        </w:rPr>
      </w:pPr>
    </w:p>
    <w:p>
      <w:pPr>
        <w:jc w:val="both"/>
        <w:ind w:left="960" w:hanging="286"/>
        <w:spacing w:after="0" w:line="269" w:lineRule="auto"/>
        <w:tabs>
          <w:tab w:leader="none" w:pos="9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during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09" w:lineRule="exact"/>
        <w:rPr>
          <w:rFonts w:ascii="Arial" w:cs="Arial" w:eastAsia="Arial" w:hAnsi="Arial"/>
          <w:sz w:val="17"/>
          <w:szCs w:val="17"/>
          <w:color w:val="auto"/>
        </w:rPr>
      </w:pPr>
    </w:p>
    <w:p>
      <w:pPr>
        <w:jc w:val="both"/>
        <w:ind w:left="960" w:hanging="286"/>
        <w:spacing w:after="0" w:line="255"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 and, in the case of development and/or regulatory milestone payments, when the applicable event triggering such a payment has occurred.</w:t>
      </w:r>
    </w:p>
    <w:p>
      <w:pPr>
        <w:spacing w:after="0" w:line="220" w:lineRule="exact"/>
        <w:rPr>
          <w:rFonts w:ascii="Arial" w:cs="Arial" w:eastAsia="Arial" w:hAnsi="Arial"/>
          <w:sz w:val="18"/>
          <w:szCs w:val="18"/>
          <w:color w:val="auto"/>
        </w:rPr>
      </w:pPr>
    </w:p>
    <w:p>
      <w:pPr>
        <w:ind w:left="960" w:hanging="286"/>
        <w:spacing w:after="0" w:line="277"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Government grants, which support our research efforts on specific projects, generally provide for reimbursement of approved costs as defined in the terms of grant awards. Grant revenue is recognized when associated project costs are incurred.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clinical and non-clinical development of AV-101, our prodrug candidate entering late-stage clinical development for Major Depressive Disorder, sponsored stem cell research and development costs, and costs related to the application and prosecution of patents related to our stem cell technology platform and AV-101. All such costs are charged to expense as incurred.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compensation cost for all stock-based awards to employees based on the grant date fair value of the award. We record non-cash, stock-based compensation expense over the period during which the employee is required to perform services in exchange for the award, which generally represents the scheduled vesting period. We have granted no restricted stock awards nor do we have any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6" w:name="page137"/>
    <w:bookmarkEnd w:id="136"/>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account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instruments, which potentially subject us to concentrations of credit risk, consist principally of cash and cash equivalents. Our investment policies limit any such investments to short-term, low-risk investments. We deposit cash and cash equivalents with quality financial institutions and are insured to the maximum of federal limitations. Balances in these accounts may exceed federally insured limits at times.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issued to Platinum Long Term Growth VII, LLC, our largest investor (</w:t>
      </w:r>
      <w:r>
        <w:rPr>
          <w:rFonts w:ascii="Arial" w:cs="Arial" w:eastAsia="Arial" w:hAnsi="Arial"/>
          <w:sz w:val="16"/>
          <w:szCs w:val="16"/>
          <w:i w:val="1"/>
          <w:iCs w:val="1"/>
          <w:color w:val="auto"/>
        </w:rPr>
        <w:t>Platinum</w:t>
      </w:r>
      <w:r>
        <w:rPr>
          <w:rFonts w:ascii="Arial" w:cs="Arial" w:eastAsia="Arial" w:hAnsi="Arial"/>
          <w:sz w:val="16"/>
          <w:szCs w:val="16"/>
          <w:color w:val="auto"/>
        </w:rPr>
        <w:t xml:space="preserve">), warrants to purchase a substantial number of unregistered shares of our common stock and, subject to Platinum’s exercise of its rights to exchange shares of our Series A Preferred Stock that it holds, we are obligated to issue to Platinum an additional warrant to purchase unregistered shares of common stock (collectively, the </w:t>
      </w:r>
      <w:r>
        <w:rPr>
          <w:rFonts w:ascii="Arial" w:cs="Arial" w:eastAsia="Arial" w:hAnsi="Arial"/>
          <w:sz w:val="16"/>
          <w:szCs w:val="16"/>
          <w:i w:val="1"/>
          <w:iCs w:val="1"/>
          <w:color w:val="auto"/>
        </w:rPr>
        <w:t>Platinum Warrants</w:t>
      </w:r>
      <w:r>
        <w:rPr>
          <w:rFonts w:ascii="Arial" w:cs="Arial" w:eastAsia="Arial" w:hAnsi="Arial"/>
          <w:sz w:val="16"/>
          <w:szCs w:val="16"/>
          <w:color w:val="auto"/>
        </w:rPr>
        <w:t xml:space="preserve">). The Platinum Warrants contain an exercise price adjustment feature that will lower the exercise price of the warrants in the event we subsequently issue equity instruments at a price lower than the exercise price of the Platinum Warrants. We account for the Platinum Warrants as non-cash liabilities and estimate their fair value as described in Note 4, </w:t>
      </w:r>
      <w:r>
        <w:rPr>
          <w:rFonts w:ascii="Arial" w:cs="Arial" w:eastAsia="Arial" w:hAnsi="Arial"/>
          <w:sz w:val="16"/>
          <w:szCs w:val="16"/>
          <w:i w:val="1"/>
          <w:iCs w:val="1"/>
          <w:color w:val="auto"/>
        </w:rPr>
        <w:t xml:space="preserve">Fair Value Measurements, </w:t>
      </w:r>
      <w:r>
        <w:rPr>
          <w:rFonts w:ascii="Arial" w:cs="Arial" w:eastAsia="Arial" w:hAnsi="Arial"/>
          <w:sz w:val="16"/>
          <w:szCs w:val="16"/>
          <w:color w:val="auto"/>
        </w:rPr>
        <w:t>Note 8,</w:t>
      </w:r>
      <w:r>
        <w:rPr>
          <w:rFonts w:ascii="Arial" w:cs="Arial" w:eastAsia="Arial" w:hAnsi="Arial"/>
          <w:sz w:val="16"/>
          <w:szCs w:val="16"/>
          <w:i w:val="1"/>
          <w:iCs w:val="1"/>
          <w:color w:val="auto"/>
        </w:rPr>
        <w:t xml:space="preserve"> Convertible Promissory Notes and Other Notes Payable</w:t>
      </w:r>
      <w:r>
        <w:rPr>
          <w:rFonts w:ascii="Arial" w:cs="Arial" w:eastAsia="Arial" w:hAnsi="Arial"/>
          <w:sz w:val="16"/>
          <w:szCs w:val="16"/>
          <w:color w:val="auto"/>
        </w:rPr>
        <w:t>, and Note 9</w:t>
      </w:r>
      <w:r>
        <w:rPr>
          <w:rFonts w:ascii="Arial" w:cs="Arial" w:eastAsia="Arial" w:hAnsi="Arial"/>
          <w:sz w:val="16"/>
          <w:szCs w:val="16"/>
          <w:i w:val="1"/>
          <w:iCs w:val="1"/>
          <w:color w:val="auto"/>
        </w:rPr>
        <w:t>, Capital Stock</w:t>
      </w:r>
      <w:r>
        <w:rPr>
          <w:rFonts w:ascii="Arial" w:cs="Arial" w:eastAsia="Arial" w:hAnsi="Arial"/>
          <w:sz w:val="16"/>
          <w:szCs w:val="16"/>
          <w:color w:val="auto"/>
        </w:rPr>
        <w:t>. We compute the fair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warrant liability at each reporting period and record the change in the fair value as non-cash expense or non-cash income. The key component in determining the fair value of the Platinum Warrants and the related liability is the market price of our common stock, which is subject to significant fluctuation and is not under our control. The resulting change in the fair value of the warrant liability on our net loss is therefore also subject to significant fluctuation and will continue to be so until all of the Platinum Warrants are issued and exercised, amended or expire. Assuming all other fair value inputs remain generally constant, we will record an increase in the warrant liability and non-cash losses when our stock price increases and a decrease in the warrant liability and non-cash gains when our stock price decreases. As described in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during May 2015, we entered into an agreement with Platinum pursuant to which Platinum agreed to amend the Platinum Warrants to fix the exercise price thereof at $7.00 per share and eliminate the exercise price reset features and fix the number of shares of our common stock issuable thereunder. This amendment will result in the elimination of the warrant liability with respect to the Platinum Warrants during the first quarter of our fiscal year ended March 31,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Common Share</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 (loss) per share, we adjust the numerator for the change in the fair value of the warrant liability attributable to the outstanding Platinum Warrants, only if dilutive, and increase the denominator to include the number of potentially dilutive common shares assumed to be outstanding during the period using the treasury stock method. As a result of our net loss for both periods presented, potentially dilutive securities were excluded from the computation of diluted loss per share, as their effect would be antidilutive.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84"/>
        </w:trPr>
        <w:tc>
          <w:tcPr>
            <w:tcW w:w="8580" w:type="dxa"/>
            <w:vAlign w:val="bottom"/>
            <w:gridSpan w:val="3"/>
          </w:tcPr>
          <w:p>
            <w:pPr>
              <w:spacing w:after="0"/>
              <w:rPr>
                <w:rFonts w:ascii="Arial" w:cs="Arial" w:eastAsia="Arial" w:hAnsi="Arial"/>
                <w:sz w:val="16"/>
                <w:szCs w:val="16"/>
                <w:i w:val="1"/>
                <w:iCs w:val="1"/>
                <w:color w:val="0000EE"/>
              </w:rPr>
            </w:pPr>
            <w:hyperlink w:anchor="page4">
              <w:r>
                <w:rPr>
                  <w:rFonts w:ascii="Arial" w:cs="Arial" w:eastAsia="Arial" w:hAnsi="Arial"/>
                  <w:sz w:val="16"/>
                  <w:szCs w:val="16"/>
                  <w:i w:val="1"/>
                  <w:iCs w:val="1"/>
                  <w:color w:val="0000EE"/>
                </w:rPr>
                <w:t>Table of Contents</w:t>
              </w:r>
            </w:hyperlink>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7440" w:type="dxa"/>
            <w:vAlign w:val="bottom"/>
          </w:tcPr>
          <w:p>
            <w:pPr>
              <w:jc w:val="center"/>
              <w:ind w:left="1610"/>
              <w:spacing w:after="0"/>
              <w:rPr>
                <w:sz w:val="20"/>
                <w:szCs w:val="20"/>
                <w:color w:val="auto"/>
              </w:rPr>
            </w:pPr>
            <w:r>
              <w:rPr>
                <w:rFonts w:ascii="Arial" w:cs="Arial" w:eastAsia="Arial" w:hAnsi="Arial"/>
                <w:sz w:val="18"/>
                <w:szCs w:val="18"/>
                <w:b w:val="1"/>
                <w:bCs w:val="1"/>
                <w:color w:val="auto"/>
              </w:rPr>
              <w:t>VISTAGEN THERAPEUTICS, INC.</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440" w:type="dxa"/>
            <w:vAlign w:val="bottom"/>
          </w:tcPr>
          <w:p>
            <w:pPr>
              <w:jc w:val="center"/>
              <w:ind w:left="1630"/>
              <w:spacing w:after="0"/>
              <w:rPr>
                <w:sz w:val="20"/>
                <w:szCs w:val="20"/>
                <w:color w:val="auto"/>
              </w:rPr>
            </w:pPr>
            <w:r>
              <w:rPr>
                <w:rFonts w:ascii="Arial" w:cs="Arial" w:eastAsia="Arial" w:hAnsi="Arial"/>
                <w:sz w:val="18"/>
                <w:szCs w:val="18"/>
                <w:b w:val="1"/>
                <w:bCs w:val="1"/>
                <w:color w:val="auto"/>
              </w:rPr>
              <w:t>NOTES TO CONSOLIDATED FINANCIAL STATEMENTS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580" w:type="dxa"/>
            <w:vAlign w:val="bottom"/>
            <w:gridSpan w:val="3"/>
          </w:tcPr>
          <w:p>
            <w:pPr>
              <w:spacing w:after="0"/>
              <w:rPr>
                <w:sz w:val="20"/>
                <w:szCs w:val="20"/>
                <w:color w:val="auto"/>
              </w:rPr>
            </w:pPr>
            <w:r>
              <w:rPr>
                <w:rFonts w:ascii="Arial" w:cs="Arial" w:eastAsia="Arial" w:hAnsi="Arial"/>
                <w:sz w:val="18"/>
                <w:szCs w:val="18"/>
                <w:color w:val="auto"/>
              </w:rPr>
              <w:t>Basic and diluted net loss attributable to common stockholders per share was computed as follows: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gridSpan w:val="3"/>
          </w:tcPr>
          <w:p>
            <w:pPr>
              <w:spacing w:after="0"/>
              <w:rPr>
                <w:sz w:val="20"/>
                <w:szCs w:val="20"/>
                <w:color w:val="auto"/>
              </w:rPr>
            </w:pPr>
            <w:r>
              <w:rPr>
                <w:rFonts w:ascii="Arial" w:cs="Arial" w:eastAsia="Arial" w:hAnsi="Arial"/>
                <w:sz w:val="18"/>
                <w:szCs w:val="18"/>
                <w:color w:val="auto"/>
              </w:rPr>
              <w:t>Numerator: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Net loss attributable to common stockholders for basic earnings per share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(13,885,800)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(2,967,700)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gridSpan w:val="2"/>
          </w:tcPr>
          <w:p>
            <w:pPr>
              <w:ind w:left="900"/>
              <w:spacing w:after="0" w:line="201" w:lineRule="exact"/>
              <w:rPr>
                <w:sz w:val="20"/>
                <w:szCs w:val="20"/>
                <w:color w:val="auto"/>
              </w:rPr>
            </w:pPr>
            <w:r>
              <w:rPr>
                <w:rFonts w:ascii="Arial" w:cs="Arial" w:eastAsia="Arial" w:hAnsi="Arial"/>
                <w:sz w:val="18"/>
                <w:szCs w:val="18"/>
                <w:color w:val="auto"/>
                <w:w w:val="94"/>
              </w:rPr>
              <w:t>less: change in fair value of warrant liability attributable to Exchange, Investment and Bridge Warrants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60" w:type="dxa"/>
            <w:vAlign w:val="bottom"/>
            <w:gridSpan w:val="2"/>
          </w:tcPr>
          <w:p>
            <w:pPr>
              <w:ind w:left="900"/>
              <w:spacing w:after="0"/>
              <w:rPr>
                <w:sz w:val="20"/>
                <w:szCs w:val="20"/>
                <w:color w:val="auto"/>
              </w:rPr>
            </w:pPr>
            <w:r>
              <w:rPr>
                <w:rFonts w:ascii="Arial" w:cs="Arial" w:eastAsia="Arial" w:hAnsi="Arial"/>
                <w:sz w:val="18"/>
                <w:szCs w:val="18"/>
                <w:color w:val="auto"/>
              </w:rPr>
              <w:t>issued to Platinum</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(105,200)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(1,219,500)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40"/>
              <w:spacing w:after="0"/>
              <w:rPr>
                <w:sz w:val="20"/>
                <w:szCs w:val="20"/>
                <w:color w:val="auto"/>
              </w:rPr>
            </w:pPr>
            <w:r>
              <w:rPr>
                <w:rFonts w:ascii="Arial" w:cs="Arial" w:eastAsia="Arial" w:hAnsi="Arial"/>
                <w:sz w:val="18"/>
                <w:szCs w:val="18"/>
                <w:color w:val="auto"/>
              </w:rPr>
              <w:t>Net loss for diluted earnings per share attributable to common stockholders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(13,991,000)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(4,187,200)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Weighted average basic common shares outstanding</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1,318,797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440"/>
              <w:spacing w:after="0"/>
              <w:rPr>
                <w:sz w:val="20"/>
                <w:szCs w:val="20"/>
                <w:color w:val="auto"/>
              </w:rPr>
            </w:pPr>
            <w:r>
              <w:rPr>
                <w:rFonts w:ascii="Arial" w:cs="Arial" w:eastAsia="Arial" w:hAnsi="Arial"/>
                <w:sz w:val="18"/>
                <w:szCs w:val="18"/>
                <w:color w:val="auto"/>
              </w:rPr>
              <w:t>Assumed conversion of dilutive securities: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Warrants to purchase common stock</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gridSpan w:val="2"/>
          </w:tcPr>
          <w:p>
            <w:pPr>
              <w:ind w:left="900"/>
              <w:spacing w:after="0"/>
              <w:rPr>
                <w:sz w:val="20"/>
                <w:szCs w:val="20"/>
                <w:color w:val="auto"/>
              </w:rPr>
            </w:pPr>
            <w:r>
              <w:rPr>
                <w:rFonts w:ascii="Arial" w:cs="Arial" w:eastAsia="Arial" w:hAnsi="Arial"/>
                <w:sz w:val="18"/>
                <w:szCs w:val="18"/>
                <w:color w:val="auto"/>
              </w:rPr>
              <w:t>Potentially dilutive common shares assumed converted</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Denominator for diluted earnings per share - adjusted weighted average shares</w:t>
            </w: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1,318,797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1,099,216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74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Basic net loss attributable to common stockholders per common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(10.53)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tcPr>
          <w:p>
            <w:pPr>
              <w:spacing w:after="0"/>
              <w:rPr>
                <w:sz w:val="20"/>
                <w:szCs w:val="20"/>
                <w:color w:val="auto"/>
              </w:rPr>
            </w:pPr>
            <w:r>
              <w:rPr>
                <w:rFonts w:ascii="Arial" w:cs="Arial" w:eastAsia="Arial" w:hAnsi="Arial"/>
                <w:sz w:val="18"/>
                <w:szCs w:val="18"/>
                <w:color w:val="auto"/>
              </w:rPr>
              <w:t>Diluted net loss attributable to common stockholders per common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(10.61)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40" w:type="dxa"/>
            <w:vAlign w:val="bottom"/>
            <w:vMerge w:val="restart"/>
          </w:tcPr>
          <w:p>
            <w:pPr>
              <w:jc w:val="center"/>
              <w:ind w:left="1610"/>
              <w:spacing w:after="0"/>
              <w:rPr>
                <w:sz w:val="20"/>
                <w:szCs w:val="20"/>
                <w:color w:val="auto"/>
              </w:rPr>
            </w:pPr>
            <w:r>
              <w:rPr>
                <w:rFonts w:ascii="Arial" w:cs="Arial" w:eastAsia="Arial" w:hAnsi="Arial"/>
                <w:sz w:val="18"/>
                <w:szCs w:val="18"/>
                <w:color w:val="auto"/>
                <w:w w:val="91"/>
              </w:rPr>
              <w:t>F-13</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74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8" w:name="page139"/>
    <w:bookmarkEnd w:id="138"/>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Potentially dilutive securities excluded in determining diluted net loss per common share for the fiscal years ended March 31, 2015 and 2014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5"/>
                <w:szCs w:val="25"/>
                <w:color w:val="auto"/>
                <w:vertAlign w:val="superscript"/>
              </w:rPr>
              <w:t>(1)</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 shares issuable to Platinum upon exercise of common stock warrants by Platinum</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upon exchange of Series A Preferred under the terms of the October 11, 2012 Note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 and Purchase Agreement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under the 2008 and 1999 Stock Incentive Plans</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207,638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1,544,474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854,782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10% convertible Exchange Note and Investment Notes issued to Platinum in October 2012,</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February 2013 and March 2013, including accrued interest through March 31, 2015</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and 2014, respectively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414,615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10% convertible note issued to Platinum on July 26, 2013, including accrued interest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through March 31, 2015 and 2014, respectively</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29,620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10% convertible notes issued as a component of Unit Private Placements, including accrued interest through March 31,</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EEFF"/>
          </w:tcPr>
          <w:p>
            <w:pPr>
              <w:ind w:left="160"/>
              <w:spacing w:after="0" w:line="230" w:lineRule="exact"/>
              <w:rPr>
                <w:sz w:val="20"/>
                <w:szCs w:val="20"/>
                <w:color w:val="auto"/>
              </w:rPr>
            </w:pPr>
            <w:r>
              <w:rPr>
                <w:rFonts w:ascii="Arial" w:cs="Arial" w:eastAsia="Arial" w:hAnsi="Arial"/>
                <w:sz w:val="18"/>
                <w:szCs w:val="18"/>
                <w:color w:val="auto"/>
              </w:rPr>
              <w:t xml:space="preserve">accrued interest through March 31, 2015 and 2014, respectively </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433,758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3,755,105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8700" w:type="dxa"/>
            <w:vAlign w:val="bottom"/>
            <w:gridSpan w:val="2"/>
          </w:tcPr>
          <w:p>
            <w:pPr>
              <w:spacing w:after="0"/>
              <w:rPr>
                <w:sz w:val="20"/>
                <w:szCs w:val="20"/>
                <w:color w:val="auto"/>
              </w:rPr>
            </w:pPr>
            <w:r>
              <w:rPr>
                <w:rFonts w:ascii="Arial" w:cs="Arial" w:eastAsia="Arial" w:hAnsi="Arial"/>
                <w:sz w:val="18"/>
                <w:szCs w:val="18"/>
                <w:color w:val="auto"/>
              </w:rPr>
              <w:t>____________</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40" w:hanging="232"/>
        <w:spacing w:after="0" w:line="183" w:lineRule="auto"/>
        <w:tabs>
          <w:tab w:leader="none" w:pos="240" w:val="left"/>
        </w:tabs>
        <w:numPr>
          <w:ilvl w:val="0"/>
          <w:numId w:val="80"/>
        </w:numPr>
        <w:rPr>
          <w:rFonts w:ascii="Arial" w:cs="Arial" w:eastAsia="Arial" w:hAnsi="Arial"/>
          <w:sz w:val="25"/>
          <w:szCs w:val="25"/>
          <w:color w:val="auto"/>
          <w:vertAlign w:val="superscript"/>
        </w:rPr>
      </w:pPr>
      <w:r>
        <w:rPr>
          <w:rFonts w:ascii="Arial" w:cs="Arial" w:eastAsia="Arial" w:hAnsi="Arial"/>
          <w:sz w:val="18"/>
          <w:szCs w:val="18"/>
          <w:color w:val="auto"/>
        </w:rPr>
        <w:t>Assumes exchange under the terms of the October 11, 2012 Note Exchange and Purchase Agreement with Platinum</w:t>
      </w:r>
    </w:p>
    <w:p>
      <w:pPr>
        <w:spacing w:after="0" w:line="2" w:lineRule="exact"/>
        <w:rPr>
          <w:rFonts w:ascii="Arial" w:cs="Arial" w:eastAsia="Arial" w:hAnsi="Arial"/>
          <w:sz w:val="25"/>
          <w:szCs w:val="25"/>
          <w:color w:val="auto"/>
          <w:vertAlign w:val="superscript"/>
        </w:rPr>
      </w:pPr>
    </w:p>
    <w:p>
      <w:pPr>
        <w:ind w:left="240" w:hanging="232"/>
        <w:spacing w:after="0" w:line="203" w:lineRule="auto"/>
        <w:tabs>
          <w:tab w:leader="none" w:pos="240" w:val="left"/>
        </w:tabs>
        <w:numPr>
          <w:ilvl w:val="0"/>
          <w:numId w:val="80"/>
        </w:numPr>
        <w:rPr>
          <w:rFonts w:ascii="Arial" w:cs="Arial" w:eastAsia="Arial" w:hAnsi="Arial"/>
          <w:sz w:val="22"/>
          <w:szCs w:val="22"/>
          <w:color w:val="auto"/>
          <w:vertAlign w:val="superscript"/>
        </w:rPr>
      </w:pPr>
      <w:r>
        <w:rPr>
          <w:rFonts w:ascii="Arial" w:cs="Arial" w:eastAsia="Arial" w:hAnsi="Arial"/>
          <w:sz w:val="16"/>
          <w:szCs w:val="16"/>
          <w:color w:val="auto"/>
        </w:rPr>
        <w:t>Assumes conversion under the terms of the October 11, 2012 Note Exchange and Purchase Agreement with Platinum and the terms of the individual notes</w:t>
      </w:r>
    </w:p>
    <w:p>
      <w:pPr>
        <w:spacing w:after="0" w:line="2" w:lineRule="exact"/>
        <w:rPr>
          <w:rFonts w:ascii="Arial" w:cs="Arial" w:eastAsia="Arial" w:hAnsi="Arial"/>
          <w:sz w:val="22"/>
          <w:szCs w:val="22"/>
          <w:color w:val="auto"/>
          <w:vertAlign w:val="superscript"/>
        </w:rPr>
      </w:pPr>
    </w:p>
    <w:p>
      <w:pPr>
        <w:ind w:left="200" w:hanging="192"/>
        <w:spacing w:after="0" w:line="194" w:lineRule="auto"/>
        <w:tabs>
          <w:tab w:leader="none" w:pos="200" w:val="left"/>
        </w:tabs>
        <w:numPr>
          <w:ilvl w:val="0"/>
          <w:numId w:val="80"/>
        </w:numPr>
        <w:rPr>
          <w:rFonts w:ascii="Arial" w:cs="Arial" w:eastAsia="Arial" w:hAnsi="Arial"/>
          <w:sz w:val="23"/>
          <w:szCs w:val="23"/>
          <w:color w:val="auto"/>
          <w:vertAlign w:val="superscript"/>
        </w:rPr>
      </w:pPr>
      <w:r>
        <w:rPr>
          <w:rFonts w:ascii="Arial" w:cs="Arial" w:eastAsia="Arial" w:hAnsi="Arial"/>
          <w:sz w:val="17"/>
          <w:szCs w:val="17"/>
          <w:color w:val="auto"/>
        </w:rPr>
        <w:t>Excludes effect of conversion premium upon conversion into securities which may be issued in a Qualified Financing, as defined in the notes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39" w:name="page140"/>
    <w:bookmarkEnd w:id="139"/>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2014, the Financial Accounting Standards Board (</w:t>
      </w:r>
      <w:r>
        <w:rPr>
          <w:rFonts w:ascii="Arial" w:cs="Arial" w:eastAsia="Arial" w:hAnsi="Arial"/>
          <w:sz w:val="17"/>
          <w:szCs w:val="17"/>
          <w:i w:val="1"/>
          <w:iCs w:val="1"/>
          <w:color w:val="auto"/>
        </w:rPr>
        <w:t>FASB</w:t>
      </w:r>
      <w:r>
        <w:rPr>
          <w:rFonts w:ascii="Arial" w:cs="Arial" w:eastAsia="Arial" w:hAnsi="Arial"/>
          <w:sz w:val="17"/>
          <w:szCs w:val="17"/>
          <w:color w:val="auto"/>
        </w:rPr>
        <w:t>) issued Accounting Standards Update (</w:t>
      </w:r>
      <w:r>
        <w:rPr>
          <w:rFonts w:ascii="Arial" w:cs="Arial" w:eastAsia="Arial" w:hAnsi="Arial"/>
          <w:sz w:val="17"/>
          <w:szCs w:val="17"/>
          <w:i w:val="1"/>
          <w:iCs w:val="1"/>
          <w:color w:val="auto"/>
        </w:rPr>
        <w:t>ASU</w:t>
      </w:r>
      <w:r>
        <w:rPr>
          <w:rFonts w:ascii="Arial" w:cs="Arial" w:eastAsia="Arial" w:hAnsi="Arial"/>
          <w:sz w:val="17"/>
          <w:szCs w:val="17"/>
          <w:color w:val="auto"/>
        </w:rPr>
        <w:t xml:space="preserve">)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 (Topic 606).</w:t>
      </w:r>
      <w:r>
        <w:rPr>
          <w:rFonts w:ascii="Arial" w:cs="Arial" w:eastAsia="Arial" w:hAnsi="Arial"/>
          <w:sz w:val="17"/>
          <w:szCs w:val="17"/>
          <w:color w:val="auto"/>
        </w:rPr>
        <w:t>which supersedes the revenue recognition requirements in ASC 605, Revenue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amendment in this ASU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on revenue recognition to depict the transfer of promised goods or services to customers in an amount that reflects the consideration to which the entity expects to be entitled in exchange for those goods or services. The core principle of this update provides guidance to identify the performance obligations under the contract(s) with a customer and how to allocate the transaction price to the performance obligations in the contract. It further provides guidance to recognize revenue when (or as) the entity satisfies a performance obligation. The ASU is effective for public entities for annual and interim periods beginning after December 15, 2016 (the first quarter of our fiscal year ending March 31, 2018). In April 2015, the FASB proposed to defer for one year the effective date of the new revenue standard, with an option that would permit companies to adopt the standard as early as the original effective date. Early adoption prior to the original effective date is not permitted. We have not determined the potential effects of adopting this ASU on our consolidated financial statements.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June 2014, the FASB issued ASU No. 2014-10, </w:t>
      </w:r>
      <w:r>
        <w:rPr>
          <w:rFonts w:ascii="Arial" w:cs="Arial" w:eastAsia="Arial" w:hAnsi="Arial"/>
          <w:sz w:val="17"/>
          <w:szCs w:val="17"/>
          <w:i w:val="1"/>
          <w:iCs w:val="1"/>
          <w:color w:val="auto"/>
        </w:rPr>
        <w:t>Development Stage Entities (Topic 915): Elimination of Certain Financial Reporting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Including an Amendment to Variable Interest Entities Guidance in Topic 810, Consolidation</w:t>
      </w:r>
      <w:r>
        <w:rPr>
          <w:rFonts w:ascii="Arial" w:cs="Arial" w:eastAsia="Arial" w:hAnsi="Arial"/>
          <w:sz w:val="17"/>
          <w:szCs w:val="17"/>
          <w:color w:val="auto"/>
        </w:rPr>
        <w:t>. The amendments in this ASU remove all incremental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requirements for development stage entities. Among other changes, this ASU no longer requires development stage entities to present inception-to-date information about income statement line items, cash flows, and equity transactions. The presentation and disclosure requirements in Topic 915 will no longer be required for the first annual period beginning after December 15, 2014, with early adoption permitted. We have adopted ASU 2014-10 effective with our fiscal year beginning April 1, 2014 and, accordingly, have eliminated inception-to-date information in the accompanying Consolidated Statements of Operations and Comprehensive Loss and Consolidated Statements of Cash Flows.</w:t>
      </w:r>
    </w:p>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(Subtopic 205-40): Disclosure of Uncertainties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about an Entity’s Ability to Continue as a Going Concern. </w:t>
      </w:r>
      <w:r>
        <w:rPr>
          <w:rFonts w:ascii="Arial" w:cs="Arial" w:eastAsia="Arial" w:hAnsi="Arial"/>
          <w:sz w:val="16"/>
          <w:szCs w:val="16"/>
          <w:color w:val="auto"/>
        </w:rPr>
        <w:t>The amendments in this ASU define when and how an entity is required to disclose going concern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uncertainties, which must be evaluated each interim and annual period. Specifically, the ASU requires management to determine whether substantial doubt exists regarding the entity’s going concern presumption. Substantial doubt about an entity’s ability to continue as a going concern exists when relevant conditions and events, considered in the aggregate, indicate that it is probable (as defined under ASC 450, </w:t>
      </w:r>
      <w:r>
        <w:rPr>
          <w:rFonts w:ascii="Arial" w:cs="Arial" w:eastAsia="Arial" w:hAnsi="Arial"/>
          <w:sz w:val="16"/>
          <w:szCs w:val="16"/>
          <w:i w:val="1"/>
          <w:iCs w:val="1"/>
          <w:color w:val="auto"/>
        </w:rPr>
        <w:t>Contingencies</w:t>
      </w:r>
      <w:r>
        <w:rPr>
          <w:rFonts w:ascii="Arial" w:cs="Arial" w:eastAsia="Arial" w:hAnsi="Arial"/>
          <w:sz w:val="16"/>
          <w:szCs w:val="16"/>
          <w:color w:val="auto"/>
        </w:rPr>
        <w:t xml:space="preserve">) that the entity will be unable to meet its obligations as they become due within one year after the date that the financial statements are issued or are available to be issued. If substantial doubt exists, certain disclosures are required, the extent of which depends on an evaluation of management’s plans (if any) to mitigate the going concern uncertainty. This evaluation should include consideration of conditions and events that are either known or are reasonably knowable at the date the financial statements are issued or are available to be issued, as well as whether it is probable that management's plans to address the substantial doubt will be implemented and, if so, whether it is probable that the plans will alleviate the substantial doubt. ASU 2014-15 is effective for annual periods ending after December 15, 2016, and interim and annual periods thereafter. Early application is permitted. In their opinion on our audited financial statements for our fiscal year ended March 31, 2015, our auditors indicated that there was substantial doubt about our ability to continue as a going concern. Although we have not yet adopted ASU 2014-15, we have indicated in Note 2, </w:t>
      </w:r>
      <w:r>
        <w:rPr>
          <w:rFonts w:ascii="Arial" w:cs="Arial" w:eastAsia="Arial" w:hAnsi="Arial"/>
          <w:sz w:val="16"/>
          <w:szCs w:val="16"/>
          <w:i w:val="1"/>
          <w:iCs w:val="1"/>
          <w:color w:val="auto"/>
        </w:rPr>
        <w:t>Basis of Presentation and Going Concern</w:t>
      </w:r>
      <w:r>
        <w:rPr>
          <w:rFonts w:ascii="Arial" w:cs="Arial" w:eastAsia="Arial" w:hAnsi="Arial"/>
          <w:sz w:val="16"/>
          <w:szCs w:val="16"/>
          <w:color w:val="auto"/>
        </w:rPr>
        <w:t>, steps we have taken to eliminate certain of our indebtedness and raise additional financing that is expected to permit us to continue our operations for at least one year. Upon our adoption of ASU 2014-15, assuming conditions at such time indicate there is substantial doubt about our ability to continue as a going concern, or that such doubt has been alleviated, we will conform our disclosure to comply with the guidance contained in ASU 2014-15.</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0" w:name="page141"/>
    <w:bookmarkEnd w:id="140"/>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follow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92" w:lineRule="exact"/>
        <w:rPr>
          <w:sz w:val="20"/>
          <w:szCs w:val="20"/>
          <w:color w:val="auto"/>
        </w:rPr>
      </w:pPr>
    </w:p>
    <w:p>
      <w:pPr>
        <w:ind w:left="960" w:hanging="286"/>
        <w:spacing w:after="0" w:line="277"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(unadjusted) in active markets that are accessible at the measurement date for assets or liabilities.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hierarchy gives the highest priority to Level 1 inputs.</w:t>
      </w:r>
    </w:p>
    <w:p>
      <w:pPr>
        <w:spacing w:after="0" w:line="197" w:lineRule="exact"/>
        <w:rPr>
          <w:rFonts w:ascii="Arial" w:cs="Arial" w:eastAsia="Arial" w:hAnsi="Arial"/>
          <w:sz w:val="18"/>
          <w:szCs w:val="18"/>
          <w:color w:val="auto"/>
        </w:rPr>
      </w:pPr>
    </w:p>
    <w:p>
      <w:pPr>
        <w:jc w:val="both"/>
        <w:ind w:left="960" w:hanging="286"/>
        <w:spacing w:after="0" w:line="264"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 liabilities;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markets that are not active; or other inputs that are observable or can be corroborated by observable market data for substantially the full term of the assets or liabilities.</w:t>
      </w:r>
    </w:p>
    <w:p>
      <w:pPr>
        <w:spacing w:after="0" w:line="208" w:lineRule="exact"/>
        <w:rPr>
          <w:rFonts w:ascii="Arial" w:cs="Arial" w:eastAsia="Arial" w:hAnsi="Arial"/>
          <w:sz w:val="18"/>
          <w:szCs w:val="18"/>
          <w:color w:val="auto"/>
        </w:rPr>
      </w:pPr>
    </w:p>
    <w:p>
      <w:pPr>
        <w:jc w:val="both"/>
        <w:ind w:left="960" w:hanging="286"/>
        <w:spacing w:after="0" w:line="264"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w:t>
      </w:r>
      <w:r>
        <w:rPr>
          <w:rFonts w:ascii="Arial" w:cs="Arial" w:eastAsia="Arial" w:hAnsi="Arial"/>
          <w:sz w:val="18"/>
          <w:szCs w:val="18"/>
          <w:i w:val="1"/>
          <w:iCs w:val="1"/>
          <w:color w:val="auto"/>
        </w:rPr>
        <w:t xml:space="preserve">i.e., </w:t>
      </w:r>
      <w:r>
        <w:rPr>
          <w:rFonts w:ascii="Arial" w:cs="Arial" w:eastAsia="Arial" w:hAnsi="Arial"/>
          <w:sz w:val="18"/>
          <w:szCs w:val="18"/>
          <w:color w:val="auto"/>
        </w:rPr>
        <w:t>inputs that reflect the reporting entity’s own assumptions about the assumptions that market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would use in estimating the fair value of an asset or liability) are used when little or no market data is available. The fair value hierarchy gives the lowest priority to Level 3 inputs.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1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do not use derivative instruments for hedging of market risks or for trading or speculative purposes. In conjunction with the Senior Secured Convertible Promissory Notes issued to Platinum between October 2012 and July 2013 and the related Platinum Warrants (see Note 8, </w:t>
      </w:r>
      <w:r>
        <w:rPr>
          <w:rFonts w:ascii="Arial" w:cs="Arial" w:eastAsia="Arial" w:hAnsi="Arial"/>
          <w:sz w:val="16"/>
          <w:szCs w:val="16"/>
          <w:i w:val="1"/>
          <w:iCs w:val="1"/>
          <w:color w:val="auto"/>
        </w:rPr>
        <w:t>Convertible Promissory Notes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Notes Payable</w:t>
      </w:r>
      <w:r>
        <w:rPr>
          <w:rFonts w:ascii="Arial" w:cs="Arial" w:eastAsia="Arial" w:hAnsi="Arial"/>
          <w:sz w:val="16"/>
          <w:szCs w:val="16"/>
          <w:color w:val="auto"/>
        </w:rPr>
        <w:t>), and the contingently issuable Series A Exchange Warrant (see Note 9,</w:t>
      </w:r>
      <w:r>
        <w:rPr>
          <w:rFonts w:ascii="Arial" w:cs="Arial" w:eastAsia="Arial" w:hAnsi="Arial"/>
          <w:sz w:val="16"/>
          <w:szCs w:val="16"/>
          <w:i w:val="1"/>
          <w:iCs w:val="1"/>
          <w:color w:val="auto"/>
        </w:rPr>
        <w:t xml:space="preserve"> Capital Stock</w:t>
      </w:r>
      <w:r>
        <w:rPr>
          <w:rFonts w:ascii="Arial" w:cs="Arial" w:eastAsia="Arial" w:hAnsi="Arial"/>
          <w:sz w:val="16"/>
          <w:szCs w:val="16"/>
          <w:color w:val="auto"/>
        </w:rPr>
        <w:t>), we determined that the warrants included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adjustment features requiring the warrants to be treated as liabilities, which were recorded at their issuance-date estimated fair values. We determined the fair value of the warrant liabilities using a Monte Carlo simulation model with Level 3 inputs. Inputs used to determine fair value include the remaining contractual term of the notes,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have been recognized as non-cash income or expense in the Consolidated Statements of Operations and Comprehensive Loss for the fiscal years ended March 31, 2015 and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for liabilities measured at fair value on a recurring basis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gridSpan w:val="10"/>
          </w:tcPr>
          <w:p>
            <w:pPr>
              <w:jc w:val="center"/>
              <w:ind w:right="100"/>
              <w:spacing w:after="0"/>
              <w:rPr>
                <w:sz w:val="20"/>
                <w:szCs w:val="20"/>
                <w:color w:val="auto"/>
              </w:rPr>
            </w:pPr>
            <w:r>
              <w:rPr>
                <w:rFonts w:ascii="Arial" w:cs="Arial" w:eastAsia="Arial" w:hAnsi="Arial"/>
                <w:sz w:val="18"/>
                <w:szCs w:val="18"/>
                <w:b w:val="1"/>
                <w:bCs w:val="1"/>
                <w:color w:val="auto"/>
                <w:w w:val="91"/>
              </w:rPr>
              <w:t>Fair Value Measurements at Reporting Date</w:t>
            </w:r>
          </w:p>
        </w:tc>
      </w:tr>
      <w:tr>
        <w:trPr>
          <w:trHeight w:val="241"/>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87"/>
              </w:rPr>
              <w:t>Using</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Quoted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87"/>
              </w:rPr>
              <w:t>Prices in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8"/>
              </w:rPr>
              <w:t>Active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Significant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Markets for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Identical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Observable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left="10"/>
              <w:spacing w:after="0"/>
              <w:rPr>
                <w:sz w:val="20"/>
                <w:szCs w:val="20"/>
                <w:color w:val="auto"/>
              </w:rPr>
            </w:pPr>
            <w:r>
              <w:rPr>
                <w:rFonts w:ascii="Arial" w:cs="Arial" w:eastAsia="Arial" w:hAnsi="Arial"/>
                <w:sz w:val="18"/>
                <w:szCs w:val="18"/>
                <w:b w:val="1"/>
                <w:bCs w:val="1"/>
                <w:color w:val="auto"/>
                <w:w w:val="92"/>
              </w:rPr>
              <w:t>Inputs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r>
      <w:tr>
        <w:trPr>
          <w:trHeight w:val="241"/>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3)</w:t>
            </w: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color w:val="auto"/>
              </w:rPr>
              <w:t>March 31, 2015:</w:t>
            </w:r>
          </w:p>
        </w:tc>
        <w:tc>
          <w:tcPr>
            <w:tcW w:w="25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2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3,008,500</w:t>
            </w:r>
          </w:p>
        </w:tc>
        <w:tc>
          <w:tcPr>
            <w:tcW w:w="11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3,008,500</w:t>
            </w: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March 31, 2014:</w:t>
            </w:r>
          </w:p>
        </w:tc>
        <w:tc>
          <w:tcPr>
            <w:tcW w:w="25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2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2,973,900</w:t>
            </w:r>
          </w:p>
        </w:tc>
        <w:tc>
          <w:tcPr>
            <w:tcW w:w="11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2,973,900</w:t>
            </w:r>
          </w:p>
        </w:tc>
      </w:tr>
      <w:tr>
        <w:trPr>
          <w:trHeight w:val="601"/>
        </w:trPr>
        <w:tc>
          <w:tcPr>
            <w:tcW w:w="20" w:type="dxa"/>
            <w:vAlign w:val="bottom"/>
          </w:tcPr>
          <w:p>
            <w:pPr>
              <w:spacing w:after="0"/>
              <w:rPr>
                <w:sz w:val="24"/>
                <w:szCs w:val="24"/>
                <w:color w:val="auto"/>
              </w:rPr>
            </w:pPr>
          </w:p>
        </w:tc>
        <w:tc>
          <w:tcPr>
            <w:tcW w:w="3520" w:type="dxa"/>
            <w:vAlign w:val="bottom"/>
            <w:tcBorders>
              <w:top w:val="single" w:sz="8" w:color="CCEEFF"/>
            </w:tcBorders>
          </w:tcPr>
          <w:p>
            <w:pPr>
              <w:spacing w:after="0"/>
              <w:rPr>
                <w:sz w:val="24"/>
                <w:szCs w:val="24"/>
                <w:color w:val="auto"/>
              </w:rPr>
            </w:pPr>
          </w:p>
        </w:tc>
        <w:tc>
          <w:tcPr>
            <w:tcW w:w="2540" w:type="dxa"/>
            <w:vAlign w:val="bottom"/>
            <w:tcBorders>
              <w:top w:val="single" w:sz="8" w:color="CCEEFF"/>
            </w:tcBorders>
          </w:tcPr>
          <w:p>
            <w:pPr>
              <w:ind w:left="2000"/>
              <w:spacing w:after="0"/>
              <w:rPr>
                <w:sz w:val="20"/>
                <w:szCs w:val="20"/>
                <w:color w:val="auto"/>
              </w:rPr>
            </w:pPr>
            <w:r>
              <w:rPr>
                <w:rFonts w:ascii="Arial" w:cs="Arial" w:eastAsia="Arial" w:hAnsi="Arial"/>
                <w:sz w:val="18"/>
                <w:szCs w:val="18"/>
                <w:color w:val="auto"/>
              </w:rPr>
              <w:t>F-16</w:t>
            </w: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25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1" w:name="page142"/>
    <w:bookmarkEnd w:id="141"/>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fiscal years ended March 31, 2015 and 2014, there were no significant changes to the valuation models used for purposes of determining the fair value of the Level 3 warrant liability.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gridSpan w:val="2"/>
          </w:tcPr>
          <w:p>
            <w:pPr>
              <w:spacing w:after="0"/>
              <w:rPr>
                <w:sz w:val="20"/>
                <w:szCs w:val="20"/>
                <w:color w:val="auto"/>
              </w:rPr>
            </w:pPr>
            <w:r>
              <w:rPr>
                <w:rFonts w:ascii="Arial" w:cs="Arial" w:eastAsia="Arial" w:hAnsi="Arial"/>
                <w:sz w:val="18"/>
                <w:szCs w:val="18"/>
                <w:color w:val="auto"/>
              </w:rPr>
              <w:t>The changes in Level 3 liabilities measured at fair value on a recurring basis are as follows: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Measurements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Using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(Level 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9"/>
              </w:rPr>
              <w:t>Warrant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warrant liability upon issuance of Senior Secured Convertible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Promissory Note and warrant to Platinum on July 26, 2013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Mark to market gain included in net loss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(3,566,900)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Balance at March 31, 2014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2,973,900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Mark to market loss included in net loss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described in Note 16, </w:t>
      </w:r>
      <w:r>
        <w:rPr>
          <w:rFonts w:ascii="Arial" w:cs="Arial" w:eastAsia="Arial" w:hAnsi="Arial"/>
          <w:sz w:val="18"/>
          <w:szCs w:val="18"/>
          <w:i w:val="1"/>
          <w:iCs w:val="1"/>
          <w:color w:val="auto"/>
        </w:rPr>
        <w:t>Subsequent Events</w:t>
      </w:r>
      <w:r>
        <w:rPr>
          <w:rFonts w:ascii="Arial" w:cs="Arial" w:eastAsia="Arial" w:hAnsi="Arial"/>
          <w:sz w:val="18"/>
          <w:szCs w:val="18"/>
          <w:color w:val="auto"/>
        </w:rPr>
        <w:t>, during May 2015, we entered into an agreement with Platinum pursuant to which Platinum agreed to amend the Platinum Warrants and the Series A Exchange Warrant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 assets or other liabilities were measured on a recurring basis at fair value at March 31, 2015 or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5. Prepaid Expenses and Other Current Assets</w:t>
            </w: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160" w:type="dxa"/>
            <w:vAlign w:val="bottom"/>
          </w:tcPr>
          <w:p>
            <w:pPr>
              <w:spacing w:after="0"/>
              <w:rPr>
                <w:sz w:val="20"/>
                <w:szCs w:val="20"/>
                <w:color w:val="auto"/>
              </w:rPr>
            </w:pPr>
            <w:r>
              <w:rPr>
                <w:rFonts w:ascii="Arial" w:cs="Arial" w:eastAsia="Arial" w:hAnsi="Arial"/>
                <w:sz w:val="18"/>
                <w:szCs w:val="18"/>
                <w:color w:val="auto"/>
                <w:w w:val="96"/>
              </w:rPr>
              <w:t>Prepaid expenses and other current assets consist of the following:</w:t>
            </w:r>
          </w:p>
        </w:tc>
        <w:tc>
          <w:tcPr>
            <w:tcW w:w="3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5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1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19"/>
                <w:szCs w:val="19"/>
                <w:color w:val="auto"/>
              </w:rPr>
            </w:pPr>
          </w:p>
        </w:tc>
      </w:tr>
      <w:tr>
        <w:trPr>
          <w:trHeight w:val="216"/>
        </w:trPr>
        <w:tc>
          <w:tcPr>
            <w:tcW w:w="5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Insurance</w:t>
            </w:r>
          </w:p>
        </w:tc>
        <w:tc>
          <w:tcPr>
            <w:tcW w:w="3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21,800</w:t>
            </w:r>
          </w:p>
        </w:tc>
      </w:tr>
      <w:tr>
        <w:trPr>
          <w:trHeight w:val="216"/>
        </w:trPr>
        <w:tc>
          <w:tcPr>
            <w:tcW w:w="5160" w:type="dxa"/>
            <w:vAlign w:val="bottom"/>
          </w:tcPr>
          <w:p>
            <w:pPr>
              <w:ind w:left="60"/>
              <w:spacing w:after="0"/>
              <w:rPr>
                <w:sz w:val="20"/>
                <w:szCs w:val="20"/>
                <w:color w:val="auto"/>
              </w:rPr>
            </w:pPr>
            <w:r>
              <w:rPr>
                <w:rFonts w:ascii="Arial" w:cs="Arial" w:eastAsia="Arial" w:hAnsi="Arial"/>
                <w:sz w:val="18"/>
                <w:szCs w:val="18"/>
                <w:color w:val="auto"/>
              </w:rPr>
              <w:t>Legal fees</w:t>
            </w: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3,400</w:t>
            </w:r>
          </w:p>
        </w:tc>
      </w:tr>
      <w:tr>
        <w:trPr>
          <w:trHeight w:val="216"/>
        </w:trPr>
        <w:tc>
          <w:tcPr>
            <w:tcW w:w="5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Interest receivable on note receivable from sale</w:t>
            </w:r>
          </w:p>
        </w:tc>
        <w:tc>
          <w:tcPr>
            <w:tcW w:w="3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of common stock</w:t>
            </w: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2,800</w:t>
            </w:r>
          </w:p>
        </w:tc>
      </w:tr>
      <w:tr>
        <w:trPr>
          <w:trHeight w:val="22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Technology license fees and all other</w:t>
            </w:r>
          </w:p>
        </w:tc>
        <w:tc>
          <w:tcPr>
            <w:tcW w:w="3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r>
      <w:tr>
        <w:trPr>
          <w:trHeight w:val="216"/>
        </w:trPr>
        <w:tc>
          <w:tcPr>
            <w:tcW w:w="5160" w:type="dxa"/>
            <w:vAlign w:val="bottom"/>
            <w:tcBorders>
              <w:top w:val="single" w:sz="8" w:color="CCEEFF"/>
            </w:tcBorders>
          </w:tcPr>
          <w:p>
            <w:pPr>
              <w:spacing w:after="0"/>
              <w:rPr>
                <w:sz w:val="18"/>
                <w:szCs w:val="18"/>
                <w:color w:val="auto"/>
              </w:rPr>
            </w:pPr>
          </w:p>
        </w:tc>
        <w:tc>
          <w:tcPr>
            <w:tcW w:w="3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160" w:type="dxa"/>
            <w:vAlign w:val="bottom"/>
            <w:shd w:val="clear" w:color="auto" w:fill="CCEEFF"/>
          </w:tcPr>
          <w:p>
            <w:pPr>
              <w:spacing w:after="0"/>
              <w:rPr>
                <w:sz w:val="22"/>
                <w:szCs w:val="22"/>
                <w:color w:val="auto"/>
              </w:rPr>
            </w:pPr>
          </w:p>
        </w:tc>
        <w:tc>
          <w:tcPr>
            <w:tcW w:w="3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40,500</w:t>
            </w:r>
          </w:p>
        </w:tc>
      </w:tr>
      <w:tr>
        <w:trPr>
          <w:trHeight w:val="601"/>
        </w:trPr>
        <w:tc>
          <w:tcPr>
            <w:tcW w:w="5160" w:type="dxa"/>
            <w:vAlign w:val="bottom"/>
            <w:tcBorders>
              <w:top w:val="single" w:sz="8" w:color="CCEEFF"/>
            </w:tcBorders>
          </w:tcPr>
          <w:p>
            <w:pPr>
              <w:spacing w:after="0"/>
              <w:rPr>
                <w:sz w:val="24"/>
                <w:szCs w:val="24"/>
                <w:color w:val="auto"/>
              </w:rPr>
            </w:pPr>
          </w:p>
        </w:tc>
        <w:tc>
          <w:tcPr>
            <w:tcW w:w="3660" w:type="dxa"/>
            <w:vAlign w:val="bottom"/>
            <w:tcBorders>
              <w:top w:val="single" w:sz="8" w:color="CCEEFF"/>
            </w:tcBorders>
          </w:tcPr>
          <w:p>
            <w:pPr>
              <w:ind w:left="380"/>
              <w:spacing w:after="0"/>
              <w:rPr>
                <w:sz w:val="20"/>
                <w:szCs w:val="20"/>
                <w:color w:val="auto"/>
              </w:rPr>
            </w:pPr>
            <w:r>
              <w:rPr>
                <w:rFonts w:ascii="Arial" w:cs="Arial" w:eastAsia="Arial" w:hAnsi="Arial"/>
                <w:sz w:val="18"/>
                <w:szCs w:val="18"/>
                <w:color w:val="auto"/>
              </w:rPr>
              <w:t>F-17</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5160" w:type="dxa"/>
            <w:vAlign w:val="bottom"/>
            <w:tcBorders>
              <w:bottom w:val="single" w:sz="8" w:color="808080"/>
            </w:tcBorders>
          </w:tcPr>
          <w:p>
            <w:pPr>
              <w:spacing w:after="0"/>
              <w:rPr>
                <w:sz w:val="10"/>
                <w:szCs w:val="10"/>
                <w:color w:val="auto"/>
              </w:rPr>
            </w:pPr>
          </w:p>
        </w:tc>
        <w:tc>
          <w:tcPr>
            <w:tcW w:w="36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84"/>
        </w:trPr>
        <w:tc>
          <w:tcPr>
            <w:tcW w:w="8440" w:type="dxa"/>
            <w:vAlign w:val="bottom"/>
            <w:gridSpan w:val="2"/>
          </w:tcPr>
          <w:p>
            <w:pPr>
              <w:spacing w:after="0"/>
              <w:rPr>
                <w:rFonts w:ascii="Arial" w:cs="Arial" w:eastAsia="Arial" w:hAnsi="Arial"/>
                <w:sz w:val="16"/>
                <w:szCs w:val="16"/>
                <w:i w:val="1"/>
                <w:iCs w:val="1"/>
                <w:color w:val="0000EE"/>
              </w:rPr>
            </w:pPr>
            <w:hyperlink w:anchor="page4">
              <w:r>
                <w:rPr>
                  <w:rFonts w:ascii="Arial" w:cs="Arial" w:eastAsia="Arial" w:hAnsi="Arial"/>
                  <w:sz w:val="16"/>
                  <w:szCs w:val="16"/>
                  <w:i w:val="1"/>
                  <w:iCs w:val="1"/>
                  <w:color w:val="0000EE"/>
                </w:rPr>
                <w:t>Table of Contents</w:t>
              </w:r>
            </w:hyperlink>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34"/>
        </w:trPr>
        <w:tc>
          <w:tcPr>
            <w:tcW w:w="1140" w:type="dxa"/>
            <w:vAlign w:val="bottom"/>
            <w:tcBorders>
              <w:top w:val="single" w:sz="8" w:color="0000EE"/>
            </w:tcBorders>
          </w:tcPr>
          <w:p>
            <w:pPr>
              <w:spacing w:after="0"/>
              <w:rPr>
                <w:sz w:val="24"/>
                <w:szCs w:val="24"/>
                <w:color w:val="auto"/>
              </w:rPr>
            </w:pPr>
          </w:p>
        </w:tc>
        <w:tc>
          <w:tcPr>
            <w:tcW w:w="7300" w:type="dxa"/>
            <w:vAlign w:val="bottom"/>
          </w:tcPr>
          <w:p>
            <w:pPr>
              <w:jc w:val="center"/>
              <w:ind w:left="1750"/>
              <w:spacing w:after="0"/>
              <w:rPr>
                <w:sz w:val="20"/>
                <w:szCs w:val="20"/>
                <w:color w:val="auto"/>
              </w:rPr>
            </w:pPr>
            <w:r>
              <w:rPr>
                <w:rFonts w:ascii="Arial" w:cs="Arial" w:eastAsia="Arial" w:hAnsi="Arial"/>
                <w:sz w:val="18"/>
                <w:szCs w:val="18"/>
                <w:b w:val="1"/>
                <w:bCs w:val="1"/>
                <w:color w:val="auto"/>
              </w:rPr>
              <w:t>VISTAGEN THERAPEUTICS, INC.</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7300" w:type="dxa"/>
            <w:vAlign w:val="bottom"/>
          </w:tcPr>
          <w:p>
            <w:pPr>
              <w:jc w:val="center"/>
              <w:ind w:left="1770"/>
              <w:spacing w:after="0"/>
              <w:rPr>
                <w:sz w:val="20"/>
                <w:szCs w:val="20"/>
                <w:color w:val="auto"/>
              </w:rPr>
            </w:pPr>
            <w:r>
              <w:rPr>
                <w:rFonts w:ascii="Arial" w:cs="Arial" w:eastAsia="Arial" w:hAnsi="Arial"/>
                <w:sz w:val="18"/>
                <w:szCs w:val="18"/>
                <w:b w:val="1"/>
                <w:bCs w:val="1"/>
                <w:color w:val="auto"/>
              </w:rPr>
              <w:t>NOTES TO CONSOLIDATED FINANCIAL STATEMENTS</w:t>
            </w: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6. Property and Equipment</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844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114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14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Laboratory equipment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653,600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653,600</w:t>
            </w:r>
          </w:p>
        </w:tc>
      </w:tr>
      <w:tr>
        <w:trPr>
          <w:trHeight w:val="216"/>
        </w:trPr>
        <w:tc>
          <w:tcPr>
            <w:tcW w:w="8440" w:type="dxa"/>
            <w:vAlign w:val="bottom"/>
            <w:gridSpan w:val="2"/>
          </w:tcPr>
          <w:p>
            <w:pPr>
              <w:ind w:left="40"/>
              <w:spacing w:after="0"/>
              <w:rPr>
                <w:sz w:val="20"/>
                <w:szCs w:val="20"/>
                <w:color w:val="auto"/>
              </w:rPr>
            </w:pPr>
            <w:r>
              <w:rPr>
                <w:rFonts w:ascii="Arial" w:cs="Arial" w:eastAsia="Arial" w:hAnsi="Arial"/>
                <w:sz w:val="18"/>
                <w:szCs w:val="18"/>
                <w:color w:val="auto"/>
              </w:rPr>
              <w:t>Tenant improvements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26,900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26,900</w:t>
            </w:r>
          </w:p>
        </w:tc>
      </w:tr>
      <w:tr>
        <w:trPr>
          <w:trHeight w:val="216"/>
        </w:trPr>
        <w:tc>
          <w:tcPr>
            <w:tcW w:w="8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Computers and network equipment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32,200</w:t>
            </w:r>
          </w:p>
        </w:tc>
      </w:tr>
      <w:tr>
        <w:trPr>
          <w:trHeight w:val="216"/>
        </w:trPr>
        <w:tc>
          <w:tcPr>
            <w:tcW w:w="8440" w:type="dxa"/>
            <w:vAlign w:val="bottom"/>
            <w:gridSpan w:val="2"/>
          </w:tcPr>
          <w:p>
            <w:pPr>
              <w:ind w:left="60"/>
              <w:spacing w:after="0"/>
              <w:rPr>
                <w:sz w:val="20"/>
                <w:szCs w:val="20"/>
                <w:color w:val="auto"/>
              </w:rPr>
            </w:pPr>
            <w:r>
              <w:rPr>
                <w:rFonts w:ascii="Arial" w:cs="Arial" w:eastAsia="Arial" w:hAnsi="Arial"/>
                <w:sz w:val="18"/>
                <w:szCs w:val="18"/>
                <w:color w:val="auto"/>
              </w:rPr>
              <w:t>Office furniture and equipment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69,500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69,500</w:t>
            </w:r>
          </w:p>
        </w:tc>
      </w:tr>
      <w:tr>
        <w:trPr>
          <w:trHeight w:val="27"/>
        </w:trPr>
        <w:tc>
          <w:tcPr>
            <w:tcW w:w="1140" w:type="dxa"/>
            <w:vAlign w:val="bottom"/>
          </w:tcPr>
          <w:p>
            <w:pPr>
              <w:spacing w:after="0"/>
              <w:rPr>
                <w:sz w:val="2"/>
                <w:szCs w:val="2"/>
                <w:color w:val="auto"/>
              </w:rPr>
            </w:pPr>
          </w:p>
        </w:tc>
        <w:tc>
          <w:tcPr>
            <w:tcW w:w="7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14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782,200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782,200</w:t>
            </w:r>
          </w:p>
        </w:tc>
      </w:tr>
      <w:tr>
        <w:trPr>
          <w:trHeight w:val="216"/>
        </w:trPr>
        <w:tc>
          <w:tcPr>
            <w:tcW w:w="114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(665,100)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(605,900)</w:t>
            </w:r>
          </w:p>
        </w:tc>
      </w:tr>
      <w:tr>
        <w:trPr>
          <w:trHeight w:val="216"/>
        </w:trPr>
        <w:tc>
          <w:tcPr>
            <w:tcW w:w="1140" w:type="dxa"/>
            <w:vAlign w:val="bottom"/>
            <w:tcBorders>
              <w:top w:val="single" w:sz="8" w:color="CCEEFF"/>
            </w:tcBorders>
          </w:tcPr>
          <w:p>
            <w:pPr>
              <w:spacing w:after="0"/>
              <w:rPr>
                <w:sz w:val="18"/>
                <w:szCs w:val="18"/>
                <w:color w:val="auto"/>
              </w:rPr>
            </w:pPr>
          </w:p>
        </w:tc>
        <w:tc>
          <w:tcPr>
            <w:tcW w:w="730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117,100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176,300</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73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connection with the issuance of Senior Secured Convertible Promissory Notes to Platinum beginning in October 2012, we entered into a Security Agreement with Platinum under which the repayment of all amounts due under the terms of the various Senior Secured Convertible Promissory Notes is secured by all of our assets, including our tangible and intangible personal property, licenses, patent licenses, trademarks and trademark licenses (see Note 8, </w:t>
      </w:r>
      <w:r>
        <w:rPr>
          <w:rFonts w:ascii="Arial" w:cs="Arial" w:eastAsia="Arial" w:hAnsi="Arial"/>
          <w:sz w:val="18"/>
          <w:szCs w:val="18"/>
          <w:i w:val="1"/>
          <w:iCs w:val="1"/>
          <w:color w:val="auto"/>
        </w:rPr>
        <w:t>Convertible Promissory Notes and Other Notes Payable</w:t>
      </w:r>
      <w:r>
        <w:rPr>
          <w:rFonts w:ascii="Arial" w:cs="Arial" w:eastAsia="Arial" w:hAnsi="Arial"/>
          <w:sz w:val="18"/>
          <w:szCs w:val="18"/>
          <w:color w:val="auto"/>
        </w:rPr>
        <w:t>). As described in Note 16,</w:t>
      </w:r>
      <w:r>
        <w:rPr>
          <w:rFonts w:ascii="Arial" w:cs="Arial" w:eastAsia="Arial" w:hAnsi="Arial"/>
          <w:sz w:val="18"/>
          <w:szCs w:val="18"/>
          <w:i w:val="1"/>
          <w:iCs w:val="1"/>
          <w:color w:val="auto"/>
        </w:rPr>
        <w:t xml:space="preserve"> Subsequent Events</w:t>
      </w:r>
      <w:r>
        <w:rPr>
          <w:rFonts w:ascii="Arial" w:cs="Arial" w:eastAsia="Arial" w:hAnsi="Arial"/>
          <w:sz w:val="18"/>
          <w:szCs w:val="18"/>
          <w:color w:val="auto"/>
        </w:rPr>
        <w:t>, during May 2015, we entered into an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Platinum pursuant to which Platinum converted all of the Senior Secured Convertible Promissory Notes it held into shares of our newly created Series B Preferred stock and terminated its security interests in our assets.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Arial" w:cs="Arial" w:eastAsia="Arial" w:hAnsi="Arial"/>
                <w:sz w:val="18"/>
                <w:szCs w:val="18"/>
                <w:b w:val="1"/>
                <w:bCs w:val="1"/>
                <w:color w:val="auto"/>
              </w:rPr>
              <w:t>7. Accrued Expenses</w:t>
            </w:r>
          </w:p>
        </w:tc>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3880" w:type="dxa"/>
            <w:vAlign w:val="bottom"/>
          </w:tcPr>
          <w:p>
            <w:pPr>
              <w:spacing w:after="0"/>
              <w:rPr>
                <w:sz w:val="20"/>
                <w:szCs w:val="20"/>
                <w:color w:val="auto"/>
              </w:rPr>
            </w:pPr>
            <w:r>
              <w:rPr>
                <w:rFonts w:ascii="Arial" w:cs="Arial" w:eastAsia="Arial" w:hAnsi="Arial"/>
                <w:sz w:val="18"/>
                <w:szCs w:val="18"/>
                <w:color w:val="auto"/>
              </w:rPr>
              <w:t>Accrued expenses consist of:</w:t>
            </w:r>
          </w:p>
        </w:tc>
        <w:tc>
          <w:tcPr>
            <w:tcW w:w="4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38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8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19"/>
                <w:szCs w:val="19"/>
                <w:color w:val="auto"/>
              </w:rPr>
            </w:pPr>
          </w:p>
        </w:tc>
      </w:tr>
      <w:tr>
        <w:trPr>
          <w:trHeight w:val="216"/>
        </w:trPr>
        <w:tc>
          <w:tcPr>
            <w:tcW w:w="38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professional services</w:t>
            </w:r>
          </w:p>
        </w:tc>
        <w:tc>
          <w:tcPr>
            <w:tcW w:w="5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213,800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135,700</w:t>
            </w:r>
          </w:p>
        </w:tc>
      </w:tr>
      <w:tr>
        <w:trPr>
          <w:trHeight w:val="216"/>
        </w:trPr>
        <w:tc>
          <w:tcPr>
            <w:tcW w:w="388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4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990,700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489,900</w:t>
            </w:r>
          </w:p>
        </w:tc>
      </w:tr>
      <w:tr>
        <w:trPr>
          <w:trHeight w:val="22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All other</w:t>
            </w:r>
          </w:p>
        </w:tc>
        <w:tc>
          <w:tcPr>
            <w:tcW w:w="4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80" w:type="dxa"/>
            <w:vAlign w:val="bottom"/>
            <w:tcBorders>
              <w:top w:val="single" w:sz="8" w:color="CCEEFF"/>
            </w:tcBorders>
          </w:tcPr>
          <w:p>
            <w:pPr>
              <w:spacing w:after="0"/>
              <w:rPr>
                <w:sz w:val="18"/>
                <w:szCs w:val="18"/>
                <w:color w:val="auto"/>
              </w:rPr>
            </w:pPr>
          </w:p>
        </w:tc>
        <w:tc>
          <w:tcPr>
            <w:tcW w:w="49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3880" w:type="dxa"/>
            <w:vAlign w:val="bottom"/>
            <w:shd w:val="clear" w:color="auto" w:fill="CCEEFF"/>
          </w:tcPr>
          <w:p>
            <w:pPr>
              <w:spacing w:after="0"/>
              <w:rPr>
                <w:sz w:val="22"/>
                <w:szCs w:val="22"/>
                <w:color w:val="auto"/>
              </w:rPr>
            </w:pPr>
          </w:p>
        </w:tc>
        <w:tc>
          <w:tcPr>
            <w:tcW w:w="5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1,206,500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625,600</w:t>
            </w:r>
          </w:p>
        </w:tc>
      </w:tr>
      <w:tr>
        <w:trPr>
          <w:trHeight w:val="844"/>
        </w:trPr>
        <w:tc>
          <w:tcPr>
            <w:tcW w:w="3880" w:type="dxa"/>
            <w:vAlign w:val="bottom"/>
            <w:tcBorders>
              <w:top w:val="single" w:sz="8" w:color="CCEEFF"/>
            </w:tcBorders>
          </w:tcPr>
          <w:p>
            <w:pPr>
              <w:spacing w:after="0"/>
              <w:rPr>
                <w:sz w:val="24"/>
                <w:szCs w:val="24"/>
                <w:color w:val="auto"/>
              </w:rPr>
            </w:pPr>
          </w:p>
        </w:tc>
        <w:tc>
          <w:tcPr>
            <w:tcW w:w="4940" w:type="dxa"/>
            <w:vAlign w:val="bottom"/>
            <w:tcBorders>
              <w:top w:val="single" w:sz="8" w:color="CCEEFF"/>
            </w:tcBorders>
          </w:tcPr>
          <w:p>
            <w:pPr>
              <w:ind w:left="1660"/>
              <w:spacing w:after="0"/>
              <w:rPr>
                <w:sz w:val="20"/>
                <w:szCs w:val="20"/>
                <w:color w:val="auto"/>
              </w:rPr>
            </w:pPr>
            <w:r>
              <w:rPr>
                <w:rFonts w:ascii="Arial" w:cs="Arial" w:eastAsia="Arial" w:hAnsi="Arial"/>
                <w:sz w:val="18"/>
                <w:szCs w:val="18"/>
                <w:color w:val="auto"/>
              </w:rPr>
              <w:t>F-18</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3880" w:type="dxa"/>
            <w:vAlign w:val="bottom"/>
            <w:tcBorders>
              <w:bottom w:val="single" w:sz="8" w:color="808080"/>
            </w:tcBorders>
          </w:tcPr>
          <w:p>
            <w:pPr>
              <w:spacing w:after="0"/>
              <w:rPr>
                <w:sz w:val="10"/>
                <w:szCs w:val="10"/>
                <w:color w:val="auto"/>
              </w:rPr>
            </w:pPr>
          </w:p>
        </w:tc>
        <w:tc>
          <w:tcPr>
            <w:tcW w:w="49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43" w:name="page144"/>
    <w:bookmarkEnd w:id="143"/>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Promissory Notes and Other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the Company’s convertible promissory notes and other notes payable: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93"/>
              </w:rPr>
              <w:t>March 31, 2015</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3"/>
              </w:rPr>
              <w:t>March 31, 2014</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Principal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00"/>
              <w:spacing w:after="0" w:line="201" w:lineRule="exact"/>
              <w:rPr>
                <w:sz w:val="20"/>
                <w:szCs w:val="20"/>
                <w:color w:val="auto"/>
              </w:rPr>
            </w:pPr>
            <w:r>
              <w:rPr>
                <w:rFonts w:ascii="Arial" w:cs="Arial" w:eastAsia="Arial" w:hAnsi="Arial"/>
                <w:sz w:val="18"/>
                <w:szCs w:val="18"/>
                <w:color w:val="auto"/>
                <w:w w:val="90"/>
              </w:rPr>
              <w:t>Accrued</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Principal</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320"/>
              <w:spacing w:after="0" w:line="201" w:lineRule="exact"/>
              <w:rPr>
                <w:sz w:val="20"/>
                <w:szCs w:val="20"/>
                <w:color w:val="auto"/>
              </w:rPr>
            </w:pPr>
            <w:r>
              <w:rPr>
                <w:rFonts w:ascii="Arial" w:cs="Arial" w:eastAsia="Arial" w:hAnsi="Arial"/>
                <w:sz w:val="18"/>
                <w:szCs w:val="18"/>
                <w:color w:val="auto"/>
                <w:w w:val="93"/>
              </w:rPr>
              <w:t>Accrued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Balance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Balance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Interest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2"/>
        </w:trPr>
        <w:tc>
          <w:tcPr>
            <w:tcW w:w="334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rPr>
              <w:t>Senior Secured 10% Convertible</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Promissory Notes issued to Platinum:</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2"/>
              </w:rPr>
              <w:t>Exchange Note issued on October 11,</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1,272,600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360,200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1,632,800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1,272,600</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203,400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480"/>
              <w:spacing w:after="0" w:line="201" w:lineRule="exact"/>
              <w:rPr>
                <w:sz w:val="20"/>
                <w:szCs w:val="20"/>
                <w:color w:val="auto"/>
              </w:rPr>
            </w:pPr>
            <w:r>
              <w:rPr>
                <w:rFonts w:ascii="Arial" w:cs="Arial" w:eastAsia="Arial" w:hAnsi="Arial"/>
                <w:sz w:val="18"/>
                <w:szCs w:val="18"/>
                <w:color w:val="auto"/>
                <w:w w:val="99"/>
              </w:rPr>
              <w:t>Investment Note issued on October</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11, 2012</w:t>
            </w: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141,500</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641,500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79,900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579,900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9"/>
              </w:rPr>
              <w:t>Investment Note issued on October</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19, 2012</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140,100</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640,100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480"/>
              <w:spacing w:after="0" w:line="201" w:lineRule="exact"/>
              <w:rPr>
                <w:sz w:val="20"/>
                <w:szCs w:val="20"/>
                <w:color w:val="auto"/>
              </w:rPr>
            </w:pPr>
            <w:r>
              <w:rPr>
                <w:rFonts w:ascii="Arial" w:cs="Arial" w:eastAsia="Arial" w:hAnsi="Arial"/>
                <w:sz w:val="18"/>
                <w:szCs w:val="18"/>
                <w:color w:val="auto"/>
                <w:w w:val="97"/>
              </w:rPr>
              <w:t>Investment Note issued on February</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22, 2013</w:t>
            </w: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59,100</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309,100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29,400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279,400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4"/>
              </w:rPr>
              <w:t>Investment Note issued on March 12,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172,600</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922,600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84,100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3,272,600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873,500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4,146,100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3,272,600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475,400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480"/>
              <w:spacing w:after="0" w:line="201" w:lineRule="exact"/>
              <w:rPr>
                <w:sz w:val="20"/>
                <w:szCs w:val="20"/>
                <w:color w:val="auto"/>
              </w:rPr>
            </w:pPr>
            <w:r>
              <w:rPr>
                <w:rFonts w:ascii="Arial" w:cs="Arial" w:eastAsia="Arial" w:hAnsi="Arial"/>
                <w:sz w:val="18"/>
                <w:szCs w:val="18"/>
                <w:color w:val="auto"/>
              </w:rPr>
              <w:t>Convertible promissory note issued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on July 26, 2013</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46,200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296,200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17,700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267,700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Senior notes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3,522,600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919,700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4,442,300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3,522,600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Aggregate note discount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(2,085,900)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(2,085,900)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660"/>
              <w:spacing w:after="0"/>
              <w:rPr>
                <w:sz w:val="20"/>
                <w:szCs w:val="20"/>
                <w:color w:val="auto"/>
              </w:rPr>
            </w:pPr>
            <w:r>
              <w:rPr>
                <w:rFonts w:ascii="Arial" w:cs="Arial" w:eastAsia="Arial" w:hAnsi="Arial"/>
                <w:sz w:val="18"/>
                <w:szCs w:val="18"/>
                <w:color w:val="auto"/>
              </w:rPr>
              <w:t>Net Senior notes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3,522,600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919,700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4,442,300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1,436,700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493,100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1,929,800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(3,272,600)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(873,500)</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(4,146,100)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Borders>
              <w:top w:val="single" w:sz="8" w:color="CCEEFF"/>
            </w:tcBorders>
          </w:tcPr>
          <w:p>
            <w:pPr>
              <w:ind w:left="660"/>
              <w:spacing w:after="0" w:line="201" w:lineRule="exact"/>
              <w:rPr>
                <w:sz w:val="20"/>
                <w:szCs w:val="20"/>
                <w:color w:val="auto"/>
              </w:rPr>
            </w:pPr>
            <w:r>
              <w:rPr>
                <w:rFonts w:ascii="Arial" w:cs="Arial" w:eastAsia="Arial" w:hAnsi="Arial"/>
                <w:sz w:val="18"/>
                <w:szCs w:val="18"/>
                <w:color w:val="auto"/>
                <w:w w:val="98"/>
              </w:rPr>
              <w:t>Senior notes - non-current portion</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and discount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250,000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46,200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296,200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1,436,700</w:t>
            </w:r>
          </w:p>
        </w:tc>
        <w:tc>
          <w:tcPr>
            <w:tcW w:w="120" w:type="dxa"/>
            <w:vAlign w:val="bottom"/>
          </w:tcPr>
          <w:p>
            <w:pPr>
              <w:spacing w:after="0"/>
              <w:rPr>
                <w:sz w:val="20"/>
                <w:szCs w:val="2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493,100</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1,929,800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b w:val="1"/>
                <w:bCs w:val="1"/>
                <w:i w:val="1"/>
                <w:iCs w:val="1"/>
                <w:color w:val="auto"/>
                <w:w w:val="95"/>
              </w:rPr>
              <w:t>10% Convertible Promissory Notes (Unit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Notes)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2013 Unit Notes, due 7/31/14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1,007,500</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480"/>
              <w:spacing w:after="0" w:line="201" w:lineRule="exact"/>
              <w:rPr>
                <w:sz w:val="20"/>
                <w:szCs w:val="20"/>
                <w:color w:val="auto"/>
              </w:rPr>
            </w:pPr>
            <w:r>
              <w:rPr>
                <w:rFonts w:ascii="Arial" w:cs="Arial" w:eastAsia="Arial" w:hAnsi="Arial"/>
                <w:sz w:val="18"/>
                <w:szCs w:val="18"/>
                <w:color w:val="auto"/>
                <w:w w:val="97"/>
              </w:rPr>
              <w:t>2014 Unit Notes, including amended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notes, due 3/31/15</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4,066,900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270,700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4,337,600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50,200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4,066,900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4,337,600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40"/>
              <w:spacing w:after="0"/>
              <w:rPr>
                <w:sz w:val="20"/>
                <w:szCs w:val="20"/>
                <w:color w:val="auto"/>
              </w:rPr>
            </w:pPr>
            <w:r>
              <w:rPr>
                <w:rFonts w:ascii="Arial" w:cs="Arial" w:eastAsia="Arial" w:hAnsi="Arial"/>
                <w:sz w:val="18"/>
                <w:szCs w:val="18"/>
                <w:color w:val="auto"/>
              </w:rPr>
              <w:t>Note discounts</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(697,400)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(697,400)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9"/>
              </w:rPr>
              <w:t>Net convertible notes (all current)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3,886,900</w:t>
            </w:r>
          </w:p>
        </w:tc>
        <w:tc>
          <w:tcPr>
            <w:tcW w:w="1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270,700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4,157,600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360,100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i w:val="1"/>
                <w:iCs w:val="1"/>
                <w:color w:val="auto"/>
              </w:rPr>
              <w:t>Notes Payable to unrelated parties: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7.5% Notes payable to service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providers for</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640"/>
              <w:spacing w:after="0" w:line="201" w:lineRule="exact"/>
              <w:rPr>
                <w:sz w:val="20"/>
                <w:szCs w:val="20"/>
                <w:color w:val="auto"/>
              </w:rPr>
            </w:pPr>
            <w:r>
              <w:rPr>
                <w:rFonts w:ascii="Arial" w:cs="Arial" w:eastAsia="Arial" w:hAnsi="Arial"/>
                <w:sz w:val="18"/>
                <w:szCs w:val="18"/>
                <w:color w:val="auto"/>
              </w:rPr>
              <w:t>accounts payable converted to</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Burr, Pilger, Mayer</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90,400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103,500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90,400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60"/>
              <w:spacing w:after="0"/>
              <w:rPr>
                <w:sz w:val="20"/>
                <w:szCs w:val="20"/>
                <w:color w:val="auto"/>
              </w:rPr>
            </w:pPr>
            <w:r>
              <w:rPr>
                <w:rFonts w:ascii="Arial" w:cs="Arial" w:eastAsia="Arial" w:hAnsi="Arial"/>
                <w:sz w:val="18"/>
                <w:szCs w:val="18"/>
                <w:color w:val="auto"/>
              </w:rPr>
              <w:t>Desjardins</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156,300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24,100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180,400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178,600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McCarthy Tetrault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319,700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46,000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365,700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360,900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860"/>
              <w:spacing w:after="0" w:line="201" w:lineRule="exact"/>
              <w:rPr>
                <w:sz w:val="20"/>
                <w:szCs w:val="20"/>
                <w:color w:val="auto"/>
              </w:rPr>
            </w:pPr>
            <w:r>
              <w:rPr>
                <w:rFonts w:ascii="Arial" w:cs="Arial" w:eastAsia="Arial" w:hAnsi="Arial"/>
                <w:sz w:val="18"/>
                <w:szCs w:val="18"/>
                <w:color w:val="auto"/>
              </w:rPr>
              <w:t>August 2012 Morrison &amp;</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Foerster Note A</w:t>
            </w:r>
          </w:p>
        </w:tc>
        <w:tc>
          <w:tcPr>
            <w:tcW w:w="1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918,200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193,200</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1,111,400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918,200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87,900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1,006,100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860"/>
              <w:spacing w:after="0" w:line="201" w:lineRule="exact"/>
              <w:rPr>
                <w:sz w:val="20"/>
                <w:szCs w:val="20"/>
                <w:color w:val="auto"/>
              </w:rPr>
            </w:pPr>
            <w:r>
              <w:rPr>
                <w:rFonts w:ascii="Arial" w:cs="Arial" w:eastAsia="Arial" w:hAnsi="Arial"/>
                <w:sz w:val="18"/>
                <w:szCs w:val="18"/>
                <w:color w:val="auto"/>
              </w:rPr>
              <w:t>August 2012 Morrison &amp;</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 xml:space="preserve">Foerster Note B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1,379,400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333,100</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1,712,500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1,379,400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195,200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60"/>
              <w:spacing w:after="0" w:line="216" w:lineRule="exact"/>
              <w:rPr>
                <w:sz w:val="20"/>
                <w:szCs w:val="20"/>
                <w:color w:val="auto"/>
              </w:rPr>
            </w:pPr>
            <w:r>
              <w:rPr>
                <w:rFonts w:ascii="Arial" w:cs="Arial" w:eastAsia="Arial" w:hAnsi="Arial"/>
                <w:sz w:val="18"/>
                <w:szCs w:val="18"/>
                <w:color w:val="auto"/>
              </w:rPr>
              <w:t xml:space="preserve">University Health Network </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549,500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101,800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651,300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549,500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60,600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610,100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4,124,800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389,400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000"/>
              <w:spacing w:after="0"/>
              <w:rPr>
                <w:sz w:val="20"/>
                <w:szCs w:val="20"/>
                <w:color w:val="auto"/>
              </w:rPr>
            </w:pPr>
            <w:r>
              <w:rPr>
                <w:rFonts w:ascii="Arial" w:cs="Arial" w:eastAsia="Arial" w:hAnsi="Arial"/>
                <w:sz w:val="18"/>
                <w:szCs w:val="18"/>
                <w:color w:val="auto"/>
              </w:rPr>
              <w:t>Note discount</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(474,500)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(474,500)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(848,100)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(848,100)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3,650,300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2,628,900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389,400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3,018,300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840"/>
              <w:spacing w:after="0"/>
              <w:rPr>
                <w:sz w:val="20"/>
                <w:szCs w:val="20"/>
                <w:color w:val="auto"/>
              </w:rPr>
            </w:pPr>
            <w:r>
              <w:rPr>
                <w:rFonts w:ascii="Arial" w:cs="Arial" w:eastAsia="Arial" w:hAnsi="Arial"/>
                <w:sz w:val="18"/>
                <w:szCs w:val="18"/>
                <w:color w:val="auto"/>
              </w:rPr>
              <w:t>less: current portion</w:t>
            </w:r>
          </w:p>
        </w:tc>
        <w:tc>
          <w:tcPr>
            <w:tcW w:w="1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(3,413,500)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(711,300)</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(4,124,800)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(1,130,100)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(133,600)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(1,263,700)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860"/>
              <w:spacing w:after="0" w:line="201" w:lineRule="exact"/>
              <w:rPr>
                <w:sz w:val="20"/>
                <w:szCs w:val="20"/>
                <w:color w:val="auto"/>
              </w:rPr>
            </w:pPr>
            <w:r>
              <w:rPr>
                <w:rFonts w:ascii="Arial" w:cs="Arial" w:eastAsia="Arial" w:hAnsi="Arial"/>
                <w:sz w:val="18"/>
                <w:szCs w:val="18"/>
                <w:color w:val="auto"/>
              </w:rPr>
              <w:t>non-current portion and</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discount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(474,500)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(474,500)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1,498,800</w:t>
            </w:r>
          </w:p>
        </w:tc>
        <w:tc>
          <w:tcPr>
            <w:tcW w:w="12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255,800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1,754,600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w w:val="99"/>
              </w:rPr>
              <w:t>5.75% and 10.25% Notes payable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 insurance</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640"/>
              <w:spacing w:after="0" w:line="201" w:lineRule="exact"/>
              <w:rPr>
                <w:sz w:val="20"/>
                <w:szCs w:val="20"/>
                <w:color w:val="auto"/>
              </w:rPr>
            </w:pPr>
            <w:r>
              <w:rPr>
                <w:rFonts w:ascii="Arial" w:cs="Arial" w:eastAsia="Arial" w:hAnsi="Arial"/>
                <w:sz w:val="18"/>
                <w:szCs w:val="18"/>
                <w:color w:val="auto"/>
              </w:rPr>
              <w:t>premium financing company</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5,800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5,800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4,900</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0" w:gutter="0" w:footer="0" w:header="0"/>
        </w:sectPr>
      </w:pPr>
    </w:p>
    <w:bookmarkStart w:id="144" w:name="page145"/>
    <w:bookmarkEnd w:id="1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ind w:left="560"/>
              <w:spacing w:after="0"/>
              <w:rPr>
                <w:sz w:val="20"/>
                <w:szCs w:val="20"/>
                <w:color w:val="auto"/>
              </w:rPr>
            </w:pPr>
            <w:r>
              <w:rPr>
                <w:rFonts w:ascii="Arial" w:cs="Arial" w:eastAsia="Arial" w:hAnsi="Arial"/>
                <w:sz w:val="18"/>
                <w:szCs w:val="18"/>
                <w:color w:val="auto"/>
              </w:rPr>
              <w:t>10% Notes payable to vendors for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accounts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payable converted to notes payable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378,300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429,800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119,400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4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(378,300)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(51,500)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(429,800)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(119,400)</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(34,700)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(154,100)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non-current portion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7.0% Note payable (August 2012)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84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(23,200)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(7,900)</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(31,100)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(15,800)</w:t>
            </w:r>
          </w:p>
        </w:tc>
        <w:tc>
          <w:tcPr>
            <w:tcW w:w="3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(3,800)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(19,600)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7.0% Notes payable - non-current</w:t>
            </w: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portion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720"/>
              <w:spacing w:after="0" w:line="201" w:lineRule="exact"/>
              <w:rPr>
                <w:sz w:val="20"/>
                <w:szCs w:val="20"/>
                <w:color w:val="auto"/>
              </w:rPr>
            </w:pPr>
            <w:r>
              <w:rPr>
                <w:rFonts w:ascii="Arial" w:cs="Arial" w:eastAsia="Arial" w:hAnsi="Arial"/>
                <w:sz w:val="18"/>
                <w:szCs w:val="18"/>
                <w:color w:val="auto"/>
              </w:rPr>
              <w:t>Total notes payable to unrelated</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parties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3,856,400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770,700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4,627,100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3,660,100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427,900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4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(3,820,800)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(770,700)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(4,591,500)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(1,270,200)</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(172,100)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(1,442,300)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non-current portion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2,389,900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255,800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2,645,700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840"/>
              <w:spacing w:after="0" w:line="201" w:lineRule="exact"/>
              <w:rPr>
                <w:sz w:val="20"/>
                <w:szCs w:val="20"/>
                <w:color w:val="auto"/>
              </w:rPr>
            </w:pPr>
            <w:r>
              <w:rPr>
                <w:rFonts w:ascii="Arial" w:cs="Arial" w:eastAsia="Arial" w:hAnsi="Arial"/>
                <w:sz w:val="18"/>
                <w:szCs w:val="18"/>
                <w:color w:val="auto"/>
                <w:w w:val="97"/>
              </w:rPr>
              <w:t>less: discount (current at March</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31, 2015)</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(848,100)</w:t>
            </w:r>
          </w:p>
        </w:tc>
        <w:tc>
          <w:tcPr>
            <w:tcW w:w="3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(848,100)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non-current portion</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35,600</w:t>
            </w:r>
          </w:p>
        </w:tc>
        <w:tc>
          <w:tcPr>
            <w:tcW w:w="1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35,600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1,541,800</w:t>
            </w:r>
          </w:p>
        </w:tc>
        <w:tc>
          <w:tcPr>
            <w:tcW w:w="2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255,800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1,797,600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320" w:type="dxa"/>
            <w:vAlign w:val="bottom"/>
            <w:tcBorders>
              <w:top w:val="single" w:sz="8" w:color="CCEEFF"/>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CCEEFF"/>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CCEEFF"/>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CCEEFF"/>
              <w:bottom w:val="single" w:sz="8" w:color="auto"/>
            </w:tcBorders>
          </w:tcPr>
          <w:p>
            <w:pPr>
              <w:spacing w:after="0"/>
              <w:rPr>
                <w:sz w:val="21"/>
                <w:szCs w:val="21"/>
                <w:color w:val="auto"/>
              </w:rPr>
            </w:pPr>
          </w:p>
        </w:tc>
        <w:tc>
          <w:tcPr>
            <w:tcW w:w="80" w:type="dxa"/>
            <w:vAlign w:val="bottom"/>
            <w:tcBorders>
              <w:top w:val="single" w:sz="8" w:color="CCEEFF"/>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CCEEFF"/>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CCEEFF"/>
              <w:bottom w:val="single" w:sz="8" w:color="auto"/>
            </w:tcBorders>
          </w:tcPr>
          <w:p>
            <w:pPr>
              <w:spacing w:after="0"/>
              <w:rPr>
                <w:sz w:val="21"/>
                <w:szCs w:val="21"/>
                <w:color w:val="auto"/>
              </w:rPr>
            </w:pPr>
          </w:p>
        </w:tc>
        <w:tc>
          <w:tcPr>
            <w:tcW w:w="80" w:type="dxa"/>
            <w:vAlign w:val="bottom"/>
            <w:tcBorders>
              <w:top w:val="single" w:sz="8" w:color="CCEEFF"/>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CCEEFF"/>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i w:val="1"/>
                <w:iCs w:val="1"/>
                <w:color w:val="auto"/>
              </w:rPr>
              <w:t>Notes payable to related parties: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October 2012 7.5% Note to Cato</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Holding Co.</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293,600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349,500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293,600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560"/>
              <w:spacing w:after="0" w:line="201" w:lineRule="exact"/>
              <w:rPr>
                <w:sz w:val="20"/>
                <w:szCs w:val="20"/>
                <w:color w:val="auto"/>
              </w:rPr>
            </w:pPr>
            <w:r>
              <w:rPr>
                <w:rFonts w:ascii="Arial" w:cs="Arial" w:eastAsia="Arial" w:hAnsi="Arial"/>
                <w:sz w:val="18"/>
                <w:szCs w:val="18"/>
                <w:color w:val="auto"/>
              </w:rPr>
              <w:t>October 2012 7.5% Note to Cato</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Research Ltd. </w:t>
            </w:r>
            <w:r>
              <w:rPr>
                <w:rFonts w:ascii="Arial" w:cs="Arial" w:eastAsia="Arial" w:hAnsi="Arial"/>
                <w:sz w:val="25"/>
                <w:szCs w:val="25"/>
                <w:color w:val="auto"/>
                <w:vertAlign w:val="superscript"/>
              </w:rPr>
              <w:t>(1)</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1,009,000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204,800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1,213,800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1,009,000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117,300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1,126,300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1,563,300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1,302,600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860"/>
              <w:spacing w:after="0"/>
              <w:rPr>
                <w:sz w:val="20"/>
                <w:szCs w:val="20"/>
                <w:color w:val="auto"/>
              </w:rPr>
            </w:pPr>
            <w:r>
              <w:rPr>
                <w:rFonts w:ascii="Arial" w:cs="Arial" w:eastAsia="Arial" w:hAnsi="Arial"/>
                <w:sz w:val="18"/>
                <w:szCs w:val="18"/>
                <w:color w:val="auto"/>
              </w:rPr>
              <w:t>Note discount</w:t>
            </w: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(54,500)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(54,500)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(103,200)</w:t>
            </w:r>
          </w:p>
        </w:tc>
        <w:tc>
          <w:tcPr>
            <w:tcW w:w="3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(103,200)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860"/>
              <w:spacing w:after="0" w:line="201" w:lineRule="exact"/>
              <w:rPr>
                <w:sz w:val="20"/>
                <w:szCs w:val="20"/>
                <w:color w:val="auto"/>
              </w:rPr>
            </w:pPr>
            <w:r>
              <w:rPr>
                <w:rFonts w:ascii="Arial" w:cs="Arial" w:eastAsia="Arial" w:hAnsi="Arial"/>
                <w:sz w:val="18"/>
                <w:szCs w:val="18"/>
                <w:color w:val="auto"/>
              </w:rPr>
              <w:t>Total notes payable to related</w:t>
            </w: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parties</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1,248,100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260,700</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1,508,800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1,199,400</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148,100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4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(1,248,100)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(260,700)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(1,508,800)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(259,600)</w:t>
            </w:r>
          </w:p>
        </w:tc>
        <w:tc>
          <w:tcPr>
            <w:tcW w:w="3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(30,800)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(290,400)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5"/>
              </w:rPr>
              <w:t>non-current portion and discount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939,800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117,300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1,057,100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20" w:type="dxa"/>
            <w:vAlign w:val="bottom"/>
            <w:tcBorders>
              <w:top w:val="single" w:sz="8" w:color="CCEEFF"/>
            </w:tcBorders>
          </w:tcPr>
          <w:p>
            <w:pPr>
              <w:ind w:left="640"/>
              <w:spacing w:after="0" w:line="206" w:lineRule="exact"/>
              <w:rPr>
                <w:sz w:val="20"/>
                <w:szCs w:val="20"/>
                <w:color w:val="auto"/>
              </w:rPr>
            </w:pPr>
            <w:r>
              <w:rPr>
                <w:rFonts w:ascii="Arial" w:cs="Arial" w:eastAsia="Arial" w:hAnsi="Arial"/>
                <w:sz w:val="18"/>
                <w:szCs w:val="18"/>
                <w:color w:val="auto"/>
              </w:rPr>
              <w:t>____________</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ind w:left="5540" w:right="4420" w:hanging="4884"/>
        <w:spacing w:after="0" w:line="691" w:lineRule="auto"/>
        <w:tabs>
          <w:tab w:leader="none" w:pos="844" w:val="left"/>
        </w:tabs>
        <w:numPr>
          <w:ilvl w:val="0"/>
          <w:numId w:val="82"/>
        </w:numPr>
        <w:rPr>
          <w:rFonts w:ascii="Arial" w:cs="Arial" w:eastAsia="Arial" w:hAnsi="Arial"/>
          <w:sz w:val="23"/>
          <w:szCs w:val="23"/>
          <w:color w:val="auto"/>
          <w:vertAlign w:val="superscript"/>
        </w:rPr>
      </w:pPr>
      <w:r>
        <w:rPr>
          <w:rFonts w:ascii="Arial" w:cs="Arial" w:eastAsia="Arial" w:hAnsi="Arial"/>
          <w:sz w:val="17"/>
          <w:szCs w:val="17"/>
          <w:color w:val="auto"/>
        </w:rPr>
        <w:t>Note and interest payable solely in restricted shares of the Company's common stock. 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Significant changes in our convertible promissory notes and other promissory notes during the fiscal years ended March 31, 2015 and 2014 are described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Notes Issued in Connection with 2014 Unit Private Placement</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As described more completely in the section entitled </w:t>
      </w:r>
      <w:r>
        <w:rPr>
          <w:rFonts w:ascii="Arial" w:cs="Arial" w:eastAsia="Arial" w:hAnsi="Arial"/>
          <w:sz w:val="16"/>
          <w:szCs w:val="16"/>
          <w:i w:val="1"/>
          <w:iCs w:val="1"/>
          <w:color w:val="auto"/>
        </w:rPr>
        <w:t>2014 Unit Private Placement</w:t>
      </w:r>
      <w:r>
        <w:rPr>
          <w:rFonts w:ascii="Arial" w:cs="Arial" w:eastAsia="Arial" w:hAnsi="Arial"/>
          <w:sz w:val="16"/>
          <w:szCs w:val="16"/>
          <w:color w:val="auto"/>
        </w:rPr>
        <w:t xml:space="preserve"> in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between late March 2014 and March 31, 2015, we issued to accredited investors 10% convertible notes (the </w:t>
      </w:r>
      <w:r>
        <w:rPr>
          <w:rFonts w:ascii="Arial" w:cs="Arial" w:eastAsia="Arial" w:hAnsi="Arial"/>
          <w:sz w:val="16"/>
          <w:szCs w:val="16"/>
          <w:i w:val="1"/>
          <w:iCs w:val="1"/>
          <w:color w:val="auto"/>
        </w:rPr>
        <w:t>2014Unit Notes</w:t>
      </w:r>
      <w:r>
        <w:rPr>
          <w:rFonts w:ascii="Arial" w:cs="Arial" w:eastAsia="Arial" w:hAnsi="Arial"/>
          <w:sz w:val="16"/>
          <w:szCs w:val="16"/>
          <w:color w:val="auto"/>
        </w:rPr>
        <w:t xml:space="preserve">) in the aggregate face amount of $3,113,500, including an aggregate face amount of $1,250,000 of such notes issued to Platinum and 2014 Unit Notes in the aggregate principal amount of $50,000 issued prior to March 31, 2014, in connection with our private placement offering of Units. (See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for information regarding additional notes issued in connection with the 2014 Unit Private Placement after March 31, 2015.) The 2014 Unit Notes mature on March 31, 2015 (</w:t>
      </w:r>
      <w:r>
        <w:rPr>
          <w:rFonts w:ascii="Arial" w:cs="Arial" w:eastAsia="Arial" w:hAnsi="Arial"/>
          <w:sz w:val="16"/>
          <w:szCs w:val="16"/>
          <w:i w:val="1"/>
          <w:iCs w:val="1"/>
          <w:color w:val="auto"/>
        </w:rPr>
        <w:t>Maturity</w:t>
      </w:r>
      <w:r>
        <w:rPr>
          <w:rFonts w:ascii="Arial" w:cs="Arial" w:eastAsia="Arial" w:hAnsi="Arial"/>
          <w:sz w:val="16"/>
          <w:szCs w:val="16"/>
          <w:color w:val="auto"/>
        </w:rPr>
        <w:t xml:space="preserve">) and the outstanding principal of the 2014 Unit Notes and their related accrued interest (the </w:t>
      </w:r>
      <w:r>
        <w:rPr>
          <w:rFonts w:ascii="Arial" w:cs="Arial" w:eastAsia="Arial" w:hAnsi="Arial"/>
          <w:sz w:val="16"/>
          <w:szCs w:val="16"/>
          <w:i w:val="1"/>
          <w:iCs w:val="1"/>
          <w:color w:val="auto"/>
        </w:rPr>
        <w:t>Outstanding Balance</w:t>
      </w:r>
      <w:r>
        <w:rPr>
          <w:rFonts w:ascii="Arial" w:cs="Arial" w:eastAsia="Arial" w:hAnsi="Arial"/>
          <w:sz w:val="16"/>
          <w:szCs w:val="16"/>
          <w:color w:val="auto"/>
        </w:rPr>
        <w:t xml:space="preserve">) is convertible into shares of our common stock at a conversion price of $10.00 per share at or prior to Maturity, at the option of the investor. In addition, upon our consummation of either (i) an equity or equity-based public financing registered with the SEC, or (ii) an equity or equity-based private placement, or series of private placements, not registered with the SEC, in either case resulting in gross cash proceeds to us of at least $10.0 million prior to Maturity (a </w:t>
      </w:r>
      <w:r>
        <w:rPr>
          <w:rFonts w:ascii="Arial" w:cs="Arial" w:eastAsia="Arial" w:hAnsi="Arial"/>
          <w:sz w:val="16"/>
          <w:szCs w:val="16"/>
          <w:i w:val="1"/>
          <w:iCs w:val="1"/>
          <w:color w:val="auto"/>
        </w:rPr>
        <w:t>Qualified Financing</w:t>
      </w:r>
      <w:r>
        <w:rPr>
          <w:rFonts w:ascii="Arial" w:cs="Arial" w:eastAsia="Arial" w:hAnsi="Arial"/>
          <w:sz w:val="16"/>
          <w:szCs w:val="16"/>
          <w:color w:val="auto"/>
        </w:rPr>
        <w:t xml:space="preserve">), the Outstanding Balance of the 2014 Unit Notes will automatically convert into securities substantially similar to those sold in the Qualified Financing, based on the following formula: (the Outstanding Balance as of the closing of the Qualified Financing) x 1.25 / (the per security price of the securities sold in the Qualified Financing). Under certain circumstances, the holders of the 2014 Unit Notes may request payment in cash in lieu of automatic conversion into the securities of the Qualified Financing. See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regarding the conversion of the Outstanding Balance of all of the 2014 Unit Notes pursuant to a private placement financing in May 2015.</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allocated the proceeds from the sale of the units to the 2014 Unit Notes, the common stock and the warrants comprising the units based on the relative fair value of the individual securities in the unit on the date of the unit sale. Based on the short-duration of the 2014 Unit Notes and their other terms, we determined that the fair value of the 2014 Unit Notes at the date of issuance was equal to their face value. Accordingly, we recorded an initial discount attributable to each 2014 Unit Note for an amount representing the difference between the face value of the 2014 Unit Note and its allocated relative value. Additionally, the 2014 Unit Notes contain an embedded conversion feature, most of which had an intrinsic value at the issuance date, which value we treated as an additional discount attributable to such 2014 Unit Notes, subject to limitations on the absolute amount of discount attributable to each 2014 Unit Note. We recorded a corresponding credit to additional paid-in capital, an equity account, attributable to the beneficial conversion feature. We amortize the aggregate discount attributable to the 2014 Unit Notes using the effective interest method over the respective term of each 2014 Unit Note. Because the discount on a 2014 Unit Note may be as great as 99% of its initial face value, and because we must amortize such discount over the period from issuance to maturity, which has generally been less than one year, or in the case of such notes issued after December 31, 2014, less than one calendar quarter, the calculated effective interest rate may be very high. Based on the amounts of their respective discounts and the term between issuance and maturity, the effective interest rates attributable to the 2014 Unit Notes range from approximately 38% to over 10,000%, with the weighted average effective interest rate in excess of 3,000%. During November 2014, we repaid the $10,000 face amount of a 2014 Unit Note issued in October 2014.</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Convertible Promissory Notes issued to Platinum</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and August 2012, we issued to Platinum senior secured convertible promissory notes in the aggregate principal amount of $1,250,000. Each note accrued interest at the rate of 10% per annum and was due and payable on July 2, 2015. The notes were each mandatorily convertible into securities that we might have issued in an equity, equity-based, or debt financing, or series of financings, subsequent to the issuance of the notes resulting in gross proceeds to us of at least $3,000,000, excluding any additional investment by Platinum.</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6" w:name="page147"/>
    <w:bookmarkEnd w:id="146"/>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11, 2012, we entered into a Note Exchange and Purchase Agreement (</w:t>
      </w:r>
      <w:r>
        <w:rPr>
          <w:rFonts w:ascii="Arial" w:cs="Arial" w:eastAsia="Arial" w:hAnsi="Arial"/>
          <w:sz w:val="17"/>
          <w:szCs w:val="17"/>
          <w:i w:val="1"/>
          <w:iCs w:val="1"/>
          <w:color w:val="auto"/>
        </w:rPr>
        <w:t>NEPA Agreement</w:t>
      </w:r>
      <w:r>
        <w:rPr>
          <w:rFonts w:ascii="Arial" w:cs="Arial" w:eastAsia="Arial" w:hAnsi="Arial"/>
          <w:sz w:val="17"/>
          <w:szCs w:val="17"/>
          <w:color w:val="auto"/>
        </w:rPr>
        <w:t xml:space="preserve">) with Platinum in which the senior secured notes issued in July 2012 and August 2012 and the related accrued interest, were consolidated into and exchanged for a single senior secured convertible note in the amount of $1,272,577 (the </w:t>
      </w:r>
      <w:r>
        <w:rPr>
          <w:rFonts w:ascii="Arial" w:cs="Arial" w:eastAsia="Arial" w:hAnsi="Arial"/>
          <w:sz w:val="17"/>
          <w:szCs w:val="17"/>
          <w:i w:val="1"/>
          <w:iCs w:val="1"/>
          <w:color w:val="auto"/>
        </w:rPr>
        <w:t>Exchange Note</w:t>
      </w:r>
      <w:r>
        <w:rPr>
          <w:rFonts w:ascii="Arial" w:cs="Arial" w:eastAsia="Arial" w:hAnsi="Arial"/>
          <w:sz w:val="17"/>
          <w:szCs w:val="17"/>
          <w:color w:val="auto"/>
        </w:rPr>
        <w:t xml:space="preserve">) and Platinum agreed to purchase four additional 10% senior secured convertible promissory notes in the aggregate principal amount of $2.0 million (the </w:t>
      </w:r>
      <w:r>
        <w:rPr>
          <w:rFonts w:ascii="Arial" w:cs="Arial" w:eastAsia="Arial" w:hAnsi="Arial"/>
          <w:sz w:val="17"/>
          <w:szCs w:val="17"/>
          <w:i w:val="1"/>
          <w:iCs w:val="1"/>
          <w:color w:val="auto"/>
        </w:rPr>
        <w:t>Investment Notes</w:t>
      </w:r>
      <w:r>
        <w:rPr>
          <w:rFonts w:ascii="Arial" w:cs="Arial" w:eastAsia="Arial" w:hAnsi="Arial"/>
          <w:sz w:val="17"/>
          <w:szCs w:val="17"/>
          <w:color w:val="auto"/>
        </w:rPr>
        <w:t>), issuable over four separate $500,000 tranches between October 2012 and December 2012. The NEPA Agreement was subsequently amended as to timing of subsequent note purchases, but between October 2012 and March 2013, we issued and Platinum purchased an aggregate of $2.0 million of Investment Notes. We also entered into a Security Agreement with Platinum to secure repayment of all obligations due and payable under the terms of the Exchange Note and the Investment Notes.</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Exchange Note and each Investment Note (together, </w:t>
      </w:r>
      <w:r>
        <w:rPr>
          <w:rFonts w:ascii="Arial" w:cs="Arial" w:eastAsia="Arial" w:hAnsi="Arial"/>
          <w:sz w:val="16"/>
          <w:szCs w:val="16"/>
          <w:i w:val="1"/>
          <w:iCs w:val="1"/>
          <w:color w:val="auto"/>
        </w:rPr>
        <w:t>SeniorNotes</w:t>
      </w:r>
      <w:r>
        <w:rPr>
          <w:rFonts w:ascii="Arial" w:cs="Arial" w:eastAsia="Arial" w:hAnsi="Arial"/>
          <w:sz w:val="16"/>
          <w:szCs w:val="16"/>
          <w:color w:val="auto"/>
        </w:rPr>
        <w:t xml:space="preserve">) accrue interest at a rate of 10% per annum and, subject to certain limitations and exceptions set forth in the Senior Notes, unless voluntarily converted earlier by Platinum, will be due and payable in restricted shares of our common stock on October 11, 2015, or three years following the date of issuance, as determined by the terms of the Investment Notes. Subject to certain terms and conditions, at maturity, all principal and accrued interest under the Senior Notes will be repaid through our issuance of restricted shares of our common stock to Platinum. Subject to certain potential adjustments set forth in the Senior Notes, the number of restricted shares of common stock issuable as payment in full for each of the Notes at maturity will be calculated by dividing the outstanding Senior Note balance plus accrued interest by $10.00 per share. Prior to maturity, the outstanding principal and any accrued interest on the Exchange Note and each of the Investment Notes is convertible, in whole or in part, at Platinum’s option into shares of our common stock at a conversion price of $10.00 per share, subject to certain adjustments. Refer to Note 16, </w:t>
      </w:r>
      <w:r>
        <w:rPr>
          <w:rFonts w:ascii="Arial" w:cs="Arial" w:eastAsia="Arial" w:hAnsi="Arial"/>
          <w:sz w:val="16"/>
          <w:szCs w:val="16"/>
          <w:i w:val="1"/>
          <w:iCs w:val="1"/>
          <w:color w:val="auto"/>
        </w:rPr>
        <w:t>Subsequent</w:t>
      </w:r>
      <w:r>
        <w:rPr>
          <w:rFonts w:ascii="Arial" w:cs="Arial" w:eastAsia="Arial" w:hAnsi="Arial"/>
          <w:sz w:val="16"/>
          <w:szCs w:val="16"/>
          <w:color w:val="auto"/>
        </w:rPr>
        <w:t xml:space="preserve"> </w:t>
      </w:r>
      <w:r>
        <w:rPr>
          <w:rFonts w:ascii="Arial" w:cs="Arial" w:eastAsia="Arial" w:hAnsi="Arial"/>
          <w:sz w:val="16"/>
          <w:szCs w:val="16"/>
          <w:i w:val="1"/>
          <w:iCs w:val="1"/>
          <w:color w:val="auto"/>
        </w:rPr>
        <w:t>Events</w:t>
      </w:r>
      <w:r>
        <w:rPr>
          <w:rFonts w:ascii="Arial" w:cs="Arial" w:eastAsia="Arial" w:hAnsi="Arial"/>
          <w:sz w:val="16"/>
          <w:szCs w:val="16"/>
          <w:color w:val="auto"/>
        </w:rPr>
        <w:t>, for information regarding the conversion of the Senior Notes and accrued interest into shares of Series B Preferred stock during May 2015.</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As additional consideration for the purchase of the Investment Notes, we issued to Platinum warrants to purchase an aggregate of 100,000 shares of our common stock, issuable in separate tranches together with each Investment Note. We issued four warrants to Platinum between October 2012 and March 2013 (each an </w:t>
      </w:r>
      <w:r>
        <w:rPr>
          <w:rFonts w:ascii="Arial" w:cs="Arial" w:eastAsia="Arial" w:hAnsi="Arial"/>
          <w:sz w:val="17"/>
          <w:szCs w:val="17"/>
          <w:i w:val="1"/>
          <w:iCs w:val="1"/>
          <w:color w:val="auto"/>
        </w:rPr>
        <w:t>Investment Warrant</w:t>
      </w:r>
      <w:r>
        <w:rPr>
          <w:rFonts w:ascii="Arial" w:cs="Arial" w:eastAsia="Arial" w:hAnsi="Arial"/>
          <w:sz w:val="17"/>
          <w:szCs w:val="17"/>
          <w:color w:val="auto"/>
        </w:rPr>
        <w:t>) to purchase an aggregate of 100,000 shares of our restricted common stock. Additionally, we issued Platinum a warrant to purchase 63,629 shares of our common stock in connection with the issuance of the Exchange Note (</w:t>
      </w:r>
      <w:r>
        <w:rPr>
          <w:rFonts w:ascii="Arial" w:cs="Arial" w:eastAsia="Arial" w:hAnsi="Arial"/>
          <w:sz w:val="17"/>
          <w:szCs w:val="17"/>
          <w:i w:val="1"/>
          <w:iCs w:val="1"/>
          <w:color w:val="auto"/>
        </w:rPr>
        <w:t>Exchange Warrant</w:t>
      </w:r>
      <w:r>
        <w:rPr>
          <w:rFonts w:ascii="Arial" w:cs="Arial" w:eastAsia="Arial" w:hAnsi="Arial"/>
          <w:sz w:val="17"/>
          <w:szCs w:val="17"/>
          <w:color w:val="auto"/>
        </w:rPr>
        <w:t>). At issuance, the Exchange Warrant and each Investment Warrant had a term of five-years and an exercise price of $30.00 per share, subject to certain adjustments. Effective on May 24, 2013, we entered into an Amendment and Waiver agreement with Platinum pursuant to which we agreed to reduce the exercise price of the Exchange Warrant and the Investment Warrants from $30.00 per share to $10.00 per share in consideration for Platinum’s agreement to waive its rights for any increase in the number of shares of common stock issuable under the adjustment provisions of the Exchange Warrant and the Investment Warrants that would otherwise occur from certain issuances and prospective issuances of our securities, including issuances pursuant to the prospective Autilion Financing and other private placement transactions, at a price of less than $30.00 per share.</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July 26, 2013, we issued an additional senior secured convertible promissory note in the principal amount of $250,000 to Platinum (</w:t>
      </w:r>
      <w:r>
        <w:rPr>
          <w:rFonts w:ascii="Arial" w:cs="Arial" w:eastAsia="Arial" w:hAnsi="Arial"/>
          <w:sz w:val="16"/>
          <w:szCs w:val="16"/>
          <w:i w:val="1"/>
          <w:iCs w:val="1"/>
          <w:color w:val="auto"/>
        </w:rPr>
        <w:t>July 2013 Note</w:t>
      </w:r>
      <w:r>
        <w:rPr>
          <w:rFonts w:ascii="Arial" w:cs="Arial" w:eastAsia="Arial" w:hAnsi="Arial"/>
          <w:sz w:val="16"/>
          <w:szCs w:val="16"/>
          <w:color w:val="auto"/>
        </w:rPr>
        <w:t>). The July 2013 Note matures on July 26, 2016 and is otherwise in the same form as the earlier Investment Notes, bearing interest at 10% per annum and being payable in restricted shares of our common stock and convertible, in whole or in part, at Platinum’s option into shares of our restricted common stock at a conversion price of $10.00 per share, subject to certain adjustments. The conversion feature in the July 2013 Note constituted a beneficial conversion feature at the date of issuance. As additional consideration for the purchase of the July 2013 Note, we also issued to Platinum a five-year warrant to purchase 12,500 shares of our restricted common stock at an exercise price of $10.00 per share (</w:t>
      </w:r>
      <w:r>
        <w:rPr>
          <w:rFonts w:ascii="Arial" w:cs="Arial" w:eastAsia="Arial" w:hAnsi="Arial"/>
          <w:sz w:val="16"/>
          <w:szCs w:val="16"/>
          <w:i w:val="1"/>
          <w:iCs w:val="1"/>
          <w:color w:val="auto"/>
        </w:rPr>
        <w:t>July 2013 Warrant</w:t>
      </w:r>
      <w:r>
        <w:rPr>
          <w:rFonts w:ascii="Arial" w:cs="Arial" w:eastAsia="Arial" w:hAnsi="Arial"/>
          <w:sz w:val="16"/>
          <w:szCs w:val="16"/>
          <w:color w:val="auto"/>
        </w:rPr>
        <w:t>). The fair value of the July 2013 Warrant was estimated to be $11.74 per share, or $146,800, at its issuance date using a Monte Carlo simulation model and the following assumptions: market price of common stock: $15.00 per share; exercise price: $10.00 per share; risk-free interest rate: 1.36%; volatility: 96.9%; term: 5.0 years; and dividend rate 0.0%. We recorded the fair value of the July 2013 Warrant at the date of issuance as a liability and as a corresponding discount to the July 2013 Note.</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conversion option embedded in the July 2013 Note resulted in a beneficial conversion feature having intrinsic value of $100,700 at issuance. We recorded the issuance-date intrinsic value of the beneficial conversion feature as an additional component of the discount attributable to the July 2013 Note. The aggregate discount attributable to the July 2013 Note was $247,500, resulting in an issuance date carrying value of $2,500. As with the Investment Notes, we amortize the aggregate discount attributable to each note using the effective interest method over the respective term of each note. Considering the amount of the discount and the term of the note, the effective interest rate of the July 2013 Note was determined to be 159%.</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7" w:name="page148"/>
    <w:bookmarkEnd w:id="147"/>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Subject to limited exceptions, the Exchange Warrant, each of the Investment Warrants and the July 2013 Warrant include certain exercise price reset and anti-dilution protection features in the event that we issue other securities during the five-year term of the warrants at a price less than $10.00 per share, as amended for the Exchange Warrant and the Investment Warrants. As a result of these provisions, the Exchange Warrant, the Investment Warrants and the July 2013 Warrant do not meet the criteria set forth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to be treated as equity instruments. Consequently, we initially recorded the Exchange Warrant, each of the Investment Warrants and the July 2013 Warrant as liabilities at their fair value and adjust them at the end of each reporting period. (See Note 4,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Conversion and Warrant Amendment Agreement with Platinum</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July 18, 2014, we entered into an Amended and Restated Note Conversion Agreement and Warrant Amendment with Platinum (</w:t>
      </w:r>
      <w:r>
        <w:rPr>
          <w:rFonts w:ascii="Arial" w:cs="Arial" w:eastAsia="Arial" w:hAnsi="Arial"/>
          <w:sz w:val="16"/>
          <w:szCs w:val="16"/>
          <w:i w:val="1"/>
          <w:iCs w:val="1"/>
          <w:color w:val="auto"/>
        </w:rPr>
        <w:t>Amendment</w:t>
      </w:r>
      <w:r>
        <w:rPr>
          <w:rFonts w:ascii="Arial" w:cs="Arial" w:eastAsia="Arial" w:hAnsi="Arial"/>
          <w:sz w:val="16"/>
          <w:szCs w:val="16"/>
          <w:color w:val="auto"/>
        </w:rPr>
        <w:t>), pursuant to which Platinum agreed to convert into our unregistered equity securities all Senior Secured Convertible Promissory Notes (</w:t>
      </w:r>
      <w:r>
        <w:rPr>
          <w:rFonts w:ascii="Arial" w:cs="Arial" w:eastAsia="Arial" w:hAnsi="Arial"/>
          <w:sz w:val="16"/>
          <w:szCs w:val="16"/>
          <w:i w:val="1"/>
          <w:iCs w:val="1"/>
          <w:color w:val="auto"/>
        </w:rPr>
        <w:t>Senior Notes</w:t>
      </w:r>
      <w:r>
        <w:rPr>
          <w:rFonts w:ascii="Arial" w:cs="Arial" w:eastAsia="Arial" w:hAnsi="Arial"/>
          <w:sz w:val="16"/>
          <w:szCs w:val="16"/>
          <w:color w:val="auto"/>
        </w:rPr>
        <w:t>) held by Platinum, including accrued but unpaid interest thereon (</w:t>
      </w:r>
      <w:r>
        <w:rPr>
          <w:rFonts w:ascii="Arial" w:cs="Arial" w:eastAsia="Arial" w:hAnsi="Arial"/>
          <w:sz w:val="16"/>
          <w:szCs w:val="16"/>
          <w:i w:val="1"/>
          <w:iCs w:val="1"/>
          <w:color w:val="auto"/>
        </w:rPr>
        <w:t>Outstanding Balance</w:t>
      </w:r>
      <w:r>
        <w:rPr>
          <w:rFonts w:ascii="Arial" w:cs="Arial" w:eastAsia="Arial" w:hAnsi="Arial"/>
          <w:sz w:val="16"/>
          <w:szCs w:val="16"/>
          <w:color w:val="auto"/>
        </w:rPr>
        <w:t>), in the aggregate amount of approximately $4.2 million at the date of the agreement, upon our consummation on or before August 31, 2014 (</w:t>
      </w:r>
      <w:r>
        <w:rPr>
          <w:rFonts w:ascii="Arial" w:cs="Arial" w:eastAsia="Arial" w:hAnsi="Arial"/>
          <w:sz w:val="16"/>
          <w:szCs w:val="16"/>
          <w:i w:val="1"/>
          <w:iCs w:val="1"/>
          <w:color w:val="auto"/>
        </w:rPr>
        <w:t>Closing Date</w:t>
      </w:r>
      <w:r>
        <w:rPr>
          <w:rFonts w:ascii="Arial" w:cs="Arial" w:eastAsia="Arial" w:hAnsi="Arial"/>
          <w:sz w:val="16"/>
          <w:szCs w:val="16"/>
          <w:color w:val="auto"/>
        </w:rPr>
        <w:t>), of either (i) a private equity financing resulting in aggregate gross proceeds of at least $36.0 million (</w:t>
      </w:r>
      <w:r>
        <w:rPr>
          <w:rFonts w:ascii="Arial" w:cs="Arial" w:eastAsia="Arial" w:hAnsi="Arial"/>
          <w:sz w:val="16"/>
          <w:szCs w:val="16"/>
          <w:i w:val="1"/>
          <w:iCs w:val="1"/>
          <w:color w:val="auto"/>
        </w:rPr>
        <w:t>Private Financing</w:t>
      </w:r>
      <w:r>
        <w:rPr>
          <w:rFonts w:ascii="Arial" w:cs="Arial" w:eastAsia="Arial" w:hAnsi="Arial"/>
          <w:sz w:val="16"/>
          <w:szCs w:val="16"/>
          <w:color w:val="auto"/>
        </w:rPr>
        <w:t>), or (ii) a public offering of our equity securities registered with the SEC resulting in gross proceeds of at least $10.0 million (</w:t>
      </w:r>
      <w:r>
        <w:rPr>
          <w:rFonts w:ascii="Arial" w:cs="Arial" w:eastAsia="Arial" w:hAnsi="Arial"/>
          <w:sz w:val="16"/>
          <w:szCs w:val="16"/>
          <w:i w:val="1"/>
          <w:iCs w:val="1"/>
          <w:color w:val="auto"/>
        </w:rPr>
        <w:t>Public Offering</w:t>
      </w:r>
      <w:r>
        <w:rPr>
          <w:rFonts w:ascii="Arial" w:cs="Arial" w:eastAsia="Arial" w:hAnsi="Arial"/>
          <w:sz w:val="16"/>
          <w:szCs w:val="16"/>
          <w:color w:val="auto"/>
        </w:rPr>
        <w:t xml:space="preserve">) (the Private Financing and Public Offering are referred to in this discussion as a </w:t>
      </w:r>
      <w:r>
        <w:rPr>
          <w:rFonts w:ascii="Arial" w:cs="Arial" w:eastAsia="Arial" w:hAnsi="Arial"/>
          <w:sz w:val="16"/>
          <w:szCs w:val="16"/>
          <w:i w:val="1"/>
          <w:iCs w:val="1"/>
          <w:color w:val="auto"/>
        </w:rPr>
        <w:t>Platinum Qualified Financing</w:t>
      </w:r>
      <w:r>
        <w:rPr>
          <w:rFonts w:ascii="Arial" w:cs="Arial" w:eastAsia="Arial" w:hAnsi="Arial"/>
          <w:sz w:val="16"/>
          <w:szCs w:val="16"/>
          <w:color w:val="auto"/>
        </w:rPr>
        <w:t>). In August and September 2014, we amended the Amendment to extend the Closing Date until October 31, 2014. Upon consummation of a Private Financing, the Senior Notes would have converted into that number of unregistered shares of our common stock equal to the Outstanding Balance on the Closing Date, divided by $10.00 per share. Upon consummation of a Public Offering, the Senior Notes would have converted into shares of a new class of Series B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at the lower of $10.00 per share or the lowest per-share price in the Public Offering.</w:t>
      </w:r>
    </w:p>
    <w:p>
      <w:pPr>
        <w:spacing w:after="0" w:line="19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Additionally, pursuant to the terms and conditions of the Amendment, in the event we had consummated a Platinum Qualified Financing on or before the Closing Date, the exercise price of the Platinum Warrants we have issued to Platinum in connection with the Senior Notes, and warrants that we may still issue pursuant to the Note Exchange and Purchase Agreement between us and Platinum, dated October 11, 2012 (</w:t>
      </w:r>
      <w:r>
        <w:rPr>
          <w:rFonts w:ascii="Arial" w:cs="Arial" w:eastAsia="Arial" w:hAnsi="Arial"/>
          <w:sz w:val="16"/>
          <w:szCs w:val="16"/>
          <w:i w:val="1"/>
          <w:iCs w:val="1"/>
          <w:color w:val="auto"/>
        </w:rPr>
        <w:t>NEPA</w:t>
      </w:r>
      <w:r>
        <w:rPr>
          <w:rFonts w:ascii="Arial" w:cs="Arial" w:eastAsia="Arial" w:hAnsi="Arial"/>
          <w:sz w:val="16"/>
          <w:szCs w:val="16"/>
          <w:color w:val="auto"/>
        </w:rPr>
        <w:t>), if any, would have been fixed at the lower of $10.00 per share or the purchase price of common stock sold in the Platinum Qualified Financing. Finally, the anti-dilutive provisions contained in the Platinum Warrants, other than typical adjustments for stock splits, combinations and dividends, would have been terminated as of the Closing Date.</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Through March 31, 2015, we did not request Platinum to extend the Closing Date of the Amendment or enter into any other agreement with Platinum regarding the conversion of the Senior Notes, fixing the exercise price of the Platinum Warrants or terminating the anti-dilution provisions of the Platinum Warrants. Refer to Note 16, </w:t>
      </w:r>
      <w:r>
        <w:rPr>
          <w:rFonts w:ascii="Arial" w:cs="Arial" w:eastAsia="Arial" w:hAnsi="Arial"/>
          <w:sz w:val="17"/>
          <w:szCs w:val="17"/>
          <w:i w:val="1"/>
          <w:iCs w:val="1"/>
          <w:color w:val="auto"/>
        </w:rPr>
        <w:t>Subsequent Events</w:t>
      </w:r>
      <w:r>
        <w:rPr>
          <w:rFonts w:ascii="Arial" w:cs="Arial" w:eastAsia="Arial" w:hAnsi="Arial"/>
          <w:sz w:val="17"/>
          <w:szCs w:val="17"/>
          <w:color w:val="auto"/>
        </w:rPr>
        <w:t>, regarding the conversion of the Senior Notes and accrued interest into shares of Series B Preferred stock and modifications made to the exercise price and anti-dilution provisions of the Platinum Warrants in May 2015.</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At the execution of the Amendment, we determined that the Amendment resulted in a modification of the Senior Notes that should be accounted for as an extinguishment of debt. Considering, among other factors, the cash flows and conversion features of the Senior Notes as modified by the Amendment, market interest rates for debt of similar quality and the relative probabilities of conversion of the Senior Notes into either shares of our common stock or Series B Preferred upon consummation of a Qualified Financing, we determined that the fair values of the Senior Notes at July 18, 2014, aggregating $6,475,000, represented a substantial premium over their aggregate $4,138,700 face values plus accrued interest. In accordance with the provisions of ASC 470-20, </w:t>
      </w:r>
      <w:r>
        <w:rPr>
          <w:rFonts w:ascii="Arial" w:cs="Arial" w:eastAsia="Arial" w:hAnsi="Arial"/>
          <w:sz w:val="16"/>
          <w:szCs w:val="16"/>
          <w:i w:val="1"/>
          <w:iCs w:val="1"/>
          <w:color w:val="auto"/>
        </w:rPr>
        <w:t>Debt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Conversion and Other Options, </w:t>
      </w:r>
      <w:r>
        <w:rPr>
          <w:rFonts w:ascii="Arial" w:cs="Arial" w:eastAsia="Arial" w:hAnsi="Arial"/>
          <w:sz w:val="16"/>
          <w:szCs w:val="16"/>
          <w:color w:val="auto"/>
        </w:rPr>
        <w:t>we recognized the premium in excess of the face value and accrued interest, $2,336,300, as a non-cash component of</w:t>
      </w:r>
      <w:r>
        <w:rPr>
          <w:rFonts w:ascii="Arial" w:cs="Arial" w:eastAsia="Arial" w:hAnsi="Arial"/>
          <w:sz w:val="16"/>
          <w:szCs w:val="16"/>
          <w:i w:val="1"/>
          <w:iCs w:val="1"/>
          <w:color w:val="auto"/>
        </w:rPr>
        <w:t xml:space="preserve"> </w:t>
      </w:r>
      <w:r>
        <w:rPr>
          <w:rFonts w:ascii="Arial" w:cs="Arial" w:eastAsia="Arial" w:hAnsi="Arial"/>
          <w:sz w:val="16"/>
          <w:szCs w:val="16"/>
          <w:color w:val="auto"/>
        </w:rPr>
        <w:t>loss on extinguishment of debt in the accompanying Condensed Consolidated Statements of Operations and Comprehensive (Loss) Income with a credit to additional paid-in capital, an equity account. Consequently, we recorded the liability for the Senior Notes at their face values plus accrued interest. We recognized the difference between the pre-modification carrying values of the notes and their face values, an aggregate of $1,983,700, as an additional non-cash charge to loss on extinguishment of debt in the accompanying Condensed Consolidated Statement of Operations and Comprehensive (Loss) Income. Certain of the Senior Notes contained a beneficial conversion feature at the time they were originally issued. We have accounted for the repurchase of the beneficial conversion feature at the time of the modification, an aggregate of $2,716,600, as a reduction to the loss on extinguishment of debt in the accompanying Condensed Consolidated Statements of Operations and Comprehensive (Loss) Income, with a corresponding reduction to additional paid-in capital. The net amount of the loss on extinguishment of debt related to the amendment of the Senior Notes recognized in the accompanying Condensed Consolidated Statements of Operations and Comprehensive (Loss) Income for the nine months ended December 31, 2014 is $1,603,400.</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48" w:name="page149"/>
    <w:bookmarkEnd w:id="148"/>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date of its issuance, we recorded the fair value of the Exchange Warrant as a liability and as a corresponding charge to loss on early extinguishment of debt. We recorded the fair value of each Investment Warrant and the July 2013 Warrant at the date of issuance as a liability and as a corresponding discount to the related note. Subject to limitations of the absolute amount of discount attributable to each Investment Note and the July 2013 Note, we treated the issuance-date intrinsic value of the beneficial conversion feature embedded in each Investment Note and the July 2013 Note as an additional component of the discount attributable to such note and recorded a corresponding discount attributable to the beneficial conversion feature for each note. Prior to the Amendment, at which time the remaining unamortized discount was written off in our determination of the loss on extinguishment of debt, we had amortized the aggregate discount attributable to each of the Investment Notes and the July 2013 Note using the effective interest method over the respective term of each note. The effective interest rate of the Exchange Note was 10.0% at inception and the effective interest rate at inception for each of the Investment Notes and the July 2013 Note was 159.1% .</w:t>
      </w: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re-measure the fair value of the Exchange Warrant, the Investment Warrants and the July 2013 Warrant (collectively, the </w:t>
      </w:r>
      <w:r>
        <w:rPr>
          <w:rFonts w:ascii="Arial" w:cs="Arial" w:eastAsia="Arial" w:hAnsi="Arial"/>
          <w:sz w:val="17"/>
          <w:szCs w:val="17"/>
          <w:i w:val="1"/>
          <w:iCs w:val="1"/>
          <w:color w:val="auto"/>
        </w:rPr>
        <w:t>Platinum Warrants</w:t>
      </w:r>
      <w:r>
        <w:rPr>
          <w:rFonts w:ascii="Arial" w:cs="Arial" w:eastAsia="Arial" w:hAnsi="Arial"/>
          <w:sz w:val="17"/>
          <w:szCs w:val="17"/>
          <w:color w:val="auto"/>
        </w:rPr>
        <w:t>) at each quarterly reporting period. As of March 31, 2015 and 2014, we measured the fair value of such warrants at an aggregate of $810,100 and $915,300, respectively. The aggregate decrease in fair value between March 31, 2014 and March 31, 2015 of $105,200 and the aggregate decrease in fair value between March 31, 2013 and March 31, 2014 of $1,219,500 is reflected in the Change in Warrant Liability in the accompanying Consolidated Statement of Operations and Comprehensive Income for the years ended March 31, 2015 and 2014,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Notes Issued in Connection with 2013 Unit Private Placement</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As described more completely in the section entitled 2013 Unit Private Placement in Note 9, </w:t>
      </w:r>
      <w:r>
        <w:rPr>
          <w:rFonts w:ascii="Arial" w:cs="Arial" w:eastAsia="Arial" w:hAnsi="Arial"/>
          <w:sz w:val="16"/>
          <w:szCs w:val="16"/>
          <w:i w:val="1"/>
          <w:iCs w:val="1"/>
          <w:color w:val="auto"/>
        </w:rPr>
        <w:t>Capital Stock,</w:t>
      </w:r>
      <w:r>
        <w:rPr>
          <w:rFonts w:ascii="Arial" w:cs="Arial" w:eastAsia="Arial" w:hAnsi="Arial"/>
          <w:sz w:val="16"/>
          <w:szCs w:val="16"/>
          <w:color w:val="auto"/>
        </w:rPr>
        <w:t xml:space="preserve"> between August 2013 and March 2014, we issued to accredited investors 10% convertible promissory notes (the “</w:t>
      </w:r>
      <w:r>
        <w:rPr>
          <w:rFonts w:ascii="Arial" w:cs="Arial" w:eastAsia="Arial" w:hAnsi="Arial"/>
          <w:sz w:val="16"/>
          <w:szCs w:val="16"/>
          <w:i w:val="1"/>
          <w:iCs w:val="1"/>
          <w:color w:val="auto"/>
        </w:rPr>
        <w:t>2013Unit Notes</w:t>
      </w:r>
      <w:r>
        <w:rPr>
          <w:rFonts w:ascii="Arial" w:cs="Arial" w:eastAsia="Arial" w:hAnsi="Arial"/>
          <w:sz w:val="16"/>
          <w:szCs w:val="16"/>
          <w:color w:val="auto"/>
        </w:rPr>
        <w:t>”) in an aggregate face amount of $1,007,500 in connection with our private placement of Units. The maturity date of the 2013 Unit Notes was July 30, 2014 and each 2013 Unit Note and its related accrued interest was convertible into shares of our common stock at a fixed conversion price of $10.00 per share at or prior to maturity, at the option of the accredited investor.</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allocated the proceeds from the sale of the units to the 2013 Unit Notes, the common stock and the warrants comprising the Units based on the relative fair value of the individual securities in each Unit on the dates of the Unit sales. Based on the short-duration of the 2013 Unit Notes and their other terms, we determined that the fair value of the 2013 Unit Notes at the date of issuance was equal to their face value. Accordingly, we recorded an initial discount attributable to each 2013 Unit Note for an amount representing the difference between the face value of the 2013 Unit Note and its relative value. Additionally, the 2013 Unit Notes contain an embedded conversion feature, certain of which had an intrinsic value at the issuance date, which value we treated as an additional discount attributable to such 2013 Unit Notes, subject to limitations on the absolute amount of discount attributable to each 2013 Unit Note. We recorded a corresponding credit to additional paid-in capital, an equity account in the Consolidated Balance Sheet, attributable to the beneficial conversion feature. We amortized the aggregate discount attributable to each of the 2013 Unit Notes using the effective interest method over the respective term of each 2013 Unit Note. Based on their respective discounts, the weighted average effective interest rate attributable to the 2013 Unit Notes at issuance was 464.1%.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2013 Unit Notes and Warrants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Effective May 31, 2014, we entered into note and warrant amendment agreements with substantially all holders of our 2013 Unit Notes and 2013 Unit Warrants, each of whom agreed to (i) modify certain terms of their 2013 Unit Note to conform to the corresponding terms of the 2014 Unit Notes, including an extension of the maturity date of their 2013 Unit Note from July 30, 2014 to March 31, 2015, as well as adoption of the automatic conversion and 25% conversion premium features related to consummation of a Qualified Financing, as described previously (</w:t>
      </w:r>
      <w:r>
        <w:rPr>
          <w:rFonts w:ascii="Arial" w:cs="Arial" w:eastAsia="Arial" w:hAnsi="Arial"/>
          <w:sz w:val="18"/>
          <w:szCs w:val="18"/>
          <w:i w:val="1"/>
          <w:iCs w:val="1"/>
          <w:color w:val="auto"/>
        </w:rPr>
        <w:t>Amended 2013 Unit Notes</w:t>
      </w:r>
      <w:r>
        <w:rPr>
          <w:rFonts w:ascii="Arial" w:cs="Arial" w:eastAsia="Arial" w:hAnsi="Arial"/>
          <w:sz w:val="18"/>
          <w:szCs w:val="18"/>
          <w:color w:val="auto"/>
        </w:rPr>
        <w:t>), and (ii) modify certain terms of their 2013 Unit Warrants, including the exercise price and expiration date, to conform to the corresponding terms of the 2014 Unit Warrants (</w:t>
      </w:r>
      <w:r>
        <w:rPr>
          <w:rFonts w:ascii="Arial" w:cs="Arial" w:eastAsia="Arial" w:hAnsi="Arial"/>
          <w:sz w:val="18"/>
          <w:szCs w:val="18"/>
          <w:i w:val="1"/>
          <w:iCs w:val="1"/>
          <w:color w:val="auto"/>
        </w:rPr>
        <w:t>Amended 2013 Unit Warrants</w:t>
      </w:r>
      <w:r>
        <w:rPr>
          <w:rFonts w:ascii="Arial" w:cs="Arial" w:eastAsia="Arial" w:hAnsi="Arial"/>
          <w:sz w:val="18"/>
          <w:szCs w:val="18"/>
          <w:color w:val="auto"/>
        </w:rPr>
        <w:t>). Holders of 2013 Unit Notes having an aggregate initial face amount of $895,000 agreed to such amendments. The maturity date of 2013 Unit Notes payable to holders who did not agree to amend their 2013 Unit Note and 2013 Unit Warrant remained July 30, 2014 and the $20.00 per share exercise price and July 30, 2016 expiration date of the 2013 Unit Warrants held by such holders remains unchanged. Between April 1, 2014 and August 15, 2014, we repaid 2013 Unit Notes having an initial face value of $ 112,500 and since the later date, no un-amended 2013 Unit Notes remain outstanding.</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49" w:name="page150"/>
    <w:bookmarkEnd w:id="149"/>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We determined that the modification of the 2013 Unit Notes and the 2013 Unit Warrants should be accounted for as an extinguishment of debt. Considering the cash flows and the non-contingent and contingent beneficial conversion features of the Amended 2013 Notes and other factors, including market interest rates for unsecured debt of similar quality and the probability of their conversion to securities in a Qualified Financing, we determined that the fair values of the Amended 2013 Unit Notes, aggregating $1,394,000, represented a substantial premium over their aggregate $943,400 face values. In accordance with the provisions of ASC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we recognized the premium in excess of the face value, $450,600, as a credit to additional paid-in capital, an equity account. Consequently, we recorded the liability for the Amended 2013 Unit Notes at their face values. We recognized the difference between the pre-modification carrying values of the notes and their fair values, an aggregate of $867,500, as a non-cash charge to loss on extinguishment of debt in the accompanying Condensed Consolidated Statement of Operations and Comprehensive Loss. As described in greater detail in Note 9, </w:t>
      </w:r>
      <w:r>
        <w:rPr>
          <w:rFonts w:ascii="Arial" w:cs="Arial" w:eastAsia="Arial" w:hAnsi="Arial"/>
          <w:sz w:val="16"/>
          <w:szCs w:val="16"/>
          <w:i w:val="1"/>
          <w:iCs w:val="1"/>
          <w:color w:val="auto"/>
        </w:rPr>
        <w:t>Capital Stock</w:t>
      </w:r>
      <w:r>
        <w:rPr>
          <w:rFonts w:ascii="Arial" w:cs="Arial" w:eastAsia="Arial" w:hAnsi="Arial"/>
          <w:sz w:val="16"/>
          <w:szCs w:val="16"/>
          <w:color w:val="auto"/>
        </w:rPr>
        <w:t>, we determined the incremental fair value of the Amended 2013 Unit Warrants, which are treated as equity instruments, to be $272,900. We recognized this incremental fair value as an additional component of loss on extinguishment of debt in the accompanying Condensed Consolidated Statements of Operations and Comprehensive Loss and as a credit to additional paid-in capital. Certain of the 2013 Unit Notes contained a beneficial conversion feature when they were originally issued. We have accounted for the repurchase of the beneficial conversion feature at the time of the modification, an aggregate of $614,200, as a reduction to the loss on extinguishment of debt in the accompanying Condensed Consolidated Statements of Operations and Comprehensive Loss, with a corresponding reduction to additional paid-in capital. The net amount of the loss on extinguishment of debt related to the Amended 2013 Unit Notes and Amended 2013 Unit Warrants recognized in the accompanying Condensed Consolidated Statements of Operations and Comprehensive Loss is $526,200. Since the Amended 2013 Unit Notes have the same features and maturity as the 2014 Unit Notes, the two sets of notes are aggregated in the summary table above.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Satisfaction of Technology License and Maintenance Fees and Patent Expenses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April 2014, we entered into an agreement with Icahn School of Medicine at Mount Sinai (</w:t>
      </w:r>
      <w:r>
        <w:rPr>
          <w:rFonts w:ascii="Arial" w:cs="Arial" w:eastAsia="Arial" w:hAnsi="Arial"/>
          <w:sz w:val="16"/>
          <w:szCs w:val="16"/>
          <w:i w:val="1"/>
          <w:iCs w:val="1"/>
          <w:color w:val="auto"/>
        </w:rPr>
        <w:t>Icahn School</w:t>
      </w:r>
      <w:r>
        <w:rPr>
          <w:rFonts w:ascii="Arial" w:cs="Arial" w:eastAsia="Arial" w:hAnsi="Arial"/>
          <w:sz w:val="16"/>
          <w:szCs w:val="16"/>
          <w:color w:val="auto"/>
        </w:rPr>
        <w:t xml:space="preserve">), one of our long-term stem cell technology licensors, pursuant to which we issued (i) a 10% promissory note in the face amount of $300,000 due on the earlier of December 31, 2014, or the completion of a qualified financing, as defined, (ii) 15,000 restricted shares of our common stock and (iii) 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6"/>
          <w:szCs w:val="16"/>
          <w:i w:val="1"/>
          <w:iCs w:val="1"/>
          <w:color w:val="auto"/>
        </w:rPr>
        <w:t>Agreement</w:t>
      </w:r>
      <w:r>
        <w:rPr>
          <w:rFonts w:ascii="Arial" w:cs="Arial" w:eastAsia="Arial" w:hAnsi="Arial"/>
          <w:sz w:val="16"/>
          <w:szCs w:val="16"/>
          <w:color w:val="auto"/>
        </w:rPr>
        <w:t>).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Agreement, an additional $35,800 of license maintenance fees and reimbursable patent prosecution costs was added to the principal amount of the promissory note through December 31, 2014. We made a payment of $10,000 on the note in January 2015 and it remained outstanding at March 31, 2015.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 to Morrison &amp; Foerster</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May 5, 2011, we amended a previously outstanding note (the </w:t>
      </w:r>
      <w:r>
        <w:rPr>
          <w:rFonts w:ascii="Arial" w:cs="Arial" w:eastAsia="Arial" w:hAnsi="Arial"/>
          <w:sz w:val="18"/>
          <w:szCs w:val="18"/>
          <w:i w:val="1"/>
          <w:iCs w:val="1"/>
          <w:color w:val="auto"/>
        </w:rPr>
        <w:t>Original Note</w:t>
      </w:r>
      <w:r>
        <w:rPr>
          <w:rFonts w:ascii="Arial" w:cs="Arial" w:eastAsia="Arial" w:hAnsi="Arial"/>
          <w:sz w:val="18"/>
          <w:szCs w:val="18"/>
          <w:color w:val="auto"/>
        </w:rPr>
        <w:t>) issued to Morrison &amp; Foerster LLP (</w:t>
      </w:r>
      <w:r>
        <w:rPr>
          <w:rFonts w:ascii="Arial" w:cs="Arial" w:eastAsia="Arial" w:hAnsi="Arial"/>
          <w:sz w:val="18"/>
          <w:szCs w:val="18"/>
          <w:i w:val="1"/>
          <w:iCs w:val="1"/>
          <w:color w:val="auto"/>
        </w:rPr>
        <w:t>Morrison &amp; Foerster</w:t>
      </w:r>
      <w:r>
        <w:rPr>
          <w:rFonts w:ascii="Arial" w:cs="Arial" w:eastAsia="Arial" w:hAnsi="Arial"/>
          <w:sz w:val="18"/>
          <w:szCs w:val="18"/>
          <w:color w:val="auto"/>
        </w:rPr>
        <w:t xml:space="preserve">), then our general corporate and intellectual property counsel, in payment of legal services (the </w:t>
      </w:r>
      <w:r>
        <w:rPr>
          <w:rFonts w:ascii="Arial" w:cs="Arial" w:eastAsia="Arial" w:hAnsi="Arial"/>
          <w:sz w:val="18"/>
          <w:szCs w:val="18"/>
          <w:i w:val="1"/>
          <w:iCs w:val="1"/>
          <w:color w:val="auto"/>
        </w:rPr>
        <w:t>Amended Note</w:t>
      </w:r>
      <w:r>
        <w:rPr>
          <w:rFonts w:ascii="Arial" w:cs="Arial" w:eastAsia="Arial" w:hAnsi="Arial"/>
          <w:sz w:val="18"/>
          <w:szCs w:val="18"/>
          <w:color w:val="auto"/>
        </w:rPr>
        <w:t>). Under the terms of Amended Note, the principal balance of the Original Note was increased to $2,200,000, interest accrued at the rate of 7.5% per annum, and we were required to make certain payments to Morrison &amp; Foerster.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0" w:name="page151"/>
    <w:bookmarkEnd w:id="150"/>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On August 31, 2012, we restructured the Amended Note (the </w:t>
      </w:r>
      <w:r>
        <w:rPr>
          <w:rFonts w:ascii="Arial" w:cs="Arial" w:eastAsia="Arial" w:hAnsi="Arial"/>
          <w:sz w:val="16"/>
          <w:szCs w:val="16"/>
          <w:i w:val="1"/>
          <w:iCs w:val="1"/>
          <w:color w:val="auto"/>
        </w:rPr>
        <w:t>Restructuring Agreement</w:t>
      </w:r>
      <w:r>
        <w:rPr>
          <w:rFonts w:ascii="Arial" w:cs="Arial" w:eastAsia="Arial" w:hAnsi="Arial"/>
          <w:sz w:val="16"/>
          <w:szCs w:val="16"/>
          <w:color w:val="auto"/>
        </w:rPr>
        <w:t>). Pursuant to the Restructuring Agreement, we issued to Morrison &amp; Foerster two new unsecured promissory notes to replace the Amended Note, one in the principal amount of $1,000,000 (</w:t>
      </w:r>
      <w:r>
        <w:rPr>
          <w:rFonts w:ascii="Arial" w:cs="Arial" w:eastAsia="Arial" w:hAnsi="Arial"/>
          <w:sz w:val="16"/>
          <w:szCs w:val="16"/>
          <w:i w:val="1"/>
          <w:iCs w:val="1"/>
          <w:color w:val="auto"/>
        </w:rPr>
        <w:t>Replacement Note A</w:t>
      </w:r>
      <w:r>
        <w:rPr>
          <w:rFonts w:ascii="Arial" w:cs="Arial" w:eastAsia="Arial" w:hAnsi="Arial"/>
          <w:sz w:val="16"/>
          <w:szCs w:val="16"/>
          <w:color w:val="auto"/>
        </w:rPr>
        <w:t>) and the other in the principal amount of $1,379,400 (</w:t>
      </w:r>
      <w:r>
        <w:rPr>
          <w:rFonts w:ascii="Arial" w:cs="Arial" w:eastAsia="Arial" w:hAnsi="Arial"/>
          <w:sz w:val="16"/>
          <w:szCs w:val="16"/>
          <w:i w:val="1"/>
          <w:iCs w:val="1"/>
          <w:color w:val="auto"/>
        </w:rPr>
        <w:t>Replacement Note B</w:t>
      </w:r>
      <w:r>
        <w:rPr>
          <w:rFonts w:ascii="Arial" w:cs="Arial" w:eastAsia="Arial" w:hAnsi="Arial"/>
          <w:sz w:val="16"/>
          <w:szCs w:val="16"/>
          <w:color w:val="auto"/>
        </w:rPr>
        <w:t xml:space="preserve">) (together, the </w:t>
      </w:r>
      <w:r>
        <w:rPr>
          <w:rFonts w:ascii="Arial" w:cs="Arial" w:eastAsia="Arial" w:hAnsi="Arial"/>
          <w:sz w:val="16"/>
          <w:szCs w:val="16"/>
          <w:i w:val="1"/>
          <w:iCs w:val="1"/>
          <w:color w:val="auto"/>
        </w:rPr>
        <w:t>Replacement Notes</w:t>
      </w:r>
      <w:r>
        <w:rPr>
          <w:rFonts w:ascii="Arial" w:cs="Arial" w:eastAsia="Arial" w:hAnsi="Arial"/>
          <w:sz w:val="16"/>
          <w:szCs w:val="16"/>
          <w:color w:val="auto"/>
        </w:rPr>
        <w:t xml:space="preserve">); amended an outstanding warrant to purchase restricted shares of our common stock (the </w:t>
      </w:r>
      <w:r>
        <w:rPr>
          <w:rFonts w:ascii="Arial" w:cs="Arial" w:eastAsia="Arial" w:hAnsi="Arial"/>
          <w:sz w:val="16"/>
          <w:szCs w:val="16"/>
          <w:i w:val="1"/>
          <w:iCs w:val="1"/>
          <w:color w:val="auto"/>
        </w:rPr>
        <w:t>Amended M&amp;F Warrant)</w:t>
      </w:r>
      <w:r>
        <w:rPr>
          <w:rFonts w:ascii="Arial" w:cs="Arial" w:eastAsia="Arial" w:hAnsi="Arial"/>
          <w:sz w:val="16"/>
          <w:szCs w:val="16"/>
          <w:color w:val="auto"/>
        </w:rPr>
        <w:t xml:space="preserve">; and issued a new warrant exercisable at $20.00 per share through September 15, 2017 to purchase restricted shares of our common stock (the </w:t>
      </w:r>
      <w:r>
        <w:rPr>
          <w:rFonts w:ascii="Arial" w:cs="Arial" w:eastAsia="Arial" w:hAnsi="Arial"/>
          <w:sz w:val="16"/>
          <w:szCs w:val="16"/>
          <w:i w:val="1"/>
          <w:iCs w:val="1"/>
          <w:color w:val="auto"/>
        </w:rPr>
        <w:t>New M&amp;F Warrant).</w:t>
      </w:r>
      <w:r>
        <w:rPr>
          <w:rFonts w:ascii="Arial" w:cs="Arial" w:eastAsia="Arial" w:hAnsi="Arial"/>
          <w:sz w:val="16"/>
          <w:szCs w:val="16"/>
          <w:color w:val="auto"/>
        </w:rPr>
        <w:t xml:space="preserve"> Under the terms of the Restructuring Agreement, the Amended Note was cancelled and all of our past due payment obligations under the Amended Note were satisfied. Pursuant to the terms of the Amended Note, we made a payment of $155,000 to Morrison</w:t>
      </w:r>
    </w:p>
    <w:p>
      <w:pPr>
        <w:spacing w:after="0" w:line="5" w:lineRule="exact"/>
        <w:rPr>
          <w:sz w:val="20"/>
          <w:szCs w:val="20"/>
          <w:color w:val="auto"/>
        </w:rPr>
      </w:pPr>
    </w:p>
    <w:p>
      <w:pPr>
        <w:jc w:val="both"/>
        <w:ind w:firstLine="8"/>
        <w:spacing w:after="0" w:line="285" w:lineRule="auto"/>
        <w:tabs>
          <w:tab w:leader="none" w:pos="192"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Foerster on August 31, 2012 and issued the Replacement Notes, each dated as of August 31, 2012. Both Replacement Notes accrue interest at the rate of 7.5% per annum and are due and payable on March 31, 2016. Replacement Note A required monthly payments of $15,000 per month through March 31, 2013, and requires $25,000 per month thereafter until maturity. Between May 2013 and March 31, 2015, we have made no payments on Replacement Note A. In accordance with the terms of the Replacement Notes, the applicable penalty interest rate of 10.0% per annum has become effective and we have accrued interest on the Replacement Notes at that rate since May 2013. Payment of the principal and interest on Replacement Note B will be made solely in restricted shares of our common stock pursuant to Morrison &amp; Foerster’s cancellation from time to time of all or a portion of the principal and interest balance due on Replacement Note B in connection with its concurrent exercise of the New M&amp;F Warrant, at an exercise price of $20.00 per share; provided, however, that Morrison &amp; Foerster shall have the option to require payment of Replacement Note B in cash upon the occurrence of a change in control of the Company or an event of default, and only in such circumstances. As indicated in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in May 2015, Replacement Note B in the aggregate amount (principal and accrued but unpaid interest) of approximately $1.8 million was converted into 257,143 shares of our newly created Series B Preferred, eliminating approximately $1.8 million of our indebtedness. Additionally, Morrison &amp; Foerster agreed to standstill and forbear until December 31, 2016 with respect to further payment requirements on Replacement Note A and accounts payable outstanding at the time of the agreement.</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New M&amp;F Warrant is exercisable for the number of restricted shares of our common stock equal to the principal and accrued interest due under the terms of Replacement Note B divided by the warrant exercise price of $20.00 per share. At the August 31, 2012 date of grant, the New M&amp;F Warrant was exercisable to purchase 68,969 restricted shares of our common stock. The New M&amp;F Warrant effectively permits exercise only by the cancellation in whole or in part of our indebtedness under either of the Replacement Notes. Through March 31, 2015, we have adjusted the New M&amp;F Warrant to increase the number of restricted shares available for purchase by 16,658 shares, based on interest accrued on Replacement Note B through that date. We have recorded the fair value of the additional warrant shares as a charge to interest expense and a corresponding credit to additional paid-in capital.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Payable to Cato Research Ltd.</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October 10, 2012, we issued to Cato Research Ltd (</w:t>
      </w:r>
      <w:r>
        <w:rPr>
          <w:rFonts w:ascii="Arial" w:cs="Arial" w:eastAsia="Arial" w:hAnsi="Arial"/>
          <w:sz w:val="16"/>
          <w:szCs w:val="16"/>
          <w:i w:val="1"/>
          <w:iCs w:val="1"/>
          <w:color w:val="auto"/>
        </w:rPr>
        <w:t>CRL</w:t>
      </w:r>
      <w:r>
        <w:rPr>
          <w:rFonts w:ascii="Arial" w:cs="Arial" w:eastAsia="Arial" w:hAnsi="Arial"/>
          <w:sz w:val="16"/>
          <w:szCs w:val="16"/>
          <w:color w:val="auto"/>
        </w:rPr>
        <w:t xml:space="preserve">) a contract research and development partner and a related party: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6"/>
          <w:szCs w:val="16"/>
          <w:i w:val="1"/>
          <w:iCs w:val="1"/>
          <w:color w:val="auto"/>
        </w:rPr>
        <w:t>CRL Note</w:t>
      </w:r>
      <w:r>
        <w:rPr>
          <w:rFonts w:ascii="Arial" w:cs="Arial" w:eastAsia="Arial" w:hAnsi="Arial"/>
          <w:sz w:val="16"/>
          <w:szCs w:val="16"/>
          <w:color w:val="auto"/>
        </w:rPr>
        <w:t>), as payment in full for all contract research and development services and regulatory advice (</w:t>
      </w:r>
      <w:r>
        <w:rPr>
          <w:rFonts w:ascii="Arial" w:cs="Arial" w:eastAsia="Arial" w:hAnsi="Arial"/>
          <w:sz w:val="16"/>
          <w:szCs w:val="16"/>
          <w:i w:val="1"/>
          <w:iCs w:val="1"/>
          <w:color w:val="auto"/>
        </w:rPr>
        <w:t>CRO</w:t>
      </w:r>
      <w:r>
        <w:rPr>
          <w:rFonts w:ascii="Arial" w:cs="Arial" w:eastAsia="Arial" w:hAnsi="Arial"/>
          <w:sz w:val="16"/>
          <w:szCs w:val="16"/>
          <w:color w:val="auto"/>
        </w:rPr>
        <w:t xml:space="preserve"> </w:t>
      </w:r>
      <w:r>
        <w:rPr>
          <w:rFonts w:ascii="Arial" w:cs="Arial" w:eastAsia="Arial" w:hAnsi="Arial"/>
          <w:sz w:val="16"/>
          <w:szCs w:val="16"/>
          <w:i w:val="1"/>
          <w:iCs w:val="1"/>
          <w:color w:val="auto"/>
        </w:rPr>
        <w:t>Services</w:t>
      </w:r>
      <w:r>
        <w:rPr>
          <w:rFonts w:ascii="Arial" w:cs="Arial" w:eastAsia="Arial" w:hAnsi="Arial"/>
          <w:sz w:val="16"/>
          <w:szCs w:val="16"/>
          <w:color w:val="auto"/>
        </w:rPr>
        <w:t>) rendered by CRL to us and our affiliates through December 31, 2012 with respect to the non-clinical and clinical development of AV-101, and (ii)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five-year warrant to purchase, at a price of $20.00 per share, 50,450 restricted shares of our common stock, the amount equal to the sum of the principal amount of the CRL Note, plus all accrued interest thereon, divided by $20.00 per share (the </w:t>
      </w:r>
      <w:r>
        <w:rPr>
          <w:rFonts w:ascii="Arial" w:cs="Arial" w:eastAsia="Arial" w:hAnsi="Arial"/>
          <w:sz w:val="16"/>
          <w:szCs w:val="16"/>
          <w:i w:val="1"/>
          <w:iCs w:val="1"/>
          <w:color w:val="auto"/>
        </w:rPr>
        <w:t>CRL Warrant</w:t>
      </w:r>
      <w:r>
        <w:rPr>
          <w:rFonts w:ascii="Arial" w:cs="Arial" w:eastAsia="Arial" w:hAnsi="Arial"/>
          <w:sz w:val="16"/>
          <w:szCs w:val="16"/>
          <w:color w:val="auto"/>
        </w:rPr>
        <w:t>). The CRL Note is due and payable on March 31, 2016 and is payable solely by CRL's cancellation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 Through March 31, 2015, we have adjusted the CRL Warrant to increase the number of restricted shares available for purchase by 10,241 shares, based on interest accrued on the CRL Note through that date. We have recorded the fair value of the additional shares as a charge to interest expense and a corresponding credit to additional paid-in capital.</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disclosed in Note 16, </w:t>
      </w:r>
      <w:r>
        <w:rPr>
          <w:rFonts w:ascii="Arial" w:cs="Arial" w:eastAsia="Arial" w:hAnsi="Arial"/>
          <w:sz w:val="18"/>
          <w:szCs w:val="18"/>
          <w:i w:val="1"/>
          <w:iCs w:val="1"/>
          <w:color w:val="auto"/>
        </w:rPr>
        <w:t>Subsequent Events</w:t>
      </w:r>
      <w:r>
        <w:rPr>
          <w:rFonts w:ascii="Arial" w:cs="Arial" w:eastAsia="Arial" w:hAnsi="Arial"/>
          <w:sz w:val="18"/>
          <w:szCs w:val="18"/>
          <w:color w:val="auto"/>
        </w:rPr>
        <w:t>, in May 2015, the CRL Note and certain accounts payable to CRL for CRO Services related to AV-101 in the aggregate amount (principal and accrued but unpaid interest, plus certain strategic adjustments) of approximately $1.9 million were converted into 278,006 shares of our Series B Preferred, eliminating approximately $1.9 million of our indebtedness.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1" w:name="page152"/>
    <w:bookmarkEnd w:id="151"/>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Payable to Cato Holding Company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10, 2012, we exchanged a previously outstanding note issued to Cato Holding Company (</w:t>
      </w:r>
      <w:r>
        <w:rPr>
          <w:rFonts w:ascii="Arial" w:cs="Arial" w:eastAsia="Arial" w:hAnsi="Arial"/>
          <w:sz w:val="18"/>
          <w:szCs w:val="18"/>
          <w:i w:val="1"/>
          <w:iCs w:val="1"/>
          <w:color w:val="auto"/>
        </w:rPr>
        <w:t>CHC</w:t>
      </w:r>
      <w:r>
        <w:rPr>
          <w:rFonts w:ascii="Arial" w:cs="Arial" w:eastAsia="Arial" w:hAnsi="Arial"/>
          <w:sz w:val="18"/>
          <w:szCs w:val="18"/>
          <w:color w:val="auto"/>
        </w:rPr>
        <w:t xml:space="preserve">) for a new unsecured promissory note in the principal amount of $310,400 (the </w:t>
      </w:r>
      <w:r>
        <w:rPr>
          <w:rFonts w:ascii="Arial" w:cs="Arial" w:eastAsia="Arial" w:hAnsi="Arial"/>
          <w:sz w:val="18"/>
          <w:szCs w:val="18"/>
          <w:i w:val="1"/>
          <w:iCs w:val="1"/>
          <w:color w:val="auto"/>
        </w:rPr>
        <w:t>2012 CHC Note</w:t>
      </w:r>
      <w:r>
        <w:rPr>
          <w:rFonts w:ascii="Arial" w:cs="Arial" w:eastAsia="Arial" w:hAnsi="Arial"/>
          <w:sz w:val="18"/>
          <w:szCs w:val="18"/>
          <w:color w:val="auto"/>
        </w:rPr>
        <w:t xml:space="preserve">) and a five-year warrant to purchase 12,500 restricted shares of the Company’s common stock at a price of $30.00 per share (the </w:t>
      </w:r>
      <w:r>
        <w:rPr>
          <w:rFonts w:ascii="Arial" w:cs="Arial" w:eastAsia="Arial" w:hAnsi="Arial"/>
          <w:sz w:val="18"/>
          <w:szCs w:val="18"/>
          <w:i w:val="1"/>
          <w:iCs w:val="1"/>
          <w:color w:val="auto"/>
        </w:rPr>
        <w:t>CHC Warrant</w:t>
      </w:r>
      <w:r>
        <w:rPr>
          <w:rFonts w:ascii="Arial" w:cs="Arial" w:eastAsia="Arial" w:hAnsi="Arial"/>
          <w:sz w:val="18"/>
          <w:szCs w:val="18"/>
          <w:color w:val="auto"/>
        </w:rPr>
        <w:t>). The 2012 CHC Note accrues interest at a rate of 7.5% per annum and is due and payable in monthly installments of $10,000, beginning November 1, 2012 and continuing until the outstanding balance is paid in full. Between December 2012 and March 31, 2015, we have made no payments on the 2012 CHC Note.</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As disclosed in Note 16, </w:t>
      </w:r>
      <w:r>
        <w:rPr>
          <w:rFonts w:ascii="Arial" w:cs="Arial" w:eastAsia="Arial" w:hAnsi="Arial"/>
          <w:sz w:val="17"/>
          <w:szCs w:val="17"/>
          <w:i w:val="1"/>
          <w:iCs w:val="1"/>
          <w:color w:val="auto"/>
        </w:rPr>
        <w:t>Subsequent Events</w:t>
      </w:r>
      <w:r>
        <w:rPr>
          <w:rFonts w:ascii="Arial" w:cs="Arial" w:eastAsia="Arial" w:hAnsi="Arial"/>
          <w:sz w:val="17"/>
          <w:szCs w:val="17"/>
          <w:color w:val="auto"/>
        </w:rPr>
        <w:t>, in May 2015, the 2012 CHC Note in the aggregate amount (principal and accrued but unpaid interest) of approximately $354,000 was converted into 50,565 shares of our Series B Preferred, eliminating approximately $354,000 of our indebtedness.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Payable to University Health Network</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October 10, 2012, we issued to the 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xml:space="preserve">): (i) an unsecured promissory note in the principal amount of $549,500, which is payable solely in restricted shares of our common stock and which accrues interest at the rate of 7.5% per annum, as payment in full for all sponsored stem cell research and development activities by UHN and Gordon Keller, Ph.D. under the SCRA through September 30, 2012 (the </w:t>
      </w:r>
      <w:r>
        <w:rPr>
          <w:rFonts w:ascii="Arial" w:cs="Arial" w:eastAsia="Arial" w:hAnsi="Arial"/>
          <w:sz w:val="16"/>
          <w:szCs w:val="16"/>
          <w:i w:val="1"/>
          <w:iCs w:val="1"/>
          <w:color w:val="auto"/>
        </w:rPr>
        <w:t>UHN Note</w:t>
      </w:r>
      <w:r>
        <w:rPr>
          <w:rFonts w:ascii="Arial" w:cs="Arial" w:eastAsia="Arial" w:hAnsi="Arial"/>
          <w:sz w:val="16"/>
          <w:szCs w:val="16"/>
          <w:color w:val="auto"/>
        </w:rPr>
        <w:t xml:space="preserve">), and (ii) a five-year warrant to purchase, at a price of $20.00 per share, 27,475 restricted shares of our common stock, the amount equal to the sum of the principal amount of the UHN Note, plus all accrued interest thereon, divided by $20.00 per share (the </w:t>
      </w:r>
      <w:r>
        <w:rPr>
          <w:rFonts w:ascii="Arial" w:cs="Arial" w:eastAsia="Arial" w:hAnsi="Arial"/>
          <w:sz w:val="16"/>
          <w:szCs w:val="16"/>
          <w:i w:val="1"/>
          <w:iCs w:val="1"/>
          <w:color w:val="auto"/>
        </w:rPr>
        <w:t>UHN Warrant</w:t>
      </w:r>
      <w:r>
        <w:rPr>
          <w:rFonts w:ascii="Arial" w:cs="Arial" w:eastAsia="Arial" w:hAnsi="Arial"/>
          <w:sz w:val="16"/>
          <w:szCs w:val="16"/>
          <w:color w:val="auto"/>
        </w:rPr>
        <w:t>). The UHN Note is due and payable on March 31, 2016 and is payable solely by UHN's cancellation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 Through March 31, 2015, we have adjusted the UHN Warrant to increase the number of restricted shares available for purchase by 5,095 shares, based on interest accrued on the UHN Note through that date. We have recorded the fair value of the additional shares as a charge to interest expense and a corresponding credit to additional paid-in capital.</w:t>
      </w:r>
    </w:p>
    <w:p>
      <w:pPr>
        <w:spacing w:after="0" w:line="19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As disclosed in Note 16, </w:t>
      </w:r>
      <w:r>
        <w:rPr>
          <w:rFonts w:ascii="Arial" w:cs="Arial" w:eastAsia="Arial" w:hAnsi="Arial"/>
          <w:sz w:val="17"/>
          <w:szCs w:val="17"/>
          <w:i w:val="1"/>
          <w:iCs w:val="1"/>
          <w:color w:val="auto"/>
        </w:rPr>
        <w:t>Subsequent Events</w:t>
      </w:r>
      <w:r>
        <w:rPr>
          <w:rFonts w:ascii="Arial" w:cs="Arial" w:eastAsia="Arial" w:hAnsi="Arial"/>
          <w:sz w:val="17"/>
          <w:szCs w:val="17"/>
          <w:color w:val="auto"/>
        </w:rPr>
        <w:t>, in May 2015, the UHN Note in the aggregate amount (principal and accrued but unpaid interest) of approximately $656,400 was converted into 93,775 shares of our Series B Preferred, eliminating approximately $656,400 of our indebtedness.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 for Cancellation of Amounts Payable for Services and Royalties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25, 2011, we issued to Burr, Pilger, and Mayer, LLC (</w:t>
      </w:r>
      <w:r>
        <w:rPr>
          <w:rFonts w:ascii="Arial" w:cs="Arial" w:eastAsia="Arial" w:hAnsi="Arial"/>
          <w:sz w:val="18"/>
          <w:szCs w:val="18"/>
          <w:i w:val="1"/>
          <w:iCs w:val="1"/>
          <w:color w:val="auto"/>
        </w:rPr>
        <w:t>BPM</w:t>
      </w:r>
      <w:r>
        <w:rPr>
          <w:rFonts w:ascii="Arial" w:cs="Arial" w:eastAsia="Arial" w:hAnsi="Arial"/>
          <w:sz w:val="18"/>
          <w:szCs w:val="18"/>
          <w:color w:val="auto"/>
        </w:rPr>
        <w:t>) an unsecured promissory note in the principal amount of $98,674 for amounts payable in connection with valuation services provided to us by BPM. The BPM note bears interest at the rate of 7.5% per annum and has payment terms of $1,000 per month, beginning March 1, 2011 and continuing until all principal and interest is paid in full. In addition, a payment of $25,000 shall be due upon the sale of the Company or upon our completing a financing transaction of at least $5.0 million during any three-month period, with the payment increasing to $50,000 (or the amount then owed under the note, if less) upon the Company completing a financing of over $10.0 million. We made no payments on the BPM note during the fiscal year ended March 31, 2015.</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April 29, 2011, we issued to Desjardins Securities, Inc. (</w:t>
      </w:r>
      <w:r>
        <w:rPr>
          <w:rFonts w:ascii="Arial" w:cs="Arial" w:eastAsia="Arial" w:hAnsi="Arial"/>
          <w:sz w:val="16"/>
          <w:szCs w:val="16"/>
          <w:i w:val="1"/>
          <w:iCs w:val="1"/>
          <w:color w:val="auto"/>
        </w:rPr>
        <w:t>Desjardins</w:t>
      </w:r>
      <w:r>
        <w:rPr>
          <w:rFonts w:ascii="Arial" w:cs="Arial" w:eastAsia="Arial" w:hAnsi="Arial"/>
          <w:sz w:val="16"/>
          <w:szCs w:val="16"/>
          <w:color w:val="auto"/>
        </w:rPr>
        <w:t>) an unsecured promissory note in the principal amount of CDN $236,000 for amounts payable for legal fees incurred by Desjardins in connection with investment banking services provided to us by Desjardins. The Desjardins note bears interest at 7.5% and was due, along with all accrued but unpaid interest on the earliest of (i) June 30, 2014, (ii) the consummation of a Change of Control, as defined in the Desjardins note, and (iii) any failure to pay principal or interest when due. We were required to make payments of CDN $4,000 per month beginning May 31, 2011, increasing to CDN $6,000 per month beginning on January 31, 2012. Beginning on January 1, 2012, we are also required to make payments equal to one-half of one percent (0.5%) of the net proceeds of all private or public equity financings closed during the term of the note. The note payable to Desjardins was due on June 30, 2014. We made no payments on the Desjardins note during the fiscal year ended March 31, 2015.</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152" w:name="page153"/>
    <w:bookmarkEnd w:id="152"/>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May 5, 2011, we issued to McCarthy Tetrault LLP (</w:t>
      </w:r>
      <w:r>
        <w:rPr>
          <w:rFonts w:ascii="Arial" w:cs="Arial" w:eastAsia="Arial" w:hAnsi="Arial"/>
          <w:sz w:val="17"/>
          <w:szCs w:val="17"/>
          <w:i w:val="1"/>
          <w:iCs w:val="1"/>
          <w:color w:val="auto"/>
        </w:rPr>
        <w:t>McCarthy</w:t>
      </w:r>
      <w:r>
        <w:rPr>
          <w:rFonts w:ascii="Arial" w:cs="Arial" w:eastAsia="Arial" w:hAnsi="Arial"/>
          <w:sz w:val="17"/>
          <w:szCs w:val="17"/>
          <w:color w:val="auto"/>
        </w:rPr>
        <w:t xml:space="preserve">) an unsecured promissory note in the principal amount of CDN $502,797 for amounts payable in connection with Canadian legal services provided to us. The McCarthy note bears interest at 7.5% and was due, along with all accrued but unpaid interest on the earliest of (i) June 30, 2014, (ii) the consummation of a Change of Control, as defined in the McCarthy note, and (iii) any failure to pay principal or interest when due. We were required to make payments of CDN $10,000 per month beginning May 31, 2011, which payment amounts increased to CDN $15,000 per month on January 31, 2012. Beginning on January 1, 2012, we are also required to make payments equal to one percent (1%) of the net proceeds of all private or public equity financings closed during the term of the note. The note payable to McCarthy was due on June 14, 2014. On June 11, 2014, we and McCarthy agreed to extend the maturity date of the McCarthy note from June 14, 2014 to the earlier of (i) September 30, 2014, (ii) consummation of a financing in which we received gross cash proceeds of at least $15.0 million, or (iii) consummation of a change of control of the Company, as defined in the McCarthy note. McCarthy also agreed to forbear with respect to the requirement that we make monthly payments on the note from the date of the agreement until maturity and granted us a waiver with respect to previously missed monthly payments. We made no payments on the McCarthy note during the fiscal year ended March 31, 2015. As disclosed in Note 16, </w:t>
      </w:r>
      <w:r>
        <w:rPr>
          <w:rFonts w:ascii="Arial" w:cs="Arial" w:eastAsia="Arial" w:hAnsi="Arial"/>
          <w:sz w:val="17"/>
          <w:szCs w:val="17"/>
          <w:i w:val="1"/>
          <w:iCs w:val="1"/>
          <w:color w:val="auto"/>
        </w:rPr>
        <w:t>Subsequent Events</w:t>
      </w:r>
      <w:r>
        <w:rPr>
          <w:rFonts w:ascii="Arial" w:cs="Arial" w:eastAsia="Arial" w:hAnsi="Arial"/>
          <w:sz w:val="17"/>
          <w:szCs w:val="17"/>
          <w:color w:val="auto"/>
        </w:rPr>
        <w:t>, in May 2015, the McCarthy note in the aggregate amount (principal and accrued but unpaid interest) of approximately $414,600 was converted into 59.230 shares of our Series B Preferred, eliminating approximately $414,600 of our indebtedness.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30, 2012, we issued a promissory note in the principal amount of $60,000 and 750 restricted shares of our common stock valued at a market price of $18.80 per share to Progressive Medical Research in settlement of past due obligations for clinical research services in the amount of $79,900. Under the terms of the settlement, we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our assets or upon our completion of a financing transaction, or series of transactions, resulting in gross proceeds to us of at least $4.0 million in any three-month period, excluding proceeds from stock option or warrant exercises. We made no payments on this note during the fiscal year ended March 31, 2015.</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12, 2009, VistaGen California issued a promissory note payable to the Regents of the University of California (“</w:t>
      </w:r>
      <w:r>
        <w:rPr>
          <w:rFonts w:ascii="Arial" w:cs="Arial" w:eastAsia="Arial" w:hAnsi="Arial"/>
          <w:sz w:val="17"/>
          <w:szCs w:val="17"/>
          <w:i w:val="1"/>
          <w:iCs w:val="1"/>
          <w:color w:val="auto"/>
        </w:rPr>
        <w:t>UC</w:t>
      </w:r>
      <w:r>
        <w:rPr>
          <w:rFonts w:ascii="Arial" w:cs="Arial" w:eastAsia="Arial" w:hAnsi="Arial"/>
          <w:sz w:val="17"/>
          <w:szCs w:val="17"/>
          <w:color w:val="auto"/>
        </w:rPr>
        <w:t xml:space="preserve">”) with a principal balance of $90,000 in exchange for the cancellation of certain amounts payable under a research collaboration agreement (the </w:t>
      </w:r>
      <w:r>
        <w:rPr>
          <w:rFonts w:ascii="Arial" w:cs="Arial" w:eastAsia="Arial" w:hAnsi="Arial"/>
          <w:sz w:val="17"/>
          <w:szCs w:val="17"/>
          <w:i w:val="1"/>
          <w:iCs w:val="1"/>
          <w:color w:val="auto"/>
        </w:rPr>
        <w:t>UC Note 1</w:t>
      </w:r>
      <w:r>
        <w:rPr>
          <w:rFonts w:ascii="Arial" w:cs="Arial" w:eastAsia="Arial" w:hAnsi="Arial"/>
          <w:sz w:val="17"/>
          <w:szCs w:val="17"/>
          <w:color w:val="auto"/>
        </w:rPr>
        <w:t>).. On February 25, 2010, VistaGen California issued a promissory note payable to UC having a principal balance of $170,000 in exchange for the cancellation of the remaining $60,000 principal balance of UC Note 1 and certain amounts payable under a research collaboration agreement (</w:t>
      </w:r>
      <w:r>
        <w:rPr>
          <w:rFonts w:ascii="Arial" w:cs="Arial" w:eastAsia="Arial" w:hAnsi="Arial"/>
          <w:sz w:val="17"/>
          <w:szCs w:val="17"/>
          <w:i w:val="1"/>
          <w:iCs w:val="1"/>
          <w:color w:val="auto"/>
        </w:rPr>
        <w:t>UC Note 2</w:t>
      </w:r>
      <w:r>
        <w:rPr>
          <w:rFonts w:ascii="Arial" w:cs="Arial" w:eastAsia="Arial" w:hAnsi="Arial"/>
          <w:sz w:val="17"/>
          <w:szCs w:val="17"/>
          <w:color w:val="auto"/>
        </w:rPr>
        <w:t>). UC Note 2 was payable in monthly principal installments of $15,000 through May 31, 2010, with the remaining $125,000 plus all accrued and unpaid interest due on or before June 30, 2010. Between June 2010 and December 2010, VistaGen California amended UC Note 2 multiple times, ultimately resulting in a decrease in the monthly payment amount to $5,000, with payments continuing until the outstanding balance of principal and interest is paid in full. We made no payments on UC Note 2 during the fiscal year ended March 31, 2015.</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 2010, VistaGen California issued a 10% promissory note with a principal balance of $75,000 to National Jewish Health in exchange for the cancellation of certain amounts payable for accrued royalties. The principal balance plus all accrued and unpaid interest was initially due on or before December 31, 2010 (</w:t>
      </w:r>
      <w:r>
        <w:rPr>
          <w:rFonts w:ascii="Arial" w:cs="Arial" w:eastAsia="Arial" w:hAnsi="Arial"/>
          <w:sz w:val="18"/>
          <w:szCs w:val="18"/>
          <w:i w:val="1"/>
          <w:iCs w:val="1"/>
          <w:color w:val="auto"/>
        </w:rPr>
        <w:t>March 2010 Note</w:t>
      </w:r>
      <w:r>
        <w:rPr>
          <w:rFonts w:ascii="Arial" w:cs="Arial" w:eastAsia="Arial" w:hAnsi="Arial"/>
          <w:sz w:val="18"/>
          <w:szCs w:val="18"/>
          <w:color w:val="auto"/>
        </w:rPr>
        <w:t>). On December 28, 2010, VistaGen California amended the March 2010 Note and extended its maturity date to the first to occur of April 30, 2011 or 30 days following the closing of a financing with gross proceeds of $5,000,000 or more. We made no payments on this note during the fiscal year ended March 31, 2015.</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13, 2010, VistaGen California issued a 10% promissory note with a principal balance of $41,000 to MicroConstants, Inc. in exchange for the cancellation of certain amounts payable for services rendered. Under the terms of this note, VistaGen California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our stock or assets. We made no payments on this note during the fiscal year ended March 31, 2015.</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3" w:name="page154"/>
    <w:bookmarkEnd w:id="153"/>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Split (Stock Consolidation) of our Common Stock</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As indicated in Note 2, </w:t>
      </w:r>
      <w:r>
        <w:rPr>
          <w:rFonts w:ascii="Arial" w:cs="Arial" w:eastAsia="Arial" w:hAnsi="Arial"/>
          <w:sz w:val="16"/>
          <w:szCs w:val="16"/>
          <w:i w:val="1"/>
          <w:iCs w:val="1"/>
          <w:color w:val="auto"/>
        </w:rPr>
        <w:t>Basis of Presentation and Going Concern</w:t>
      </w:r>
      <w:r>
        <w:rPr>
          <w:rFonts w:ascii="Arial" w:cs="Arial" w:eastAsia="Arial" w:hAnsi="Arial"/>
          <w:sz w:val="16"/>
          <w:szCs w:val="16"/>
          <w:color w:val="auto"/>
        </w:rPr>
        <w:t>, we consummated the Stock Consolidation, a 1-for-20 reverse split of our authorized, and issued and outstanding shares of common stock, effective on August 14, 2014. The par value of our common stock remained unchanged at $0.001 per share following the Stock Consolidation. The Stock Consolidation was approved by the Financial Industry Regulatory Authority (</w:t>
      </w:r>
      <w:r>
        <w:rPr>
          <w:rFonts w:ascii="Arial" w:cs="Arial" w:eastAsia="Arial" w:hAnsi="Arial"/>
          <w:sz w:val="16"/>
          <w:szCs w:val="16"/>
          <w:i w:val="1"/>
          <w:iCs w:val="1"/>
          <w:color w:val="auto"/>
        </w:rPr>
        <w:t>FINRA</w:t>
      </w:r>
      <w:r>
        <w:rPr>
          <w:rFonts w:ascii="Arial" w:cs="Arial" w:eastAsia="Arial" w:hAnsi="Arial"/>
          <w:sz w:val="16"/>
          <w:szCs w:val="16"/>
          <w:color w:val="auto"/>
        </w:rPr>
        <w:t>) on August 13, 2014, and became effective on the OTCQB at the opening of trading on August 14, 2014. Each reference to shares of common stock or the price per share of common stock in these financial statements is post-Stock Consolidation, and reflects the 1-for-20 adjustment as a result of the Stock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Series A Preferred Stock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2011, our Board of Directors authorized the creation of a series of up to 500,000 shares of Series A Preferred, par value $0.001 (</w:t>
      </w:r>
      <w:r>
        <w:rPr>
          <w:rFonts w:ascii="Arial" w:cs="Arial" w:eastAsia="Arial" w:hAnsi="Arial"/>
          <w:sz w:val="18"/>
          <w:szCs w:val="18"/>
          <w:i w:val="1"/>
          <w:iCs w:val="1"/>
          <w:color w:val="auto"/>
        </w:rPr>
        <w:t>Series A</w:t>
      </w:r>
      <w:r>
        <w:rPr>
          <w:rFonts w:ascii="Arial" w:cs="Arial" w:eastAsia="Arial" w:hAnsi="Arial"/>
          <w:sz w:val="18"/>
          <w:szCs w:val="18"/>
          <w:color w:val="auto"/>
        </w:rPr>
        <w:t xml:space="preserve"> </w:t>
      </w:r>
      <w:r>
        <w:rPr>
          <w:rFonts w:ascii="Arial" w:cs="Arial" w:eastAsia="Arial" w:hAnsi="Arial"/>
          <w:sz w:val="18"/>
          <w:szCs w:val="18"/>
          <w:i w:val="1"/>
          <w:iCs w:val="1"/>
          <w:color w:val="auto"/>
        </w:rPr>
        <w:t>Preferred</w:t>
      </w:r>
      <w:r>
        <w:rPr>
          <w:rFonts w:ascii="Arial" w:cs="Arial" w:eastAsia="Arial" w:hAnsi="Arial"/>
          <w:sz w:val="18"/>
          <w:szCs w:val="18"/>
          <w:color w:val="auto"/>
        </w:rPr>
        <w:t>). Each restricted share of Series A Preferred was initially convertible at the option of the holder into one-half of one restricted share of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Series A Preferred ranks prior to the common stock for purposes of liquidation preference.</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our common stock.</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of the liquidation, dissolution or winding up of the affairs of the Company, after payment or provision for payment of our debts and other liabilities, the holders of Series A Preferred then outstanding shall be entitled to receive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converted before any payment shall be made or any assets distributed to the holders of the common stock or any other junior stock.</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March 31, 2015 and 2014, there were 500,000 restricted shares of Series A Preferred outstanding, all issued to Platinum or its affiliates. Platinum acquired the Series A Preferred pursuant to the transactions described below. In October 2012, Platinum’s exchange rights with respect to the Series A Preferred were modified as described in the section entitled Modification of Series A Preferred Exchange Rights and Deemed Dividend, below.</w:t>
      </w:r>
    </w:p>
    <w:p>
      <w:pPr>
        <w:spacing w:after="0" w:line="193" w:lineRule="exact"/>
        <w:rPr>
          <w:sz w:val="20"/>
          <w:szCs w:val="20"/>
          <w:color w:val="auto"/>
        </w:rPr>
      </w:pPr>
    </w:p>
    <w:p>
      <w:pPr>
        <w:ind w:left="960" w:hanging="286"/>
        <w:spacing w:after="0"/>
        <w:tabs>
          <w:tab w:leader="none" w:pos="96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December 2011 Common Stock Exchange Agreement with Platinum</w:t>
      </w:r>
    </w:p>
    <w:p>
      <w:pPr>
        <w:spacing w:after="0" w:line="225" w:lineRule="exact"/>
        <w:rPr>
          <w:rFonts w:ascii="Arial" w:cs="Arial" w:eastAsia="Arial" w:hAnsi="Arial"/>
          <w:sz w:val="18"/>
          <w:szCs w:val="18"/>
          <w:color w:val="auto"/>
        </w:rPr>
      </w:pPr>
    </w:p>
    <w:p>
      <w:pPr>
        <w:jc w:val="both"/>
        <w:ind w:left="960"/>
        <w:spacing w:after="0" w:line="297" w:lineRule="auto"/>
        <w:rPr>
          <w:rFonts w:ascii="Arial" w:cs="Arial" w:eastAsia="Arial" w:hAnsi="Arial"/>
          <w:sz w:val="18"/>
          <w:szCs w:val="18"/>
          <w:color w:val="auto"/>
        </w:rPr>
      </w:pPr>
      <w:r>
        <w:rPr>
          <w:rFonts w:ascii="Arial" w:cs="Arial" w:eastAsia="Arial" w:hAnsi="Arial"/>
          <w:sz w:val="16"/>
          <w:szCs w:val="16"/>
          <w:color w:val="auto"/>
        </w:rPr>
        <w:t>On December 22, 2011, we entered into a Common Stock Exchange Agreement (the Exchange Agreement") with Platinum, pursuant to which Platinum converted 24,200 restricted shares of our common stock into 45,980 restricted shares of Series A Preferred (the Exchange). Each restricted share of Series A Preferred issued to Platinum was initially convertible into ten restricted shares of our common stock. At the time of the Exchange, we determined the fair value of the common stock subject to the Exchange to be $31.00 per share and have reflected the 24,200 restricted common shares as treasury stock on that basis in the accompanying Consolidated Balance Sheet at March 31, 2015 and 2014.</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4" w:name="page155"/>
    <w:bookmarkEnd w:id="154"/>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960" w:hanging="286"/>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December 2011 Note and Warrant Exchange Agreement with Platinum</w:t>
      </w:r>
    </w:p>
    <w:p>
      <w:pPr>
        <w:spacing w:after="0" w:line="225" w:lineRule="exact"/>
        <w:rPr>
          <w:rFonts w:ascii="Arial" w:cs="Arial" w:eastAsia="Arial" w:hAnsi="Arial"/>
          <w:sz w:val="18"/>
          <w:szCs w:val="18"/>
          <w:color w:val="auto"/>
        </w:rPr>
      </w:pPr>
    </w:p>
    <w:p>
      <w:pPr>
        <w:jc w:val="both"/>
        <w:ind w:left="960"/>
        <w:spacing w:after="0" w:line="270" w:lineRule="auto"/>
        <w:rPr>
          <w:rFonts w:ascii="Arial" w:cs="Arial" w:eastAsia="Arial" w:hAnsi="Arial"/>
          <w:sz w:val="18"/>
          <w:szCs w:val="18"/>
          <w:color w:val="auto"/>
        </w:rPr>
      </w:pPr>
      <w:r>
        <w:rPr>
          <w:rFonts w:ascii="Arial" w:cs="Arial" w:eastAsia="Arial" w:hAnsi="Arial"/>
          <w:sz w:val="17"/>
          <w:szCs w:val="17"/>
          <w:color w:val="auto"/>
        </w:rPr>
        <w:t>On December 29, 2011, we entered into a Note and Warrant Exchange Agreement with Platinum pursuant to which a promissory note in the face amount of $4,000,000 plus accrued interest and all outstanding warrants issued to Platinum to purchase an aggregate of 79,993 restricted shares of our common stock were cancelled in exchange for 391,075 restricted shares of Series A Preferred. Each share of Series A Preferred was initially convertible into one-half of one share of our common stock. We issued 231,090 restricted shares of Series A Preferred to Platinum in connection with the note cancellation based on the sum of the $4,000,000 principal balance of the note plus accrued but unpaid interest through May 11, 2011 adjusted for a 125% conversion premium, net of the $1,719,800 aggregate exercise price of the 79,993 outstanding warrants held by Platinum, and a contractual conversion basis of $35.00 per common share, all adjusted for the initial 1:10 Series A Preferred to common exchange ratio. An additional 159,985 restricted shares of Series A Preferred were issued to Platinum in connection with the warrant exercise and exchange to acquire the common shares issued upon the warrant exercise.</w:t>
      </w:r>
    </w:p>
    <w:p>
      <w:pPr>
        <w:spacing w:after="0" w:line="208" w:lineRule="exact"/>
        <w:rPr>
          <w:rFonts w:ascii="Arial" w:cs="Arial" w:eastAsia="Arial" w:hAnsi="Arial"/>
          <w:sz w:val="18"/>
          <w:szCs w:val="18"/>
          <w:color w:val="auto"/>
        </w:rPr>
      </w:pPr>
    </w:p>
    <w:p>
      <w:pPr>
        <w:ind w:left="960" w:hanging="286"/>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2012 Exchange Agreement with Platinum</w:t>
      </w:r>
    </w:p>
    <w:p>
      <w:pPr>
        <w:spacing w:after="0" w:line="225" w:lineRule="exact"/>
        <w:rPr>
          <w:rFonts w:ascii="Arial" w:cs="Arial" w:eastAsia="Arial" w:hAnsi="Arial"/>
          <w:sz w:val="18"/>
          <w:szCs w:val="18"/>
          <w:color w:val="auto"/>
        </w:rPr>
      </w:pPr>
    </w:p>
    <w:p>
      <w:pPr>
        <w:jc w:val="both"/>
        <w:ind w:left="960"/>
        <w:spacing w:after="0" w:line="293" w:lineRule="auto"/>
        <w:rPr>
          <w:rFonts w:ascii="Arial" w:cs="Arial" w:eastAsia="Arial" w:hAnsi="Arial"/>
          <w:sz w:val="18"/>
          <w:szCs w:val="18"/>
          <w:color w:val="auto"/>
        </w:rPr>
      </w:pPr>
      <w:r>
        <w:rPr>
          <w:rFonts w:ascii="Arial" w:cs="Arial" w:eastAsia="Arial" w:hAnsi="Arial"/>
          <w:sz w:val="16"/>
          <w:szCs w:val="16"/>
          <w:color w:val="auto"/>
        </w:rPr>
        <w:t>On June 29, 2012, we entered into an Exchange Agreement (the 2012 Platinum Exchange Agreement) with Platinum pursuant to which we issued Platinum 62,945 restricted shares of Series A Preferred in exchange for 31,473 restricted shares of our common stock then owned by Platinum, in consideration for Platinum’s agreement to purchase from us a senior secured convertible promissory note in the face amount of $500,000. We estimated the fair value of the Series A Preferred shares tendered to Platinum under the terms of the 2012 Platinum Exchange Agreement at $736,400 ($23.40 per share on a common share equivalent basis). The common shares exchanged for shares of Series A Preferred are treated as treasury stock on that basis in the accompanying Consolidated Balance Sheet at March 31, 2015 and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Series A Preferred Exchange Right</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Pursuant to the October 2012 Agreement described more completely in Note 8, </w:t>
      </w:r>
      <w:r>
        <w:rPr>
          <w:rFonts w:ascii="Arial" w:cs="Arial" w:eastAsia="Arial" w:hAnsi="Arial"/>
          <w:sz w:val="17"/>
          <w:szCs w:val="17"/>
          <w:i w:val="1"/>
          <w:iCs w:val="1"/>
          <w:color w:val="auto"/>
        </w:rPr>
        <w:t>Convertible Promissory Notes and Other Notes Payable</w:t>
      </w:r>
      <w:r>
        <w:rPr>
          <w:rFonts w:ascii="Arial" w:cs="Arial" w:eastAsia="Arial" w:hAnsi="Arial"/>
          <w:sz w:val="17"/>
          <w:szCs w:val="17"/>
          <w:color w:val="auto"/>
        </w:rPr>
        <w:t>, Platinum’s exchange rights in the Series A Preferred were modified such that Platinum now has the right and option to exchange the 500,000 restricted shares of our Series A Preferred that it holds for (i) a total of 750,000 restricted shares of our common stock, and (ii) a five-year warrant to purchase 350,000 restricted shares of our common stock, originally at an exercise price of $30.00 per share (</w:t>
      </w:r>
      <w:r>
        <w:rPr>
          <w:rFonts w:ascii="Arial" w:cs="Arial" w:eastAsia="Arial" w:hAnsi="Arial"/>
          <w:sz w:val="17"/>
          <w:szCs w:val="17"/>
          <w:i w:val="1"/>
          <w:iCs w:val="1"/>
          <w:color w:val="auto"/>
        </w:rPr>
        <w:t>Series A Exchange Warrant</w:t>
      </w:r>
      <w:r>
        <w:rPr>
          <w:rFonts w:ascii="Arial" w:cs="Arial" w:eastAsia="Arial" w:hAnsi="Arial"/>
          <w:sz w:val="17"/>
          <w:szCs w:val="17"/>
          <w:color w:val="auto"/>
        </w:rPr>
        <w:t xml:space="preserve">). The Series A Exchange Warrant, when issued, will have the same features, including exercise price and anti-dilution provisions as the Exchange Warrant and the Investment Warrants issued to Platinum between October 2012 and July 2013 (collectively, the </w:t>
      </w:r>
      <w:r>
        <w:rPr>
          <w:rFonts w:ascii="Arial" w:cs="Arial" w:eastAsia="Arial" w:hAnsi="Arial"/>
          <w:sz w:val="17"/>
          <w:szCs w:val="17"/>
          <w:i w:val="1"/>
          <w:iCs w:val="1"/>
          <w:color w:val="auto"/>
        </w:rPr>
        <w:t>Platinum Warrants</w:t>
      </w:r>
      <w:r>
        <w:rPr>
          <w:rFonts w:ascii="Arial" w:cs="Arial" w:eastAsia="Arial" w:hAnsi="Arial"/>
          <w:sz w:val="17"/>
          <w:szCs w:val="17"/>
          <w:color w:val="auto"/>
        </w:rPr>
        <w:t xml:space="preserve">) and accordingly, has been treated as a component of Warrant Liability in our Consolidated Balance Sheets since the effective date of the October 2012 Agreement. Effective on May 24, 2013, we entered into an Amendment and Waiver Agreement (the </w:t>
      </w:r>
      <w:r>
        <w:rPr>
          <w:rFonts w:ascii="Arial" w:cs="Arial" w:eastAsia="Arial" w:hAnsi="Arial"/>
          <w:sz w:val="17"/>
          <w:szCs w:val="17"/>
          <w:i w:val="1"/>
          <w:iCs w:val="1"/>
          <w:color w:val="auto"/>
        </w:rPr>
        <w:t>Amendment and Waiver</w:t>
      </w:r>
      <w:r>
        <w:rPr>
          <w:rFonts w:ascii="Arial" w:cs="Arial" w:eastAsia="Arial" w:hAnsi="Arial"/>
          <w:sz w:val="17"/>
          <w:szCs w:val="17"/>
          <w:color w:val="auto"/>
        </w:rPr>
        <w:t>) with Platinum pursuant to which we agreed to reduce the exercise price of the Platinum Warrants and the Series A Exchange Warrant from $30.00 per share to $10.00 per share in consideration for Platinum’s agreement to waive certain of its rights under the anti-dilution provisions of the Platinum Warrants and the Series A Exchange Warrant. See the section entitled Modification of Platinum Warrants, later in this note, for a more complete description of the Amendment and Waiver.</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Similarly to the Platinum Warrants, we remeasure the fair value of the Series A Exchange Warrant at each quarterly reporting period and reflect the change in its fair value as a component of the Change in Warrant Liability in the Consolidated Statement of Operations. The fair value of the Series A Exchange Warrant was determined to be $2,198,400 and $2,058,600 as of March 31, 2015 and 2014, respectively, and the $139,800 increase in fair value since March 31, 2014 is reflected as a component of the Change in Warrant Liability in the accompanying Consolidated Statement of Operations and Comprehensive Loss for the fiscal year ended March 31, 2015.</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5" w:name="page156"/>
    <w:bookmarkEnd w:id="155"/>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described in Note 16, </w:t>
      </w:r>
      <w:r>
        <w:rPr>
          <w:rFonts w:ascii="Arial" w:cs="Arial" w:eastAsia="Arial" w:hAnsi="Arial"/>
          <w:sz w:val="18"/>
          <w:szCs w:val="18"/>
          <w:i w:val="1"/>
          <w:iCs w:val="1"/>
          <w:color w:val="auto"/>
        </w:rPr>
        <w:t>Subsequent Events</w:t>
      </w:r>
      <w:r>
        <w:rPr>
          <w:rFonts w:ascii="Arial" w:cs="Arial" w:eastAsia="Arial" w:hAnsi="Arial"/>
          <w:sz w:val="18"/>
          <w:szCs w:val="18"/>
          <w:color w:val="auto"/>
        </w:rPr>
        <w:t>, during May 2015, we entered into an agreement with Platinum pursuant to which Platinum agreed to amend the Platinum Warrants and the Series A Exchange Warrant to fix the exercise price thereof at $7.00 per share and eliminate the exercise price reset features and fix the number of shares of our common stock issuable thereunder. This amendment will result in the elimination of the warrant liability with respect to these warrants during the first quarter of our fiscal year ended March 31, 2016.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Creation of Series B Preferred Stock</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17, 2014, our Board of Directors authorized the creation of a class of Series B Preferred Stock (</w:t>
      </w:r>
      <w:r>
        <w:rPr>
          <w:rFonts w:ascii="Arial" w:cs="Arial" w:eastAsia="Arial" w:hAnsi="Arial"/>
          <w:sz w:val="18"/>
          <w:szCs w:val="18"/>
          <w:i w:val="1"/>
          <w:iCs w:val="1"/>
          <w:color w:val="auto"/>
        </w:rPr>
        <w:t>Series B Preferred</w:t>
      </w:r>
      <w:r>
        <w:rPr>
          <w:rFonts w:ascii="Arial" w:cs="Arial" w:eastAsia="Arial" w:hAnsi="Arial"/>
          <w:sz w:val="18"/>
          <w:szCs w:val="18"/>
          <w:color w:val="auto"/>
        </w:rPr>
        <w:t>) to provide for the potential conversion of the Senior Secured Convertible Promissory Notes held by Platinum totaling approximately $4.3 million in principal and accrued interest at December 31, 2014 (</w:t>
      </w:r>
      <w:r>
        <w:rPr>
          <w:rFonts w:ascii="Arial" w:cs="Arial" w:eastAsia="Arial" w:hAnsi="Arial"/>
          <w:sz w:val="18"/>
          <w:szCs w:val="18"/>
          <w:i w:val="1"/>
          <w:iCs w:val="1"/>
          <w:color w:val="auto"/>
        </w:rPr>
        <w:t>Outstanding Balance</w:t>
      </w:r>
      <w:r>
        <w:rPr>
          <w:rFonts w:ascii="Arial" w:cs="Arial" w:eastAsia="Arial" w:hAnsi="Arial"/>
          <w:sz w:val="18"/>
          <w:szCs w:val="18"/>
          <w:color w:val="auto"/>
        </w:rPr>
        <w:t xml:space="preserve">) into Series B Preferred. At March 31, 2015, we had not yet filed a certificate of designation with the Nevada Secretary of State to amend our Articles of Incorporation to formally establish the Series B Preferred. Refer to Note 16, </w:t>
      </w:r>
      <w:r>
        <w:rPr>
          <w:rFonts w:ascii="Arial" w:cs="Arial" w:eastAsia="Arial" w:hAnsi="Arial"/>
          <w:sz w:val="18"/>
          <w:szCs w:val="18"/>
          <w:i w:val="1"/>
          <w:iCs w:val="1"/>
          <w:color w:val="auto"/>
        </w:rPr>
        <w:t>Subsequent Events</w:t>
      </w:r>
      <w:r>
        <w:rPr>
          <w:rFonts w:ascii="Arial" w:cs="Arial" w:eastAsia="Arial" w:hAnsi="Arial"/>
          <w:sz w:val="18"/>
          <w:szCs w:val="18"/>
          <w:color w:val="auto"/>
        </w:rPr>
        <w:t>, for information regarding the filing of a Certificate of Designation for the Series B Preferred with the Nevada Secretary of State and the issuance of Series B Preferred in May and June 2015.</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Unit Private Placement</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Between late-March 2014 and March 31, 2015, we entered into securities purchase agreements with accredited investors, including Platinum, pursuant to which we sold units to such accredited investors in private placement transactions (</w:t>
      </w:r>
      <w:r>
        <w:rPr>
          <w:rFonts w:ascii="Arial" w:cs="Arial" w:eastAsia="Arial" w:hAnsi="Arial"/>
          <w:sz w:val="16"/>
          <w:szCs w:val="16"/>
          <w:i w:val="1"/>
          <w:iCs w:val="1"/>
          <w:color w:val="auto"/>
        </w:rPr>
        <w:t>2014 Units</w:t>
      </w:r>
      <w:r>
        <w:rPr>
          <w:rFonts w:ascii="Arial" w:cs="Arial" w:eastAsia="Arial" w:hAnsi="Arial"/>
          <w:sz w:val="16"/>
          <w:szCs w:val="16"/>
          <w:color w:val="auto"/>
        </w:rPr>
        <w:t>), for aggregate cash proceeds of $3,113,500, consisting of (i) 2014 Unit Notes in the aggregate face amount of $3,113,500 which are due on March 31, 2015 or automatically convertible into securities we may issue upon the consummation of a Qualified Financing, defined as (a) an equity-based public financing registered with the SEC, or (b) a private equity-based financing or series of private equity-based financings, in either case in which we receive at least $10 million in gross cash proceeds prior to March 31, 2015; (ii) an aggregate of 282,850 restricted shares of our common stock (</w:t>
      </w:r>
      <w:r>
        <w:rPr>
          <w:rFonts w:ascii="Arial" w:cs="Arial" w:eastAsia="Arial" w:hAnsi="Arial"/>
          <w:sz w:val="16"/>
          <w:szCs w:val="16"/>
          <w:i w:val="1"/>
          <w:iCs w:val="1"/>
          <w:color w:val="auto"/>
        </w:rPr>
        <w:t>2014 Unit Stock)</w:t>
      </w:r>
      <w:r>
        <w:rPr>
          <w:rFonts w:ascii="Arial" w:cs="Arial" w:eastAsia="Arial" w:hAnsi="Arial"/>
          <w:sz w:val="16"/>
          <w:szCs w:val="16"/>
          <w:color w:val="auto"/>
        </w:rPr>
        <w:t>; and (iii) warrants exercisable through December 31, 2016 to purchase an aggregate of 282,850 restricted shares of our common stock at an exercise price of $10.00 per share (</w:t>
      </w:r>
      <w:r>
        <w:rPr>
          <w:rFonts w:ascii="Arial" w:cs="Arial" w:eastAsia="Arial" w:hAnsi="Arial"/>
          <w:sz w:val="16"/>
          <w:szCs w:val="16"/>
          <w:i w:val="1"/>
          <w:iCs w:val="1"/>
          <w:color w:val="auto"/>
        </w:rPr>
        <w:t>2014 Unit Warrants</w:t>
      </w:r>
      <w:r>
        <w:rPr>
          <w:rFonts w:ascii="Arial" w:cs="Arial" w:eastAsia="Arial" w:hAnsi="Arial"/>
          <w:sz w:val="16"/>
          <w:szCs w:val="16"/>
          <w:color w:val="auto"/>
        </w:rPr>
        <w:t xml:space="preserve">). We sold $1,250,000 of such Units to Platinum, issuing 2014 Unit Notes in the face amount of $1,250,000; 125,000 restricted shares of 2014 Unit Stock and 2014 Unit Warrants to purchase 125,000 shares of our common stock to Platinum. The Outstanding Balance of each 2014 Unit Notes is convertible into shares of our common stock at a conversion price of $10.00 per share at or prior to maturity, at the option of each investor. In addition, however, the Outstanding Balance is automatically convertible into securities substantially similar to those we may issue in a Qualified Financing at an amount determined by multiplying the Outstanding Balance by 1.25, and dividing the resulting number by the price per share of securities offered in the Qualified Financing. Under certain circumstances, the holders of the 2014 Unit Notes may request payment in cash in lieu of automatic conversion into the securities of the Qualified Financing. We sold $50,000 of 2014 Units prior to March 31, 2014, which Units are reflected in the figures above. See Note 16, </w:t>
      </w:r>
      <w:r>
        <w:rPr>
          <w:rFonts w:ascii="Arial" w:cs="Arial" w:eastAsia="Arial" w:hAnsi="Arial"/>
          <w:sz w:val="16"/>
          <w:szCs w:val="16"/>
          <w:i w:val="1"/>
          <w:iCs w:val="1"/>
          <w:color w:val="auto"/>
        </w:rPr>
        <w:t>Subsequent Events</w:t>
      </w:r>
      <w:r>
        <w:rPr>
          <w:rFonts w:ascii="Arial" w:cs="Arial" w:eastAsia="Arial" w:hAnsi="Arial"/>
          <w:sz w:val="16"/>
          <w:szCs w:val="16"/>
          <w:color w:val="auto"/>
        </w:rPr>
        <w:t>, for information regarding additional sales of 2014 Unit Notes in April and May 2015 and the conversion of the 2014 Unit Notes pursuant to a private placement financing in May 2015.</w:t>
      </w:r>
    </w:p>
    <w:p>
      <w:pPr>
        <w:spacing w:after="0" w:line="1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allocated the proceeds from the sale of the 2014 Units to the various securities based on their relative fair values on the dates of the sales. As described in Note 8, </w:t>
      </w:r>
      <w:r>
        <w:rPr>
          <w:rFonts w:ascii="Arial" w:cs="Arial" w:eastAsia="Arial" w:hAnsi="Arial"/>
          <w:sz w:val="17"/>
          <w:szCs w:val="17"/>
          <w:i w:val="1"/>
          <w:iCs w:val="1"/>
          <w:color w:val="auto"/>
        </w:rPr>
        <w:t>Convertible PromissoryNotes and Other Notes Payable</w:t>
      </w:r>
      <w:r>
        <w:rPr>
          <w:rFonts w:ascii="Arial" w:cs="Arial" w:eastAsia="Arial" w:hAnsi="Arial"/>
          <w:sz w:val="17"/>
          <w:szCs w:val="17"/>
          <w:color w:val="auto"/>
        </w:rPr>
        <w:t>, based on the short-term nature of the Unit Notes, we determined that fair value of the 2014 Unit Notes was equal to their face value. We determined the fair value of the 2014 Unit Stock based on the quoted market price of our common stock on the date of the 2014 Unit sale. We calculated the fair value of the 2014 Unit Warrants using the Black Scholes Option Pricing Model and the weighted average assumptions indicated in the table below. The table below also presents the aggregate allocation of the 2014 Unit sales proceeds based on the relative fair values of the 2014 Unit Stock, 2014 Unit Warrants and 2014 Unit Notes as of their respective 2014 Unit sales dates.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Unit Warrants</w:t>
            </w: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80" w:type="dxa"/>
            <w:vAlign w:val="bottom"/>
            <w:gridSpan w:val="7"/>
          </w:tcPr>
          <w:p>
            <w:pPr>
              <w:ind w:left="260"/>
              <w:spacing w:after="0"/>
              <w:rPr>
                <w:sz w:val="20"/>
                <w:szCs w:val="20"/>
                <w:color w:val="auto"/>
              </w:rPr>
            </w:pPr>
            <w:r>
              <w:rPr>
                <w:rFonts w:ascii="Arial" w:cs="Arial" w:eastAsia="Arial" w:hAnsi="Arial"/>
                <w:sz w:val="18"/>
                <w:szCs w:val="18"/>
                <w:color w:val="auto"/>
                <w:w w:val="96"/>
              </w:rPr>
              <w:t>Weighted Average Issuance Date Valuation Assumptions</w:t>
            </w:r>
          </w:p>
        </w:tc>
        <w:tc>
          <w:tcPr>
            <w:tcW w:w="1840" w:type="dxa"/>
            <w:vAlign w:val="bottom"/>
            <w:gridSpan w:val="3"/>
          </w:tcPr>
          <w:p>
            <w:pPr>
              <w:ind w:left="40"/>
              <w:spacing w:after="0"/>
              <w:rPr>
                <w:sz w:val="20"/>
                <w:szCs w:val="20"/>
                <w:color w:val="auto"/>
              </w:rPr>
            </w:pPr>
            <w:r>
              <w:rPr>
                <w:rFonts w:ascii="Arial" w:cs="Arial" w:eastAsia="Arial" w:hAnsi="Arial"/>
                <w:sz w:val="18"/>
                <w:szCs w:val="18"/>
                <w:color w:val="auto"/>
              </w:rPr>
              <w:t>Per Share Aggregate</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Aggregate</w:t>
            </w:r>
          </w:p>
        </w:tc>
        <w:tc>
          <w:tcPr>
            <w:tcW w:w="2820" w:type="dxa"/>
            <w:vAlign w:val="bottom"/>
            <w:gridSpan w:val="4"/>
          </w:tcPr>
          <w:p>
            <w:pPr>
              <w:jc w:val="center"/>
              <w:ind w:right="60"/>
              <w:spacing w:after="0"/>
              <w:rPr>
                <w:sz w:val="20"/>
                <w:szCs w:val="20"/>
                <w:color w:val="auto"/>
              </w:rPr>
            </w:pPr>
            <w:r>
              <w:rPr>
                <w:rFonts w:ascii="Arial" w:cs="Arial" w:eastAsia="Arial" w:hAnsi="Arial"/>
                <w:sz w:val="18"/>
                <w:szCs w:val="18"/>
                <w:color w:val="auto"/>
                <w:w w:val="91"/>
              </w:rPr>
              <w:t>Aggregate Allocation of Proceeds</w:t>
            </w:r>
          </w:p>
        </w:tc>
        <w:tc>
          <w:tcPr>
            <w:tcW w:w="0" w:type="dxa"/>
            <w:vAlign w:val="bottom"/>
          </w:tcPr>
          <w:p>
            <w:pPr>
              <w:spacing w:after="0"/>
              <w:rPr>
                <w:sz w:val="1"/>
                <w:szCs w:val="1"/>
                <w:color w:val="auto"/>
              </w:rPr>
            </w:pPr>
          </w:p>
        </w:tc>
      </w:tr>
      <w:tr>
        <w:trPr>
          <w:trHeight w:val="196"/>
        </w:trPr>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0"/>
              </w:rPr>
              <w:t>Warrant</w:t>
            </w:r>
          </w:p>
        </w:tc>
        <w:tc>
          <w:tcPr>
            <w:tcW w:w="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Risk free</w:t>
            </w:r>
          </w:p>
        </w:tc>
        <w:tc>
          <w:tcPr>
            <w:tcW w:w="8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90"/>
              </w:rPr>
              <w:t>Fair</w:t>
            </w:r>
          </w:p>
        </w:tc>
        <w:tc>
          <w:tcPr>
            <w:tcW w:w="100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2"/>
              </w:rPr>
              <w:t>Fair Value</w:t>
            </w:r>
          </w:p>
        </w:tc>
        <w:tc>
          <w:tcPr>
            <w:tcW w:w="98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86"/>
              </w:rPr>
              <w:t>Proceeds</w:t>
            </w:r>
          </w:p>
        </w:tc>
        <w:tc>
          <w:tcPr>
            <w:tcW w:w="2820" w:type="dxa"/>
            <w:vAlign w:val="bottom"/>
            <w:gridSpan w:val="4"/>
          </w:tcPr>
          <w:p>
            <w:pPr>
              <w:jc w:val="center"/>
              <w:ind w:right="80"/>
              <w:spacing w:after="0" w:line="189" w:lineRule="exact"/>
              <w:rPr>
                <w:sz w:val="20"/>
                <w:szCs w:val="20"/>
                <w:color w:val="auto"/>
              </w:rPr>
            </w:pPr>
            <w:r>
              <w:rPr>
                <w:rFonts w:ascii="Arial" w:cs="Arial" w:eastAsia="Arial" w:hAnsi="Arial"/>
                <w:sz w:val="18"/>
                <w:szCs w:val="18"/>
                <w:color w:val="auto"/>
                <w:w w:val="90"/>
              </w:rPr>
              <w:t>Based on Relative Fair Value of:</w:t>
            </w:r>
          </w:p>
        </w:tc>
        <w:tc>
          <w:tcPr>
            <w:tcW w:w="0" w:type="dxa"/>
            <w:vAlign w:val="bottom"/>
          </w:tcPr>
          <w:p>
            <w:pPr>
              <w:spacing w:after="0"/>
              <w:rPr>
                <w:sz w:val="1"/>
                <w:szCs w:val="1"/>
                <w:color w:val="auto"/>
              </w:rPr>
            </w:pPr>
          </w:p>
        </w:tc>
      </w:tr>
      <w:tr>
        <w:trPr>
          <w:trHeight w:val="202"/>
        </w:trPr>
        <w:tc>
          <w:tcPr>
            <w:tcW w:w="1120" w:type="dxa"/>
            <w:vAlign w:val="bottom"/>
            <w:gridSpan w:val="2"/>
          </w:tcPr>
          <w:p>
            <w:pPr>
              <w:jc w:val="center"/>
              <w:ind w:right="40"/>
              <w:spacing w:after="0" w:line="201" w:lineRule="exact"/>
              <w:rPr>
                <w:sz w:val="20"/>
                <w:szCs w:val="20"/>
                <w:color w:val="auto"/>
              </w:rPr>
            </w:pPr>
            <w:r>
              <w:rPr>
                <w:rFonts w:ascii="Arial" w:cs="Arial" w:eastAsia="Arial" w:hAnsi="Arial"/>
                <w:sz w:val="18"/>
                <w:szCs w:val="18"/>
                <w:color w:val="auto"/>
                <w:w w:val="84"/>
              </w:rPr>
              <w:t>Shares</w:t>
            </w:r>
          </w:p>
        </w:tc>
        <w:tc>
          <w:tcPr>
            <w:tcW w:w="640" w:type="dxa"/>
            <w:vAlign w:val="bottom"/>
          </w:tcPr>
          <w:p>
            <w:pPr>
              <w:jc w:val="center"/>
              <w:spacing w:after="0" w:line="201" w:lineRule="exact"/>
              <w:rPr>
                <w:sz w:val="20"/>
                <w:szCs w:val="20"/>
                <w:color w:val="auto"/>
              </w:rPr>
            </w:pPr>
            <w:r>
              <w:rPr>
                <w:rFonts w:ascii="Arial" w:cs="Arial" w:eastAsia="Arial" w:hAnsi="Arial"/>
                <w:sz w:val="18"/>
                <w:szCs w:val="18"/>
                <w:color w:val="auto"/>
                <w:w w:val="94"/>
              </w:rPr>
              <w:t>Market</w:t>
            </w:r>
          </w:p>
        </w:tc>
        <w:tc>
          <w:tcPr>
            <w:tcW w:w="80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9"/>
              </w:rPr>
              <w:t>Exercise</w:t>
            </w:r>
          </w:p>
        </w:tc>
        <w:tc>
          <w:tcPr>
            <w:tcW w:w="76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90"/>
              </w:rPr>
              <w:t>Term</w:t>
            </w: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89"/>
              </w:rPr>
              <w:t>Interest</w:t>
            </w:r>
          </w:p>
        </w:tc>
        <w:tc>
          <w:tcPr>
            <w:tcW w:w="840" w:type="dxa"/>
            <w:vAlign w:val="bottom"/>
          </w:tcPr>
          <w:p>
            <w:pPr>
              <w:spacing w:after="0"/>
              <w:rPr>
                <w:sz w:val="17"/>
                <w:szCs w:val="17"/>
                <w:color w:val="auto"/>
              </w:rPr>
            </w:pPr>
          </w:p>
        </w:tc>
        <w:tc>
          <w:tcPr>
            <w:tcW w:w="84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4"/>
              </w:rPr>
              <w:t>Dividend</w:t>
            </w:r>
          </w:p>
        </w:tc>
        <w:tc>
          <w:tcPr>
            <w:tcW w:w="840" w:type="dxa"/>
            <w:vAlign w:val="bottom"/>
          </w:tcPr>
          <w:p>
            <w:pPr>
              <w:jc w:val="center"/>
              <w:spacing w:after="0" w:line="201" w:lineRule="exact"/>
              <w:rPr>
                <w:sz w:val="20"/>
                <w:szCs w:val="20"/>
                <w:color w:val="auto"/>
              </w:rPr>
            </w:pPr>
            <w:r>
              <w:rPr>
                <w:rFonts w:ascii="Arial" w:cs="Arial" w:eastAsia="Arial" w:hAnsi="Arial"/>
                <w:sz w:val="18"/>
                <w:szCs w:val="18"/>
                <w:color w:val="auto"/>
                <w:w w:val="90"/>
              </w:rPr>
              <w:t>Value of</w:t>
            </w:r>
          </w:p>
        </w:tc>
        <w:tc>
          <w:tcPr>
            <w:tcW w:w="10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9"/>
              </w:rPr>
              <w:t>of Unit</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6"/>
              </w:rPr>
              <w:t>of Unit</w:t>
            </w:r>
          </w:p>
        </w:tc>
        <w:tc>
          <w:tcPr>
            <w:tcW w:w="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center"/>
              <w:ind w:right="70"/>
              <w:spacing w:after="0" w:line="201" w:lineRule="exact"/>
              <w:rPr>
                <w:sz w:val="20"/>
                <w:szCs w:val="20"/>
                <w:color w:val="auto"/>
              </w:rPr>
            </w:pPr>
            <w:r>
              <w:rPr>
                <w:rFonts w:ascii="Arial" w:cs="Arial" w:eastAsia="Arial" w:hAnsi="Arial"/>
                <w:sz w:val="18"/>
                <w:szCs w:val="18"/>
                <w:color w:val="auto"/>
                <w:w w:val="99"/>
              </w:rPr>
              <w:t>Unit</w:t>
            </w:r>
          </w:p>
        </w:tc>
        <w:tc>
          <w:tcPr>
            <w:tcW w:w="9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Issued</w:t>
            </w: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Price</w:t>
            </w: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87"/>
              </w:rPr>
              <w:t>Price</w:t>
            </w:r>
          </w:p>
        </w:tc>
        <w:tc>
          <w:tcPr>
            <w:tcW w:w="760" w:type="dxa"/>
            <w:vAlign w:val="bottom"/>
          </w:tcPr>
          <w:p>
            <w:pPr>
              <w:jc w:val="center"/>
              <w:ind w:right="30"/>
              <w:spacing w:after="0"/>
              <w:rPr>
                <w:sz w:val="20"/>
                <w:szCs w:val="20"/>
                <w:color w:val="auto"/>
              </w:rPr>
            </w:pPr>
            <w:r>
              <w:rPr>
                <w:rFonts w:ascii="Arial" w:cs="Arial" w:eastAsia="Arial" w:hAnsi="Arial"/>
                <w:sz w:val="18"/>
                <w:szCs w:val="18"/>
                <w:color w:val="auto"/>
                <w:w w:val="88"/>
              </w:rPr>
              <w:t>(Years)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Rate</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Volatility</w:t>
            </w:r>
          </w:p>
        </w:tc>
        <w:tc>
          <w:tcPr>
            <w:tcW w:w="8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Rate</w:t>
            </w: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Warrant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Warrants</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Sales</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w w:val="99"/>
              </w:rPr>
              <w:t>Unit Stock</w:t>
            </w:r>
          </w:p>
        </w:tc>
        <w:tc>
          <w:tcPr>
            <w:tcW w:w="840" w:type="dxa"/>
            <w:vAlign w:val="bottom"/>
          </w:tcPr>
          <w:p>
            <w:pPr>
              <w:jc w:val="center"/>
              <w:ind w:right="50"/>
              <w:spacing w:after="0"/>
              <w:rPr>
                <w:sz w:val="20"/>
                <w:szCs w:val="20"/>
                <w:color w:val="auto"/>
              </w:rPr>
            </w:pPr>
            <w:r>
              <w:rPr>
                <w:rFonts w:ascii="Arial" w:cs="Arial" w:eastAsia="Arial" w:hAnsi="Arial"/>
                <w:sz w:val="18"/>
                <w:szCs w:val="18"/>
                <w:color w:val="auto"/>
                <w:w w:val="90"/>
              </w:rPr>
              <w:t>Warrant</w:t>
            </w:r>
          </w:p>
        </w:tc>
        <w:tc>
          <w:tcPr>
            <w:tcW w:w="960" w:type="dxa"/>
            <w:vAlign w:val="bottom"/>
            <w:gridSpan w:val="2"/>
          </w:tcPr>
          <w:p>
            <w:pPr>
              <w:ind w:left="80"/>
              <w:spacing w:after="0"/>
              <w:rPr>
                <w:sz w:val="20"/>
                <w:szCs w:val="20"/>
                <w:color w:val="auto"/>
              </w:rPr>
            </w:pPr>
            <w:r>
              <w:rPr>
                <w:rFonts w:ascii="Arial" w:cs="Arial" w:eastAsia="Arial" w:hAnsi="Arial"/>
                <w:sz w:val="18"/>
                <w:szCs w:val="18"/>
                <w:color w:val="auto"/>
              </w:rPr>
              <w:t>Unit Note</w:t>
            </w:r>
          </w:p>
        </w:tc>
        <w:tc>
          <w:tcPr>
            <w:tcW w:w="0" w:type="dxa"/>
            <w:vAlign w:val="bottom"/>
          </w:tcPr>
          <w:p>
            <w:pPr>
              <w:spacing w:after="0"/>
              <w:rPr>
                <w:sz w:val="1"/>
                <w:szCs w:val="1"/>
                <w:color w:val="auto"/>
              </w:rPr>
            </w:pPr>
          </w:p>
        </w:tc>
      </w:tr>
      <w:tr>
        <w:trPr>
          <w:trHeight w:val="216"/>
        </w:trPr>
        <w:tc>
          <w:tcPr>
            <w:tcW w:w="10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282,850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$1,027,000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$3,133,500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$454,200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$1,556,900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6" w:name="page157"/>
    <w:bookmarkEnd w:id="156"/>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Unit Private Placement</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Between August 2013 and March 2014, we entered into securities purchase agreements with accredited investors pursuant to which we sold units to such accredited investors in private placement transactions (</w:t>
      </w:r>
      <w:r>
        <w:rPr>
          <w:rFonts w:ascii="Arial" w:cs="Arial" w:eastAsia="Arial" w:hAnsi="Arial"/>
          <w:sz w:val="16"/>
          <w:szCs w:val="16"/>
          <w:i w:val="1"/>
          <w:iCs w:val="1"/>
          <w:color w:val="auto"/>
        </w:rPr>
        <w:t>2013 Units</w:t>
      </w:r>
      <w:r>
        <w:rPr>
          <w:rFonts w:ascii="Arial" w:cs="Arial" w:eastAsia="Arial" w:hAnsi="Arial"/>
          <w:sz w:val="16"/>
          <w:szCs w:val="16"/>
          <w:color w:val="auto"/>
        </w:rPr>
        <w:t>), for aggregate cash proceeds of $1,007,500, including $50,000 in lieu of repayment of previous advances to us made by one of our executive officers. The 2013 Units consisted of (i) 10% convertible promissory notes in the aggregate face amount of $1,007,500 maturing on July 30, 2014 (</w:t>
      </w:r>
      <w:r>
        <w:rPr>
          <w:rFonts w:ascii="Arial" w:cs="Arial" w:eastAsia="Arial" w:hAnsi="Arial"/>
          <w:sz w:val="16"/>
          <w:szCs w:val="16"/>
          <w:i w:val="1"/>
          <w:iCs w:val="1"/>
          <w:color w:val="auto"/>
        </w:rPr>
        <w:t>2013 Unit Notes)</w:t>
      </w:r>
      <w:r>
        <w:rPr>
          <w:rFonts w:ascii="Arial" w:cs="Arial" w:eastAsia="Arial" w:hAnsi="Arial"/>
          <w:sz w:val="16"/>
          <w:szCs w:val="16"/>
          <w:color w:val="auto"/>
        </w:rPr>
        <w:t xml:space="preserve"> (ii) an aggregate 100,750 restricted shares of our common stock (</w:t>
      </w:r>
      <w:r>
        <w:rPr>
          <w:rFonts w:ascii="Arial" w:cs="Arial" w:eastAsia="Arial" w:hAnsi="Arial"/>
          <w:sz w:val="16"/>
          <w:szCs w:val="16"/>
          <w:i w:val="1"/>
          <w:iCs w:val="1"/>
          <w:color w:val="auto"/>
        </w:rPr>
        <w:t>2013 Unit Stock</w:t>
      </w:r>
      <w:r>
        <w:rPr>
          <w:rFonts w:ascii="Arial" w:cs="Arial" w:eastAsia="Arial" w:hAnsi="Arial"/>
          <w:sz w:val="16"/>
          <w:szCs w:val="16"/>
          <w:color w:val="auto"/>
        </w:rPr>
        <w:t>); and</w:t>
      </w:r>
    </w:p>
    <w:p>
      <w:pPr>
        <w:spacing w:after="0" w:line="2" w:lineRule="exact"/>
        <w:rPr>
          <w:sz w:val="20"/>
          <w:szCs w:val="20"/>
          <w:color w:val="auto"/>
        </w:rPr>
      </w:pPr>
    </w:p>
    <w:p>
      <w:pPr>
        <w:jc w:val="both"/>
        <w:ind w:firstLine="8"/>
        <w:spacing w:after="0" w:line="255" w:lineRule="auto"/>
        <w:tabs>
          <w:tab w:leader="none" w:pos="319" w:val="left"/>
        </w:tabs>
        <w:numPr>
          <w:ilvl w:val="0"/>
          <w:numId w:val="86"/>
        </w:numPr>
        <w:rPr>
          <w:rFonts w:ascii="Arial" w:cs="Arial" w:eastAsia="Arial" w:hAnsi="Arial"/>
          <w:sz w:val="18"/>
          <w:szCs w:val="18"/>
          <w:color w:val="auto"/>
        </w:rPr>
      </w:pPr>
      <w:r>
        <w:rPr>
          <w:rFonts w:ascii="Arial" w:cs="Arial" w:eastAsia="Arial" w:hAnsi="Arial"/>
          <w:sz w:val="18"/>
          <w:szCs w:val="18"/>
          <w:color w:val="auto"/>
        </w:rPr>
        <w:t>warrants exercisable through July 30, 2016 to purchase an aggregate of 100,750 restricted shares of our common stock at an exercise price of $20.00 per share (</w:t>
      </w:r>
      <w:r>
        <w:rPr>
          <w:rFonts w:ascii="Arial" w:cs="Arial" w:eastAsia="Arial" w:hAnsi="Arial"/>
          <w:sz w:val="18"/>
          <w:szCs w:val="18"/>
          <w:i w:val="1"/>
          <w:iCs w:val="1"/>
          <w:color w:val="auto"/>
        </w:rPr>
        <w:t>2013 Unit Warrants</w:t>
      </w:r>
      <w:r>
        <w:rPr>
          <w:rFonts w:ascii="Arial" w:cs="Arial" w:eastAsia="Arial" w:hAnsi="Arial"/>
          <w:sz w:val="18"/>
          <w:szCs w:val="18"/>
          <w:color w:val="auto"/>
        </w:rPr>
        <w:t>). The 2013 Unit Notes and related accrued interest were convertible into restricted shares of our common stock at a conversion price of $10.00 per share at or prior to maturity, at the option of each investor.</w:t>
      </w:r>
    </w:p>
    <w:p>
      <w:pPr>
        <w:spacing w:after="0" w:line="2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We allocated the proceeds from the sale of the 2013 Units to the various securities in each 2013 Unit based on their relative fair value on the dates of the sales. As described in Note 8, </w:t>
      </w:r>
      <w:r>
        <w:rPr>
          <w:rFonts w:ascii="Arial" w:cs="Arial" w:eastAsia="Arial" w:hAnsi="Arial"/>
          <w:sz w:val="16"/>
          <w:szCs w:val="16"/>
          <w:i w:val="1"/>
          <w:iCs w:val="1"/>
          <w:color w:val="auto"/>
        </w:rPr>
        <w:t>Convertible PromissoryNotes and Other Notes Payable</w:t>
      </w:r>
      <w:r>
        <w:rPr>
          <w:rFonts w:ascii="Arial" w:cs="Arial" w:eastAsia="Arial" w:hAnsi="Arial"/>
          <w:sz w:val="16"/>
          <w:szCs w:val="16"/>
          <w:color w:val="auto"/>
        </w:rPr>
        <w:t>, based on the short-term nature of the 2013 Unit Notes, we determined that fair value of the 2013 Unit Notes was equal to their face value. We determined the fair value of the 2013 Unit Stock based on the quoted market price of our common stock on the date of the 2013 Unit sale. We calculated the fair value of the 2013 Unit Warrants using the Black Scholes Option Pricing Model and the weighted average assumptions indicated in the table below. The table below also presents the aggregate allocation of the 2013 Unit sales proceeds based on the relative fair values of the 2013 Unit Stock, 2013 Unit Warrants and 2013 Unit Notes at the respective 2013 Unit sales date.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2013Unit Warrants</w:t>
            </w: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00" w:type="dxa"/>
            <w:vAlign w:val="bottom"/>
          </w:tcPr>
          <w:p>
            <w:pPr>
              <w:spacing w:after="0"/>
              <w:rPr>
                <w:sz w:val="19"/>
                <w:szCs w:val="19"/>
                <w:color w:val="auto"/>
              </w:rPr>
            </w:pPr>
          </w:p>
        </w:tc>
        <w:tc>
          <w:tcPr>
            <w:tcW w:w="4780" w:type="dxa"/>
            <w:vAlign w:val="bottom"/>
            <w:gridSpan w:val="7"/>
          </w:tcPr>
          <w:p>
            <w:pPr>
              <w:ind w:left="340"/>
              <w:spacing w:after="0"/>
              <w:rPr>
                <w:sz w:val="20"/>
                <w:szCs w:val="20"/>
                <w:color w:val="auto"/>
              </w:rPr>
            </w:pPr>
            <w:r>
              <w:rPr>
                <w:rFonts w:ascii="Arial" w:cs="Arial" w:eastAsia="Arial" w:hAnsi="Arial"/>
                <w:sz w:val="18"/>
                <w:szCs w:val="18"/>
                <w:color w:val="auto"/>
                <w:w w:val="96"/>
              </w:rPr>
              <w:t>Weighted Average Issuance Date Valuation Assumptions</w:t>
            </w: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Per Share Aggregate</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Aggregate</w:t>
            </w:r>
          </w:p>
        </w:tc>
        <w:tc>
          <w:tcPr>
            <w:tcW w:w="2840" w:type="dxa"/>
            <w:vAlign w:val="bottom"/>
            <w:gridSpan w:val="4"/>
          </w:tcPr>
          <w:p>
            <w:pPr>
              <w:jc w:val="center"/>
              <w:ind w:right="80"/>
              <w:spacing w:after="0"/>
              <w:rPr>
                <w:sz w:val="20"/>
                <w:szCs w:val="20"/>
                <w:color w:val="auto"/>
              </w:rPr>
            </w:pPr>
            <w:r>
              <w:rPr>
                <w:rFonts w:ascii="Arial" w:cs="Arial" w:eastAsia="Arial" w:hAnsi="Arial"/>
                <w:sz w:val="18"/>
                <w:szCs w:val="18"/>
                <w:color w:val="auto"/>
                <w:w w:val="91"/>
              </w:rPr>
              <w:t>Aggregate Allocation of Proceeds</w:t>
            </w:r>
          </w:p>
        </w:tc>
        <w:tc>
          <w:tcPr>
            <w:tcW w:w="0" w:type="dxa"/>
            <w:vAlign w:val="bottom"/>
          </w:tcPr>
          <w:p>
            <w:pPr>
              <w:spacing w:after="0"/>
              <w:rPr>
                <w:sz w:val="1"/>
                <w:szCs w:val="1"/>
                <w:color w:val="auto"/>
              </w:rPr>
            </w:pPr>
          </w:p>
        </w:tc>
      </w:tr>
      <w:tr>
        <w:trPr>
          <w:trHeight w:val="196"/>
        </w:trPr>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0"/>
              </w:rPr>
              <w:t>Warrant</w:t>
            </w:r>
          </w:p>
        </w:tc>
        <w:tc>
          <w:tcPr>
            <w:tcW w:w="6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Risk free</w:t>
            </w:r>
          </w:p>
        </w:tc>
        <w:tc>
          <w:tcPr>
            <w:tcW w:w="8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jc w:val="center"/>
              <w:spacing w:after="0" w:line="189" w:lineRule="exact"/>
              <w:rPr>
                <w:sz w:val="20"/>
                <w:szCs w:val="20"/>
                <w:color w:val="auto"/>
              </w:rPr>
            </w:pPr>
            <w:r>
              <w:rPr>
                <w:rFonts w:ascii="Arial" w:cs="Arial" w:eastAsia="Arial" w:hAnsi="Arial"/>
                <w:sz w:val="18"/>
                <w:szCs w:val="18"/>
                <w:color w:val="auto"/>
                <w:w w:val="90"/>
              </w:rPr>
              <w:t>Fair</w:t>
            </w:r>
          </w:p>
        </w:tc>
        <w:tc>
          <w:tcPr>
            <w:tcW w:w="900" w:type="dxa"/>
            <w:vAlign w:val="bottom"/>
            <w:gridSpan w:val="2"/>
          </w:tcPr>
          <w:p>
            <w:pPr>
              <w:jc w:val="center"/>
              <w:ind w:right="80"/>
              <w:spacing w:after="0" w:line="189" w:lineRule="exact"/>
              <w:rPr>
                <w:sz w:val="20"/>
                <w:szCs w:val="20"/>
                <w:color w:val="auto"/>
              </w:rPr>
            </w:pPr>
            <w:r>
              <w:rPr>
                <w:rFonts w:ascii="Arial" w:cs="Arial" w:eastAsia="Arial" w:hAnsi="Arial"/>
                <w:sz w:val="18"/>
                <w:szCs w:val="18"/>
                <w:color w:val="auto"/>
                <w:w w:val="90"/>
              </w:rPr>
              <w:t>Fair Value</w:t>
            </w:r>
          </w:p>
        </w:tc>
        <w:tc>
          <w:tcPr>
            <w:tcW w:w="100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84"/>
              </w:rPr>
              <w:t>Proceeds</w:t>
            </w:r>
          </w:p>
        </w:tc>
        <w:tc>
          <w:tcPr>
            <w:tcW w:w="2840" w:type="dxa"/>
            <w:vAlign w:val="bottom"/>
            <w:gridSpan w:val="4"/>
          </w:tcPr>
          <w:p>
            <w:pPr>
              <w:jc w:val="center"/>
              <w:ind w:right="80"/>
              <w:spacing w:after="0" w:line="189" w:lineRule="exact"/>
              <w:rPr>
                <w:sz w:val="20"/>
                <w:szCs w:val="20"/>
                <w:color w:val="auto"/>
              </w:rPr>
            </w:pPr>
            <w:r>
              <w:rPr>
                <w:rFonts w:ascii="Arial" w:cs="Arial" w:eastAsia="Arial" w:hAnsi="Arial"/>
                <w:sz w:val="18"/>
                <w:szCs w:val="18"/>
                <w:color w:val="auto"/>
                <w:w w:val="91"/>
              </w:rPr>
              <w:t>Based on Relative Fair Value of:</w:t>
            </w:r>
          </w:p>
        </w:tc>
        <w:tc>
          <w:tcPr>
            <w:tcW w:w="0" w:type="dxa"/>
            <w:vAlign w:val="bottom"/>
          </w:tcPr>
          <w:p>
            <w:pPr>
              <w:spacing w:after="0"/>
              <w:rPr>
                <w:sz w:val="1"/>
                <w:szCs w:val="1"/>
                <w:color w:val="auto"/>
              </w:rPr>
            </w:pPr>
          </w:p>
        </w:tc>
      </w:tr>
      <w:tr>
        <w:trPr>
          <w:trHeight w:val="202"/>
        </w:trPr>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84"/>
              </w:rPr>
              <w:t>Shares</w:t>
            </w: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4"/>
              </w:rPr>
              <w:t>Market</w:t>
            </w:r>
          </w:p>
        </w:tc>
        <w:tc>
          <w:tcPr>
            <w:tcW w:w="800" w:type="dxa"/>
            <w:vAlign w:val="bottom"/>
          </w:tcPr>
          <w:p>
            <w:pPr>
              <w:jc w:val="center"/>
              <w:ind w:right="10"/>
              <w:spacing w:after="0" w:line="201" w:lineRule="exact"/>
              <w:rPr>
                <w:sz w:val="20"/>
                <w:szCs w:val="20"/>
                <w:color w:val="auto"/>
              </w:rPr>
            </w:pPr>
            <w:r>
              <w:rPr>
                <w:rFonts w:ascii="Arial" w:cs="Arial" w:eastAsia="Arial" w:hAnsi="Arial"/>
                <w:sz w:val="18"/>
                <w:szCs w:val="18"/>
                <w:color w:val="auto"/>
                <w:w w:val="89"/>
              </w:rPr>
              <w:t>Exercise</w:t>
            </w:r>
          </w:p>
        </w:tc>
        <w:tc>
          <w:tcPr>
            <w:tcW w:w="78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0"/>
              </w:rPr>
              <w:t>Term</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89"/>
              </w:rPr>
              <w:t>Interest</w:t>
            </w:r>
          </w:p>
        </w:tc>
        <w:tc>
          <w:tcPr>
            <w:tcW w:w="860" w:type="dxa"/>
            <w:vAlign w:val="bottom"/>
          </w:tcPr>
          <w:p>
            <w:pPr>
              <w:spacing w:after="0"/>
              <w:rPr>
                <w:sz w:val="17"/>
                <w:szCs w:val="17"/>
                <w:color w:val="auto"/>
              </w:rPr>
            </w:pPr>
          </w:p>
        </w:tc>
        <w:tc>
          <w:tcPr>
            <w:tcW w:w="84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7"/>
              </w:rPr>
              <w:t>Dividend</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90"/>
              </w:rPr>
              <w:t>Value of</w:t>
            </w:r>
          </w:p>
        </w:tc>
        <w:tc>
          <w:tcPr>
            <w:tcW w:w="90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9"/>
              </w:rPr>
              <w:t>of Unit</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9"/>
              </w:rPr>
              <w:t>of Unit</w:t>
            </w:r>
          </w:p>
        </w:tc>
        <w:tc>
          <w:tcPr>
            <w:tcW w:w="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9"/>
              </w:rPr>
              <w:t>Unit</w:t>
            </w: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00" w:type="dxa"/>
            <w:vAlign w:val="bottom"/>
          </w:tcPr>
          <w:p>
            <w:pPr>
              <w:jc w:val="center"/>
              <w:spacing w:after="0"/>
              <w:rPr>
                <w:sz w:val="20"/>
                <w:szCs w:val="20"/>
                <w:color w:val="auto"/>
              </w:rPr>
            </w:pPr>
            <w:r>
              <w:rPr>
                <w:rFonts w:ascii="Arial" w:cs="Arial" w:eastAsia="Arial" w:hAnsi="Arial"/>
                <w:sz w:val="18"/>
                <w:szCs w:val="18"/>
                <w:color w:val="auto"/>
                <w:w w:val="86"/>
              </w:rPr>
              <w:t>Issued</w:t>
            </w:r>
          </w:p>
        </w:tc>
        <w:tc>
          <w:tcPr>
            <w:tcW w:w="68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87"/>
              </w:rPr>
              <w:t>Price</w:t>
            </w:r>
          </w:p>
        </w:tc>
        <w:tc>
          <w:tcPr>
            <w:tcW w:w="780" w:type="dxa"/>
            <w:vAlign w:val="bottom"/>
          </w:tcPr>
          <w:p>
            <w:pPr>
              <w:jc w:val="center"/>
              <w:ind w:right="10"/>
              <w:spacing w:after="0"/>
              <w:rPr>
                <w:sz w:val="20"/>
                <w:szCs w:val="20"/>
                <w:color w:val="auto"/>
              </w:rPr>
            </w:pPr>
            <w:r>
              <w:rPr>
                <w:rFonts w:ascii="Arial" w:cs="Arial" w:eastAsia="Arial" w:hAnsi="Arial"/>
                <w:sz w:val="18"/>
                <w:szCs w:val="18"/>
                <w:color w:val="auto"/>
                <w:w w:val="88"/>
              </w:rPr>
              <w:t>(Years)</w:t>
            </w: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Rate</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Volatility</w:t>
            </w:r>
          </w:p>
        </w:tc>
        <w:tc>
          <w:tcPr>
            <w:tcW w:w="84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Rate</w:t>
            </w:r>
          </w:p>
        </w:tc>
        <w:tc>
          <w:tcPr>
            <w:tcW w:w="820" w:type="dxa"/>
            <w:vAlign w:val="bottom"/>
          </w:tcPr>
          <w:p>
            <w:pPr>
              <w:jc w:val="center"/>
              <w:spacing w:after="0"/>
              <w:rPr>
                <w:sz w:val="20"/>
                <w:szCs w:val="20"/>
                <w:color w:val="auto"/>
              </w:rPr>
            </w:pPr>
            <w:r>
              <w:rPr>
                <w:rFonts w:ascii="Arial" w:cs="Arial" w:eastAsia="Arial" w:hAnsi="Arial"/>
                <w:sz w:val="18"/>
                <w:szCs w:val="18"/>
                <w:color w:val="auto"/>
                <w:w w:val="87"/>
              </w:rPr>
              <w:t>Warrant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Warrants</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Sales</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w w:val="99"/>
              </w:rPr>
              <w:t>Unit Stock</w:t>
            </w:r>
          </w:p>
        </w:tc>
        <w:tc>
          <w:tcPr>
            <w:tcW w:w="900" w:type="dxa"/>
            <w:vAlign w:val="bottom"/>
          </w:tcPr>
          <w:p>
            <w:pPr>
              <w:jc w:val="center"/>
              <w:ind w:right="50"/>
              <w:spacing w:after="0"/>
              <w:rPr>
                <w:sz w:val="20"/>
                <w:szCs w:val="20"/>
                <w:color w:val="auto"/>
              </w:rPr>
            </w:pPr>
            <w:r>
              <w:rPr>
                <w:rFonts w:ascii="Arial" w:cs="Arial" w:eastAsia="Arial" w:hAnsi="Arial"/>
                <w:sz w:val="18"/>
                <w:szCs w:val="18"/>
                <w:color w:val="auto"/>
                <w:w w:val="87"/>
              </w:rPr>
              <w:t>Warrant</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Unit Note</w:t>
            </w:r>
          </w:p>
        </w:tc>
        <w:tc>
          <w:tcPr>
            <w:tcW w:w="0" w:type="dxa"/>
            <w:vAlign w:val="bottom"/>
          </w:tcPr>
          <w:p>
            <w:pPr>
              <w:spacing w:after="0"/>
              <w:rPr>
                <w:sz w:val="1"/>
                <w:szCs w:val="1"/>
                <w:color w:val="auto"/>
              </w:rPr>
            </w:pPr>
          </w:p>
        </w:tc>
      </w:tr>
      <w:tr>
        <w:trPr>
          <w:trHeight w:val="216"/>
        </w:trPr>
        <w:tc>
          <w:tcPr>
            <w:tcW w:w="1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100,750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$254,700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$1,007,500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2013 Unit Notes and 2013 Unit Warrants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indicated in Note 8</w:t>
      </w:r>
      <w:r>
        <w:rPr>
          <w:rFonts w:ascii="Arial" w:cs="Arial" w:eastAsia="Arial" w:hAnsi="Arial"/>
          <w:sz w:val="18"/>
          <w:szCs w:val="18"/>
          <w:i w:val="1"/>
          <w:iCs w:val="1"/>
          <w:color w:val="auto"/>
        </w:rPr>
        <w:t>, Convertible Promissory Notes and Other Notes Payable</w:t>
      </w:r>
      <w:r>
        <w:rPr>
          <w:rFonts w:ascii="Arial" w:cs="Arial" w:eastAsia="Arial" w:hAnsi="Arial"/>
          <w:sz w:val="18"/>
          <w:szCs w:val="18"/>
          <w:color w:val="auto"/>
        </w:rPr>
        <w:t>, effective May 31, 2014, we entered into note and warrant amendment agreements with substantially all holders of 2013 Unit Notes and 2013 Unit Warrants to (i) modify certain terms of their 2013 Unit Notes, including the maturity date and certain conversion features, to conform to the corresponding terms of the 2014 Unit Notes and (ii) to modify certain terms of the 2013 Unit Warrants, including the exercise price and expiration date, to conform to the corresponding terms of the 2014 Unit Warrants. Holders of 2013 Unit Notes having an aggregate initial face amount of $895,000 and warrants to purchase an aggregate of 93,250 restricted shares of our common stock agreed to the amendments.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7" w:name="page158"/>
    <w:bookmarkEnd w:id="157"/>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calculated the fair value of the modified 2013 Unit Warrants immediately before and after the modifications and determined that the fair value of the warrants increased by an aggregate of $272,900, which we treated as a component of loss on extinguishment of debt in the accompanying Condensed Consolidated Statements of Operations and Comprehensive Loss with a corresponding credit to additional paid-in capital, an equity account. The warrants subject to the exercise price modifications were valued using the Black-Scholes Option Pricing Model and the following assumptions: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Post-</w:t>
            </w:r>
          </w:p>
        </w:tc>
        <w:tc>
          <w:tcPr>
            <w:tcW w:w="0" w:type="dxa"/>
            <w:vAlign w:val="bottom"/>
          </w:tcPr>
          <w:p>
            <w:pPr>
              <w:spacing w:after="0"/>
              <w:rPr>
                <w:sz w:val="1"/>
                <w:szCs w:val="1"/>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modification</w:t>
            </w: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Remaining contractual term in years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Fair Value per share</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6.65</w:t>
            </w:r>
          </w:p>
        </w:tc>
        <w:tc>
          <w:tcPr>
            <w:tcW w:w="0" w:type="dxa"/>
            <w:vAlign w:val="bottom"/>
          </w:tcPr>
          <w:p>
            <w:pPr>
              <w:spacing w:after="0"/>
              <w:rPr>
                <w:sz w:val="1"/>
                <w:szCs w:val="1"/>
                <w:color w:val="auto"/>
              </w:rPr>
            </w:pPr>
          </w:p>
        </w:tc>
      </w:tr>
      <w:tr>
        <w:trPr>
          <w:trHeight w:val="441"/>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w w:val="96"/>
              </w:rPr>
              <w:t>Issuance of Securities in Satisfaction of Technology License and Maintenance Fees and Patent Expenses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April 2014, we entered into an agreement with Icahn School of Medicine at Mount Sinai (</w:t>
      </w:r>
      <w:r>
        <w:rPr>
          <w:rFonts w:ascii="Arial" w:cs="Arial" w:eastAsia="Arial" w:hAnsi="Arial"/>
          <w:sz w:val="16"/>
          <w:szCs w:val="16"/>
          <w:i w:val="1"/>
          <w:iCs w:val="1"/>
          <w:color w:val="auto"/>
        </w:rPr>
        <w:t>Icahn School</w:t>
      </w:r>
      <w:r>
        <w:rPr>
          <w:rFonts w:ascii="Arial" w:cs="Arial" w:eastAsia="Arial" w:hAnsi="Arial"/>
          <w:sz w:val="16"/>
          <w:szCs w:val="16"/>
          <w:color w:val="auto"/>
        </w:rPr>
        <w:t xml:space="preserve">), one of our long-term stem cell technology licensors, pursuant to which we issued (i) a 10% promissory note in the face amount of $300,000 due on the earlier of December 31, 2014, or the completion of a qualified financing, as defined, (ii) 15,000 restricted shares of our common stock and (iii) a warrant exercisable through March 31, 2019 to purchase 15,000 restricted shares of our common stock at an exercise price of $10.00 per share to Icahn School in satisfaction of $288,400 of stem cell technology license maintenance fees and reimbursable patent prosecution costs (the </w:t>
      </w:r>
      <w:r>
        <w:rPr>
          <w:rFonts w:ascii="Arial" w:cs="Arial" w:eastAsia="Arial" w:hAnsi="Arial"/>
          <w:sz w:val="16"/>
          <w:szCs w:val="16"/>
          <w:i w:val="1"/>
          <w:iCs w:val="1"/>
          <w:color w:val="auto"/>
        </w:rPr>
        <w:t>Icahn School Agreement</w:t>
      </w:r>
      <w:r>
        <w:rPr>
          <w:rFonts w:ascii="Arial" w:cs="Arial" w:eastAsia="Arial" w:hAnsi="Arial"/>
          <w:sz w:val="16"/>
          <w:szCs w:val="16"/>
          <w:color w:val="auto"/>
        </w:rPr>
        <w:t>). Based on the short-duration of the note, its interest rate and other terms, we determined that the fair value of the note at the date of issuance was equal to its face value. We determined the fair value of stock to be $141,000, based on the $9.40 per share quoted market price of our common stock on the date of the agreement. We calculated the fair value of the warrant to be $5.95 per share, or $89,200, using the Black Scholes Option Pricing Model and the following assumptions: market price per share: $9.40; exercise price per share: $10.00; risk-free interest rate: 1.59%; contractual term: 5.0 years; volatility: 80.3%; expected dividend rate: 0%. We recognized a loss on extinguishment of debt in the amount of $241,800 related to this settlement in the accompanying Statement of Operations and Comprehensive Loss. Under the terms of the Icahn School Agreement, an additional $35,800 of license maintenance fees and reimbursable patent prosecution costs were added to the principal amount of the promissory note through March 31, 2015. The note remains outstanding at March 31, 2015.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Common Stock to Consultants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2014, we entered into a consulting agreement for strategic advisory and business development services pursuant to which we issued 10,000 restricted shares of our common stock as partial compensation for such professional services. We determined the fair value of stock to be $134,000, based on the $13.40 per share quoted market price of our common stock on the date of the agreement. Additionally, under the terms of the agreement, we paid an aggregate of $80,000 between May 2014 and December 31, 2014 as additional compensation for professional services rendered by the consultant. Effective January 12, 2015, we entered into a new consulting agreement with this consultant for similar services through December 31, 2015 pursuant to which we have issued 20,000 restricted shares of our common stock valued at $160,000, based on the $8.00 per share quoted market price of our common stock on the date of the agreement, and made cash payments of $20,000 as compensation for such professional services.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2015, we entered into a consulting agreement with another consultant for additional advisory and business development services pursuant to which we issued 25,000 restricted shares of our common stock as compensation for such professional services. We determined the fair value of stock to be $175,000, based on the $7.50 per share quoted market price of our common stock on the date of the agreement.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2015, we issued 16,667 shares of our common stock valued at $166,700 to our legal counsel in settlement of direct legal fees related to services provided with respect to our prospective public offering of our equity securities in the fall of 2014 and the Autilion Financing. We recognized a loss of $16,700 with respect to this settlement, which is included in Loss on Extinguishment of Debt in the accompanying Statement of Operations and Comprehensive Loss for the year ended March 31, 2015.</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8" w:name="page159"/>
    <w:bookmarkEnd w:id="158"/>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Warrants to Purchase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Grants and Exercises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January 2015, when the market price of our common stock was $8.00 per share, our Board of Directors (</w:t>
      </w:r>
      <w:r>
        <w:rPr>
          <w:rFonts w:ascii="Arial" w:cs="Arial" w:eastAsia="Arial" w:hAnsi="Arial"/>
          <w:sz w:val="16"/>
          <w:szCs w:val="16"/>
          <w:i w:val="1"/>
          <w:iCs w:val="1"/>
          <w:color w:val="auto"/>
        </w:rPr>
        <w:t>Board</w:t>
      </w:r>
      <w:r>
        <w:rPr>
          <w:rFonts w:ascii="Arial" w:cs="Arial" w:eastAsia="Arial" w:hAnsi="Arial"/>
          <w:sz w:val="16"/>
          <w:szCs w:val="16"/>
          <w:color w:val="auto"/>
        </w:rPr>
        <w:t>) authorized the grant of fully-vested five-year warrants to purchase an aggregate of 381,000 restricted shares of our common stock at an exercise price of $10.00 per share, including an aggregate of 340,000 such shares to company officers and independent members of the Board. The Board also granted one-year warrants to purchase 5,715 restricted shares of our common stock at an exercise price of $10.00 per share to consultants whose warrants had expired at December 31, 2014. Additionally, the Board extended by one year the expiration date of outstanding warrants to purchase 90,675 shares of our restricted common stock otherwise expiring during calendar 2015 and reduced the exercise price to $15.00 per share for such of those extended term warrants having exercise prices in excess of that amount.</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We valued the new warrant grants at $1,756,900 using the Black Scholes Option Pricing Model and the following assumptions:  market price per share: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$8.00; exercise price per share: $10.00; risk-free interest rate: 1.45% for five-year warrants and 0.24% for one-year warrants; contractual term: 5 years or 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year; volatility: 75.86% for five-year warrants and 69.74% for one-year warrants; expected dividend rate: 0%..</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calculated the fair value of the modified warrants immediately before and after the modifications and determined that the fair value of the warrants increased by $98,400, which is reflected in general and administrative expense in the accompanying Consolidated Statements of Operations and Comprehensive Loss for the fiscal year ended March 31, 2015. The warrants subject to the exercise price modifications and term extensions were valued using the Black-Scholes Option Pricing Model and the following assumptions: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Post-</w:t>
            </w:r>
          </w:p>
        </w:tc>
        <w:tc>
          <w:tcPr>
            <w:tcW w:w="0" w:type="dxa"/>
            <w:vAlign w:val="bottom"/>
          </w:tcPr>
          <w:p>
            <w:pPr>
              <w:spacing w:after="0"/>
              <w:rPr>
                <w:sz w:val="1"/>
                <w:szCs w:val="1"/>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modification</w:t>
            </w: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modification date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23.13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Contractual term in years (weighted average)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1.31</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19, 2014, we granted five-year warrants to purchase an aggregate of 20,750 restricted shares of our unregistered common stock at an exercise price of $10.00 per share to the independent members of our Board and certain of our officers. The warrants became exercisable for 50% of the shares on April 1, 2014, and become exercisable for an additional 25% of the shares on April 1, 2015 and 25% of the shares on April 1, 2016, provided that the warrant will become fully vested upon a change in control of the Company, as defined, or the consummation between us and a third party of a license or sale transaction involving at least one new drug rescue variant. We valued the warrants at $120,800 using the Black Scholes Option Pricing Model and the following assumptions: market price per share: $9.20; exercise price per share: $10.00; risk-free interest rate: 1.75%; contractual term: 5 years; volatility: 80.57%; expected dividend rate: 0%. We recognized stock compensation expense of $54,100 related to the grants in the fourth quarter of the fiscal year ended March 31, 2014 and $27,000 during the fiscal year ended March 31, 2015..</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2013, we issued new warrants to purchase an aggregate of 11,875 shares of our restricted common stock to certain former warrant holders whose warrants to purchase an equivalent number of shares of our restricted common stock at an exercise price of $30.00 per share had recently expired. We calculated the fair value of the new warrants as $0.63 per share, using the Black-Scholes Option Pricing Model and the following assumptions. market price per share: $10.00; exercise price per share: $30.00; risk-free interest rate: 0.20%; contractual term: 1.32 years; volatility: 73.5%; and expected dividend rate: 0%. We recorded the aggregate fair value of $7,400 for the new warrants in general and administrative expense in the accompanying Consolidated Statements of Operations and Comprehensive Loss for the fiscal year ended March 31, 2014.</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2013 and October 2013, our Chief Executive Officer partially exercised an outstanding warrant to purchase 2,500 and 500 restricted shares of the Company’s common stock, respectively, at an exercise price of $12.80 per share, and we received cash proceeds of $32,000 and $6,400, respectively, from the exercises.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59" w:name="page160"/>
    <w:bookmarkEnd w:id="159"/>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Modification of Warrants Held by Platinum</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indicated earlier in this note, effective on May 24, 2013, we entered into an Amendment and Waiver Agreement (</w:t>
      </w:r>
      <w:r>
        <w:rPr>
          <w:rFonts w:ascii="Arial" w:cs="Arial" w:eastAsia="Arial" w:hAnsi="Arial"/>
          <w:sz w:val="16"/>
          <w:szCs w:val="16"/>
          <w:i w:val="1"/>
          <w:iCs w:val="1"/>
          <w:color w:val="auto"/>
        </w:rPr>
        <w:t>Amendment and Waiver</w:t>
      </w:r>
      <w:r>
        <w:rPr>
          <w:rFonts w:ascii="Arial" w:cs="Arial" w:eastAsia="Arial" w:hAnsi="Arial"/>
          <w:sz w:val="16"/>
          <w:szCs w:val="16"/>
          <w:color w:val="auto"/>
        </w:rPr>
        <w:t>) with Platinum pursuant to which we agreed to reduce the exercise price of the Exchange Warrant and the Investment Warrants issued to Platinum between October 2012 and March 2013 (collectively, the “</w:t>
      </w:r>
      <w:r>
        <w:rPr>
          <w:rFonts w:ascii="Arial" w:cs="Arial" w:eastAsia="Arial" w:hAnsi="Arial"/>
          <w:sz w:val="16"/>
          <w:szCs w:val="16"/>
          <w:i w:val="1"/>
          <w:iCs w:val="1"/>
          <w:color w:val="auto"/>
        </w:rPr>
        <w:t>Warrants</w:t>
      </w:r>
      <w:r>
        <w:rPr>
          <w:rFonts w:ascii="Arial" w:cs="Arial" w:eastAsia="Arial" w:hAnsi="Arial"/>
          <w:sz w:val="16"/>
          <w:szCs w:val="16"/>
          <w:color w:val="auto"/>
        </w:rPr>
        <w:t>”) from $30.00 per share to $10.00 per share in consideration for Platinum’s agreement to waive its rights for any increase in the number of shares of common stock issuable under the adjustment provisions of the Exchange Warrant and the Investment Warrants that would otherwise occur from (i) our sale of shares of our common stock at a price of $10.00 per share in connection with the Autilion Financing; (ii) the March 2013 grant of warrants to certain of our officers and independent directors to purchase an aggregate of 150,000 restricted shares of common stock at an exercise price of $12.80 per share; and (iii) our issuance of restricted shares of our common stock resulting in gross proceeds not to exceed $1.5 million in connection with the exercise by warrant holders, by no later than June 30, 2013, subsequently extended to July 30, 2013, of previously outstanding warrants for which we may reduce the exercise price to not less than $10.00 per share. (See “</w:t>
      </w:r>
      <w:r>
        <w:rPr>
          <w:rFonts w:ascii="Arial" w:cs="Arial" w:eastAsia="Arial" w:hAnsi="Arial"/>
          <w:sz w:val="16"/>
          <w:szCs w:val="16"/>
          <w:i w:val="1"/>
          <w:iCs w:val="1"/>
          <w:color w:val="auto"/>
        </w:rPr>
        <w:t>Other Warrant Modifications and Exercises</w:t>
      </w:r>
      <w:r>
        <w:rPr>
          <w:rFonts w:ascii="Arial" w:cs="Arial" w:eastAsia="Arial" w:hAnsi="Arial"/>
          <w:sz w:val="16"/>
          <w:szCs w:val="16"/>
          <w:color w:val="auto"/>
        </w:rPr>
        <w:t>” below.)</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As described in Note 4,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and in Note 8, </w:t>
      </w:r>
      <w:r>
        <w:rPr>
          <w:rFonts w:ascii="Arial" w:cs="Arial" w:eastAsia="Arial" w:hAnsi="Arial"/>
          <w:sz w:val="16"/>
          <w:szCs w:val="16"/>
          <w:i w:val="1"/>
          <w:iCs w:val="1"/>
          <w:color w:val="auto"/>
        </w:rPr>
        <w:t>Convertible Promissory Notes and Other Notes Payable</w:t>
      </w:r>
      <w:r>
        <w:rPr>
          <w:rFonts w:ascii="Arial" w:cs="Arial" w:eastAsia="Arial" w:hAnsi="Arial"/>
          <w:sz w:val="16"/>
          <w:szCs w:val="16"/>
          <w:color w:val="auto"/>
        </w:rPr>
        <w:t>, we re-measure the fair value of the Platinum Warrants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We also re-measure at the end of each reporting period the fair value of the Series A Exchange Warrant which is contingently issuable to Platinum upon the exchange of its shares of our Series A Preferred Stock into shares of our restricted common stock. At March 31, 2015 and 2014, we determined the fair values of the Platinum Warrants and the Series A Preferred Exchange Warrant to be a weighted average of $ 5.09.and $5.40 per share, respectively, or an aggregate of $3,008,500 and 2,973,900, which amounts are reflected as Warrant Liability in the accompanying Consolidated Balance Sheets at March 31, 2015 and 2014, respectively. We determined the fair value of the warrants at March 31, 2015 and 2014 using the assumptions indicated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March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Market price of common stock</w:t>
            </w:r>
          </w:p>
        </w:tc>
        <w:tc>
          <w:tcPr>
            <w:tcW w:w="2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9.80 to $10.00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0.74% to 1.37%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Volatility</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73.3% to 75.9%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Term (years)</w:t>
            </w:r>
          </w:p>
        </w:tc>
        <w:tc>
          <w:tcPr>
            <w:tcW w:w="2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 to 5.0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 to 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Dividend rate</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Series A Preferred exchange</w:t>
            </w:r>
          </w:p>
        </w:tc>
        <w:tc>
          <w:tcPr>
            <w:tcW w:w="2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share</w:t>
            </w:r>
          </w:p>
        </w:tc>
        <w:tc>
          <w:tcPr>
            <w:tcW w:w="2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 to $6.17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 to $5.80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Warrant Modifications and Exercises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months of June and July 2013, we offered certain long-term warrant holders the opportunity to exercise warrants having an exercise price of $30.00 per share to purchase shares of our restricted common stock at a reduced exercise price of $10.00 per share through July 30, 2013. Warrant holders exercised warrants to purchase an aggregate of 26,419 restricted shares of our common stock and we received cash proceeds of $264,200. In addition, certain warrant holders exercised modified warrants to purchase 832 restricted shares of our common stock in lieu of our payment in satisfaction of amounts due for professional services in the aggregate amount of $8,300. We calculated the fair value of the warrants exercised immediately before and after the modifications and determined that the fair value of the warrants exercised decreased.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0" w:name="page161"/>
    <w:bookmarkEnd w:id="160"/>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2013, we modified certain outstanding warrants held by our long-term investors and consultants to purchase an aggregate of 64,639 restricted shares of our common stock to reduce the exercise price of the warrants to $10.00 per share and, for warrants scheduled to expire on December 31, 2013, extend the exercise term of the warrants until January 31, 2015, generally without modifying the exercise price. We calculated the fair value of the warrants immediately before and after the modifications and determined that the fair value of the warrants increased by $77,800,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Post-</w:t>
            </w:r>
          </w:p>
        </w:tc>
        <w:tc>
          <w:tcPr>
            <w:tcW w:w="0" w:type="dxa"/>
            <w:vAlign w:val="bottom"/>
          </w:tcPr>
          <w:p>
            <w:pPr>
              <w:spacing w:after="0"/>
              <w:rPr>
                <w:sz w:val="1"/>
                <w:szCs w:val="1"/>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modification</w:t>
            </w: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modification date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31.97</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Contractual term in years (weighted average)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2.29</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2013, we modified additional outstanding warrants held by certain of our long-term investors, consultants, and members of management and our Board of Directors to purchase an aggregate of 63,013 restricted shares of our common stock to reduce the exercise price of the warrants to $10.00 per share and, in limited cases, extend the exercise term of the warrants. We calculated the fair value of the warrants immediately before and after the modifications and determined that the fair value of the warrants increased by $344,000,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Pre-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Post-</w:t>
            </w:r>
          </w:p>
        </w:tc>
        <w:tc>
          <w:tcPr>
            <w:tcW w:w="0" w:type="dxa"/>
            <w:vAlign w:val="bottom"/>
          </w:tcPr>
          <w:p>
            <w:pPr>
              <w:spacing w:after="0"/>
              <w:rPr>
                <w:sz w:val="1"/>
                <w:szCs w:val="1"/>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modification</w:t>
            </w:r>
          </w:p>
        </w:tc>
        <w:tc>
          <w:tcPr>
            <w:tcW w:w="12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modification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modification date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Exercise price per share (weighted average)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33.49</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Contractual term in years (weighted average)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Volatility (weighted average)</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Dividend rate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Weighted Average Fair Value per share</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0.91</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2.85</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making its fair value determinations for both warrant modifications and new grants using the Black Scholes Option Pricing Model, we utilize the following principles in selecting its input assumptions. The market price per share is based on the quoted market price of our common stock on the OTC Markets on the date of the modification or grant. Because of our relatively short history as a public company, we estimate stock price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terms or under the terms of the discounted exercise price offer. The risk-free rate of interest is based on the quoted constant maturity rate for U.S. Treasury Bills on the date of the grant or modification for the term most closely corresponding with the contractual term or remaining term of the warrant. The dividend rate is zero as we have not paid and do not expect to pay dividends in the near future.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1" w:name="page162"/>
    <w:bookmarkEnd w:id="161"/>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table summarizes outstanding warrants to purchase restricted shares of our common stock as of March 31, 2015. The weighted average exercise price of outstanding warrants at March 31, 2015 was $13.00 per share.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Shares Subject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 Purchase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2"/>
          </w:tcPr>
          <w:p>
            <w:pPr>
              <w:ind w:left="60"/>
              <w:spacing w:after="0"/>
              <w:rPr>
                <w:sz w:val="20"/>
                <w:szCs w:val="20"/>
                <w:color w:val="auto"/>
              </w:rPr>
            </w:pPr>
            <w:r>
              <w:rPr>
                <w:rFonts w:ascii="Arial" w:cs="Arial" w:eastAsia="Arial" w:hAnsi="Arial"/>
                <w:sz w:val="18"/>
                <w:szCs w:val="18"/>
                <w:b w:val="1"/>
                <w:bCs w:val="1"/>
                <w:color w:val="auto"/>
              </w:rPr>
              <w:t>Exercise Price per Share</w:t>
            </w:r>
          </w:p>
        </w:tc>
        <w:tc>
          <w:tcPr>
            <w:tcW w:w="64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c>
          <w:tcPr>
            <w:tcW w:w="242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6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1/31/2016 to 1/1/2020</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1,064,683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140"/>
              <w:spacing w:after="0"/>
              <w:rPr>
                <w:sz w:val="20"/>
                <w:szCs w:val="20"/>
                <w:color w:val="auto"/>
              </w:rPr>
            </w:pPr>
            <w:r>
              <w:rPr>
                <w:rFonts w:ascii="Arial" w:cs="Arial" w:eastAsia="Arial" w:hAnsi="Arial"/>
                <w:sz w:val="18"/>
                <w:szCs w:val="18"/>
                <w:color w:val="auto"/>
              </w:rPr>
              <w:t>12.80</w:t>
            </w:r>
          </w:p>
        </w:tc>
        <w:tc>
          <w:tcPr>
            <w:tcW w:w="6440" w:type="dxa"/>
            <w:vAlign w:val="bottom"/>
          </w:tcPr>
          <w:p>
            <w:pPr>
              <w:jc w:val="center"/>
              <w:spacing w:after="0"/>
              <w:rPr>
                <w:sz w:val="20"/>
                <w:szCs w:val="20"/>
                <w:color w:val="auto"/>
              </w:rPr>
            </w:pPr>
            <w:r>
              <w:rPr>
                <w:rFonts w:ascii="Arial" w:cs="Arial" w:eastAsia="Arial" w:hAnsi="Arial"/>
                <w:sz w:val="18"/>
                <w:szCs w:val="18"/>
                <w:color w:val="auto"/>
                <w:w w:val="91"/>
              </w:rPr>
              <w:t>3/3/2023</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147,000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w:t>
            </w:r>
          </w:p>
        </w:tc>
        <w:tc>
          <w:tcPr>
            <w:tcW w:w="6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1/31/2016 to 6/11/2016</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140"/>
              <w:spacing w:after="0"/>
              <w:rPr>
                <w:sz w:val="20"/>
                <w:szCs w:val="20"/>
                <w:color w:val="auto"/>
              </w:rPr>
            </w:pPr>
            <w:r>
              <w:rPr>
                <w:rFonts w:ascii="Arial" w:cs="Arial" w:eastAsia="Arial" w:hAnsi="Arial"/>
                <w:sz w:val="18"/>
                <w:szCs w:val="18"/>
                <w:color w:val="auto"/>
              </w:rPr>
              <w:t>20.00</w:t>
            </w:r>
          </w:p>
        </w:tc>
        <w:tc>
          <w:tcPr>
            <w:tcW w:w="6440" w:type="dxa"/>
            <w:vAlign w:val="bottom"/>
          </w:tcPr>
          <w:p>
            <w:pPr>
              <w:jc w:val="center"/>
              <w:spacing w:after="0"/>
              <w:rPr>
                <w:sz w:val="20"/>
                <w:szCs w:val="20"/>
                <w:color w:val="auto"/>
              </w:rPr>
            </w:pPr>
            <w:r>
              <w:rPr>
                <w:rFonts w:ascii="Arial" w:cs="Arial" w:eastAsia="Arial" w:hAnsi="Arial"/>
                <w:sz w:val="18"/>
                <w:szCs w:val="18"/>
                <w:color w:val="auto"/>
                <w:w w:val="91"/>
              </w:rPr>
              <w:t>7/30/2016 to 9/30/2017</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186,388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w:t>
            </w:r>
          </w:p>
        </w:tc>
        <w:tc>
          <w:tcPr>
            <w:tcW w:w="6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2/13/2016 to 3/4/2018</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tcPr>
          <w:p>
            <w:pPr>
              <w:jc w:val="right"/>
              <w:ind w:right="140"/>
              <w:spacing w:after="0"/>
              <w:rPr>
                <w:sz w:val="20"/>
                <w:szCs w:val="20"/>
                <w:color w:val="auto"/>
              </w:rPr>
            </w:pPr>
            <w:r>
              <w:rPr>
                <w:rFonts w:ascii="Arial" w:cs="Arial" w:eastAsia="Arial" w:hAnsi="Arial"/>
                <w:sz w:val="18"/>
                <w:szCs w:val="18"/>
                <w:color w:val="auto"/>
              </w:rPr>
              <w:t>40.00</w:t>
            </w:r>
          </w:p>
        </w:tc>
        <w:tc>
          <w:tcPr>
            <w:tcW w:w="6440" w:type="dxa"/>
            <w:vAlign w:val="bottom"/>
          </w:tcPr>
          <w:p>
            <w:pPr>
              <w:jc w:val="center"/>
              <w:spacing w:after="0"/>
              <w:rPr>
                <w:sz w:val="20"/>
                <w:szCs w:val="20"/>
                <w:color w:val="auto"/>
              </w:rPr>
            </w:pPr>
            <w:r>
              <w:rPr>
                <w:rFonts w:ascii="Arial" w:cs="Arial" w:eastAsia="Arial" w:hAnsi="Arial"/>
                <w:sz w:val="18"/>
                <w:szCs w:val="18"/>
                <w:color w:val="auto"/>
                <w:w w:val="92"/>
              </w:rPr>
              <w:t>9/15/2017</w:t>
            </w:r>
          </w:p>
        </w:tc>
        <w:tc>
          <w:tcPr>
            <w:tcW w:w="2560" w:type="dxa"/>
            <w:vAlign w:val="bottom"/>
            <w:gridSpan w:val="3"/>
          </w:tcPr>
          <w:p>
            <w:pPr>
              <w:jc w:val="right"/>
              <w:ind w:right="140"/>
              <w:spacing w:after="0"/>
              <w:rPr>
                <w:sz w:val="20"/>
                <w:szCs w:val="20"/>
                <w:color w:val="auto"/>
              </w:rPr>
            </w:pPr>
            <w:r>
              <w:rPr>
                <w:rFonts w:ascii="Arial" w:cs="Arial" w:eastAsia="Arial" w:hAnsi="Arial"/>
                <w:sz w:val="18"/>
                <w:szCs w:val="18"/>
                <w:color w:val="auto"/>
              </w:rPr>
              <w:t>21,250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60.00</w:t>
            </w:r>
          </w:p>
        </w:tc>
        <w:tc>
          <w:tcPr>
            <w:tcW w:w="6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2/13/2016</w:t>
            </w:r>
          </w:p>
        </w:tc>
        <w:tc>
          <w:tcPr>
            <w:tcW w:w="2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1,544,474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Receivable from Sale of Common Stock</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2011, the Company accepted a $500,000 short-term note from an investor in payment for shares of the Company’s common stock sold to the investor in a private placement transaction. On October 2, 2014 we received a cash payment of $60,000 from the maker of the note. We have considered that payment to be in full satisfaction of the outstanding principal balance of the note and related accrued interest, aggregating $194,900, at the date of the payment and recognized a loss of $134,900 on the settlement of the note, which is reflected as a component of Other expenses, net in the accompanying Statement of Operations and Comprehensive Loss.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2" w:name="page163"/>
    <w:bookmarkEnd w:id="162"/>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Shares</w:t>
      </w:r>
    </w:p>
    <w:p>
      <w:pPr>
        <w:sectPr>
          <w:pgSz w:w="11900" w:h="16838" w:orient="portrait"/>
          <w:cols w:equalWidth="0" w:num="1">
            <w:col w:w="11380"/>
          </w:cols>
          <w:pgMar w:left="240" w:top="130" w:right="27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2015, the Company has reserved shares of its common stock for future issuance as follows: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Upon exchange of all shares of Series A Preferred Stock currently issued and outstanding </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Warrant shares issuable to Platinum upon exercise of common stock warrant upon exchange of Series A preferred stock under the terms of the October 11, 2012 Note Purchase and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 xml:space="preserve">110% of shares issuable upon conversion of 10% senior secured convertible notes issued to Platinum in October 2012, February 2013, March 2013 and July 2013, including interest accrued through maturity </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274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Subject to outstanding warrants</w:t>
      </w:r>
    </w:p>
    <w:p>
      <w:pPr>
        <w:spacing w:after="0" w:line="9" w:lineRule="exact"/>
        <w:rPr>
          <w:sz w:val="20"/>
          <w:szCs w:val="20"/>
          <w:color w:val="auto"/>
        </w:rPr>
      </w:pPr>
    </w:p>
    <w:p>
      <w:pPr>
        <w:ind w:left="180" w:right="220" w:firstLine="18"/>
        <w:spacing w:after="0" w:line="261" w:lineRule="auto"/>
        <w:rPr>
          <w:sz w:val="20"/>
          <w:szCs w:val="20"/>
          <w:color w:val="auto"/>
        </w:rPr>
      </w:pPr>
      <w:r>
        <w:rPr>
          <w:rFonts w:ascii="Arial" w:cs="Arial" w:eastAsia="Arial" w:hAnsi="Arial"/>
          <w:sz w:val="18"/>
          <w:szCs w:val="18"/>
          <w:color w:val="auto"/>
        </w:rPr>
        <w:t>Issuable pursuant to accrued interest through maturity on outstanding promissory notes issued to Morrison &amp; Foerster, Cato Research Ltd., and University Health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291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Pursuant to stock incentive plans:</w:t>
      </w:r>
    </w:p>
    <w:p>
      <w:pPr>
        <w:spacing w:after="0" w:line="23" w:lineRule="exact"/>
        <w:rPr>
          <w:sz w:val="20"/>
          <w:szCs w:val="20"/>
          <w:color w:val="auto"/>
        </w:rPr>
      </w:pPr>
    </w:p>
    <w:p>
      <w:pPr>
        <w:ind w:left="180" w:right="4200" w:firstLine="10"/>
        <w:spacing w:after="0" w:line="290" w:lineRule="auto"/>
        <w:rPr>
          <w:sz w:val="20"/>
          <w:szCs w:val="20"/>
          <w:color w:val="auto"/>
        </w:rPr>
      </w:pPr>
      <w:r>
        <w:rPr>
          <w:rFonts w:ascii="Arial" w:cs="Arial" w:eastAsia="Arial" w:hAnsi="Arial"/>
          <w:sz w:val="17"/>
          <w:szCs w:val="17"/>
          <w:color w:val="auto"/>
        </w:rPr>
        <w:t>Subject to outstanding options under the 2008 and 1999 Stock Incentive Plans Available for future grants under the 2008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additional issuances under the 2014 Private Placement of Units and upon conversion of notes and accrued interest pursuant to the 2013 Private Placement of Units and 2014 Private Placement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750,000</w:t>
      </w:r>
    </w:p>
    <w:p>
      <w:pPr>
        <w:spacing w:after="0" w:line="200" w:lineRule="exact"/>
        <w:rPr>
          <w:sz w:val="20"/>
          <w:szCs w:val="20"/>
          <w:color w:val="auto"/>
        </w:rPr>
      </w:pPr>
    </w:p>
    <w:p>
      <w:pPr>
        <w:spacing w:after="0" w:line="24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375,000</w:t>
      </w:r>
    </w:p>
    <w:p>
      <w:pPr>
        <w:spacing w:after="0" w:line="200" w:lineRule="exact"/>
        <w:rPr>
          <w:sz w:val="20"/>
          <w:szCs w:val="20"/>
          <w:color w:val="auto"/>
        </w:rPr>
      </w:pPr>
    </w:p>
    <w:p>
      <w:pPr>
        <w:spacing w:after="0" w:line="24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563,871</w:t>
      </w:r>
    </w:p>
    <w:p>
      <w:pPr>
        <w:spacing w:after="0" w:line="200" w:lineRule="exact"/>
        <w:rPr>
          <w:sz w:val="20"/>
          <w:szCs w:val="20"/>
          <w:color w:val="auto"/>
        </w:rPr>
      </w:pPr>
    </w:p>
    <w:p>
      <w:pPr>
        <w:spacing w:after="0" w:line="241"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1,544,474</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33,612</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1,578,086</w:t>
      </w:r>
    </w:p>
    <w:p>
      <w:pPr>
        <w:spacing w:after="0" w:line="200" w:lineRule="exact"/>
        <w:rPr>
          <w:sz w:val="20"/>
          <w:szCs w:val="20"/>
          <w:color w:val="auto"/>
        </w:rPr>
      </w:pPr>
    </w:p>
    <w:p>
      <w:pPr>
        <w:spacing w:after="0" w:line="26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207,638</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40,491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5715</wp:posOffset>
            </wp:positionV>
            <wp:extent cx="72009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248,129</w:t>
      </w:r>
    </w:p>
    <w:p>
      <w:pPr>
        <w:spacing w:after="0" w:line="200" w:lineRule="exact"/>
        <w:rPr>
          <w:sz w:val="20"/>
          <w:szCs w:val="20"/>
          <w:color w:val="auto"/>
        </w:rPr>
      </w:pPr>
    </w:p>
    <w:p>
      <w:pPr>
        <w:spacing w:after="0" w:line="24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807,800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152400</wp:posOffset>
            </wp:positionV>
            <wp:extent cx="72009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4,322,886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29210</wp:posOffset>
            </wp:positionV>
            <wp:extent cx="7200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10020" w:space="580"/>
            <w:col w:w="780"/>
          </w:cols>
          <w:pgMar w:left="240" w:top="130" w:right="27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6462395</wp:posOffset>
            </wp:positionH>
            <wp:positionV relativeFrom="paragraph">
              <wp:posOffset>-130175</wp:posOffset>
            </wp:positionV>
            <wp:extent cx="7200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ind w:left="240" w:hanging="232"/>
        <w:spacing w:after="0" w:line="199" w:lineRule="auto"/>
        <w:tabs>
          <w:tab w:leader="none" w:pos="240" w:val="left"/>
        </w:tabs>
        <w:numPr>
          <w:ilvl w:val="0"/>
          <w:numId w:val="87"/>
        </w:numPr>
        <w:rPr>
          <w:rFonts w:ascii="Arial" w:cs="Arial" w:eastAsia="Arial" w:hAnsi="Arial"/>
          <w:sz w:val="25"/>
          <w:szCs w:val="25"/>
          <w:color w:val="auto"/>
          <w:vertAlign w:val="superscript"/>
        </w:rPr>
      </w:pPr>
      <w:r>
        <w:rPr>
          <w:rFonts w:ascii="Arial" w:cs="Arial" w:eastAsia="Arial" w:hAnsi="Arial"/>
          <w:sz w:val="18"/>
          <w:szCs w:val="18"/>
          <w:color w:val="auto"/>
        </w:rPr>
        <w:t>assumes exchange under the terms of the October 11, 2012 Note Exchange and Purchase Agreement with Platinum</w:t>
      </w:r>
    </w:p>
    <w:p>
      <w:pPr>
        <w:spacing w:after="0" w:line="2" w:lineRule="exact"/>
        <w:rPr>
          <w:rFonts w:ascii="Arial" w:cs="Arial" w:eastAsia="Arial" w:hAnsi="Arial"/>
          <w:sz w:val="25"/>
          <w:szCs w:val="25"/>
          <w:color w:val="auto"/>
          <w:vertAlign w:val="superscript"/>
        </w:rPr>
      </w:pPr>
    </w:p>
    <w:p>
      <w:pPr>
        <w:ind w:left="240" w:hanging="232"/>
        <w:spacing w:after="0" w:line="203" w:lineRule="auto"/>
        <w:tabs>
          <w:tab w:leader="none" w:pos="240" w:val="left"/>
        </w:tabs>
        <w:numPr>
          <w:ilvl w:val="0"/>
          <w:numId w:val="87"/>
        </w:numPr>
        <w:rPr>
          <w:rFonts w:ascii="Arial" w:cs="Arial" w:eastAsia="Arial" w:hAnsi="Arial"/>
          <w:sz w:val="22"/>
          <w:szCs w:val="22"/>
          <w:color w:val="auto"/>
          <w:vertAlign w:val="superscript"/>
        </w:rPr>
      </w:pPr>
      <w:r>
        <w:rPr>
          <w:rFonts w:ascii="Arial" w:cs="Arial" w:eastAsia="Arial" w:hAnsi="Arial"/>
          <w:sz w:val="16"/>
          <w:szCs w:val="16"/>
          <w:color w:val="auto"/>
        </w:rPr>
        <w:t>assumes conversion under the terms of the October 11, 2012 Note Exchange and Purchase Agreement with Platinum and the terms of the individual notes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0" w:right="279" w:bottom="1440" w:gutter="0" w:footer="0" w:header="0"/>
          <w:type w:val="continuous"/>
        </w:sectPr>
      </w:pPr>
    </w:p>
    <w:bookmarkStart w:id="163" w:name="page164"/>
    <w:bookmarkEnd w:id="163"/>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Research and Development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research and development expenses of approximately $4.3 million and $2.5 million in the fiscal years ended March 31, 2015 and 2014, respectively. Research and development expense is composed primarily of employee compensation expenses, including stock–based compensation, and direct project expenses, including costs incurred by third-party research collaborators, some of which may be reimbursed under the terms of grant or collaboration agreements.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provision for income taxes for the periods presented in the Consolidated Statements of Operations and Comprehensive Income represents minimum California franchise taxes. Income tax expense differed from the amounts computed by applying the U.S. federal income tax rate of 34% to pretax losses as a result of the following:</w:t>
      </w:r>
    </w:p>
    <w:p>
      <w:pPr>
        <w:spacing w:after="0" w:line="208"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Fiscal Years Ended March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gridSpan w:val="2"/>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38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Computed expected tax benefit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(34.0) %</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Tax effect of Warrant Liability mark to market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(0.1) %</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losses not benefitted</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34.0%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Other</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are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operating loss carryovers</w:t>
            </w:r>
          </w:p>
        </w:tc>
        <w:tc>
          <w:tcPr>
            <w:tcW w:w="4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23,054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ind w:left="440"/>
              <w:spacing w:after="0"/>
              <w:rPr>
                <w:sz w:val="20"/>
                <w:szCs w:val="20"/>
                <w:color w:val="auto"/>
              </w:rPr>
            </w:pPr>
            <w:r>
              <w:rPr>
                <w:rFonts w:ascii="Arial" w:cs="Arial" w:eastAsia="Arial" w:hAnsi="Arial"/>
                <w:sz w:val="18"/>
                <w:szCs w:val="18"/>
                <w:color w:val="auto"/>
              </w:rPr>
              <w:t>Basis differences in fixed assets</w:t>
            </w: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Accruals and reserves</w:t>
            </w:r>
          </w:p>
        </w:tc>
        <w:tc>
          <w:tcPr>
            <w:tcW w:w="4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4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4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Borders>
              <w:top w:val="single" w:sz="8" w:color="CCEEFF"/>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4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140" w:type="dxa"/>
            <w:vAlign w:val="bottom"/>
            <w:tcBorders>
              <w:top w:val="single" w:sz="8" w:color="CCEEFF"/>
            </w:tcBorders>
          </w:tcPr>
          <w:p>
            <w:pPr>
              <w:spacing w:after="0"/>
              <w:rPr>
                <w:sz w:val="24"/>
                <w:szCs w:val="24"/>
                <w:color w:val="auto"/>
              </w:rPr>
            </w:pPr>
          </w:p>
        </w:tc>
        <w:tc>
          <w:tcPr>
            <w:tcW w:w="4660" w:type="dxa"/>
            <w:vAlign w:val="bottom"/>
            <w:tcBorders>
              <w:top w:val="single" w:sz="8" w:color="CCEEFF"/>
            </w:tcBorders>
          </w:tcPr>
          <w:p>
            <w:pPr>
              <w:ind w:left="1380"/>
              <w:spacing w:after="0"/>
              <w:rPr>
                <w:sz w:val="20"/>
                <w:szCs w:val="20"/>
                <w:color w:val="auto"/>
              </w:rPr>
            </w:pPr>
            <w:r>
              <w:rPr>
                <w:rFonts w:ascii="Arial" w:cs="Arial" w:eastAsia="Arial" w:hAnsi="Arial"/>
                <w:sz w:val="18"/>
                <w:szCs w:val="18"/>
                <w:color w:val="auto"/>
              </w:rPr>
              <w:t>F-38</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40" w:type="dxa"/>
            <w:vAlign w:val="bottom"/>
            <w:tcBorders>
              <w:bottom w:val="single" w:sz="8" w:color="808080"/>
            </w:tcBorders>
          </w:tcPr>
          <w:p>
            <w:pPr>
              <w:spacing w:after="0"/>
              <w:rPr>
                <w:sz w:val="10"/>
                <w:szCs w:val="10"/>
                <w:color w:val="auto"/>
              </w:rPr>
            </w:pPr>
          </w:p>
        </w:tc>
        <w:tc>
          <w:tcPr>
            <w:tcW w:w="46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4" w:name="page165"/>
    <w:bookmarkEnd w:id="164"/>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Realization of deferred tax assets is dependent upon future earnings, if any, the timing and amount of which are uncertain. Accordingly, the deferred tax assets have been fully offset by a valuation allowance. The valuation allowance increased by $4,619,000 and $2,126,000 during the fiscal years ended March 31, 2015 and 2014, respectively. When realized, deferred tax assets related to employee stock options will be credited to additional paid-in capital.</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2015, we had U.S. federal net operating loss carryforwards of $58.7 million, which will expire in fiscal years 2020 through 2035. As of March 31, 2015, we had state net operating loss carryforwards of $53.1 million, which will expire in fiscal years 2016 through 2035.</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U.S. federal and state tax laws include substantial restrictions on the utilization of net operating loss carryforwards in the event of an ownership change of a corporation. We have not performed a change in ownership analysis since our inception in 1998 and accordingly some or all of our net operating loss carryforwards may not be available to offset future taxable income, if any.</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files income tax returns in the U.S. federal and Canadian jurisdictions and California and Maryland state jurisdictions. The Company is subject to U.S. federal and state income tax examinations by tax authorities for tax years 2000 through 2015 due to net operating losses that are being carried forward for tax purposes.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have any uncertain tax positions or unrecognized tax benefits at March 31, 2015 and 2014. The Company’s policy is to recognize interest and penalties related to income taxes as components of interest expense and other expense,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Licensing and Collaborative Agreements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Health Network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17, 2007, we entered into a Sponsored Research Collaboration Agreement (</w:t>
      </w:r>
      <w:r>
        <w:rPr>
          <w:rFonts w:ascii="Arial" w:cs="Arial" w:eastAsia="Arial" w:hAnsi="Arial"/>
          <w:sz w:val="17"/>
          <w:szCs w:val="17"/>
          <w:i w:val="1"/>
          <w:iCs w:val="1"/>
          <w:color w:val="auto"/>
        </w:rPr>
        <w:t>SRCA</w:t>
      </w:r>
      <w:r>
        <w:rPr>
          <w:rFonts w:ascii="Arial" w:cs="Arial" w:eastAsia="Arial" w:hAnsi="Arial"/>
          <w:sz w:val="17"/>
          <w:szCs w:val="17"/>
          <w:color w:val="auto"/>
        </w:rPr>
        <w:t>) with University Health Network (</w:t>
      </w:r>
      <w:r>
        <w:rPr>
          <w:rFonts w:ascii="Arial" w:cs="Arial" w:eastAsia="Arial" w:hAnsi="Arial"/>
          <w:sz w:val="17"/>
          <w:szCs w:val="17"/>
          <w:i w:val="1"/>
          <w:iCs w:val="1"/>
          <w:color w:val="auto"/>
        </w:rPr>
        <w:t>UHN</w:t>
      </w:r>
      <w:r>
        <w:rPr>
          <w:rFonts w:ascii="Arial" w:cs="Arial" w:eastAsia="Arial" w:hAnsi="Arial"/>
          <w:sz w:val="17"/>
          <w:szCs w:val="17"/>
          <w:color w:val="auto"/>
        </w:rPr>
        <w:t>) to develop certain stem cell technologies for drug discovery, development and rescue technologies. The SRCA was amended on April 19, 2010 to extend the term to five years and give us various options to extend the term for an additional three years. On December 15, 2010, we entered into a second amendment with UHN to expand the scope of work to include induced pluripotent stem cell technology and to further expand the scope of research and term extension options. On April 25, 2011, we and UHN amended the SRCA a third time to expand the scope to include therapeutic and stem cell therapy applications of induced pluripotent cells and to extend the date during which we may elect to fund additional projects to April 30, 2012. On October 24, 2011, we and UHN amended the SRCA a fourth time to identify five key programs to further support our core drug rescue initiatives and potential cell therapy applications. In October 2012, we issued a promissory note in the principal amount of $549,500 and a warrant to UHN as payment in full for services rendered under the fourth amendment. We also entered into Amendment No. 5 to the SRCA establishing the sponsored research projects and the sponsored research budgets under the SRCA from October 1, 2012 to September 30, 2013. During our fiscal year ended March 31, 2015, our financial condition precluded further sponsored research activities with UHN.</w:t>
      </w:r>
    </w:p>
    <w:p>
      <w:pPr>
        <w:spacing w:after="0" w:line="21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Concurrent with the execution of the fourth amendment to the SRCA, we also entered into a License Agreement with UHN under the terms of which UHN granted us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we have agreed to make payments to UHN totaling $3.9 million, if, and when, we achieves certain commercial milestones set forth in the License Agreement, and to pay UHN royalties based on our receipt of revenue attributable to the licensed patents.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5" w:name="page166"/>
    <w:bookmarkEnd w:id="165"/>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National Institutes of Health</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years 2006 through 2008, the U.S. National Institutes of Health ("</w:t>
      </w:r>
      <w:r>
        <w:rPr>
          <w:rFonts w:ascii="Arial" w:cs="Arial" w:eastAsia="Arial" w:hAnsi="Arial"/>
          <w:sz w:val="18"/>
          <w:szCs w:val="18"/>
          <w:i w:val="1"/>
          <w:iCs w:val="1"/>
          <w:color w:val="auto"/>
        </w:rPr>
        <w:t>NIH</w:t>
      </w:r>
      <w:r>
        <w:rPr>
          <w:rFonts w:ascii="Arial" w:cs="Arial" w:eastAsia="Arial" w:hAnsi="Arial"/>
          <w:sz w:val="18"/>
          <w:szCs w:val="18"/>
          <w:color w:val="auto"/>
        </w:rPr>
        <w:t>") awarded VistaGen California a $4.2 million grant to support preclinical development of AV-101, our lead drug candidate for treatment of neuropathic pain and other neurodegenerative diseases such as Huntington’s and Parkinson’s diseases. In June 2009, the NIH awarded VistaGen California a $4.2 million grant to support the Phase I clinical development of AV-101, which amount was subsequently increased to a total of $4.6 million in July 2010. The grant expired in the ordinary course on June 30, 2012 and all funds had been expended. In February 2015, we entered into a Cooperative Research and Development Agreement with the National Institute of Mental Health to collaborate on an NIH-sponsored Phase 2 clinical study of the efficacy and safety of AV-101 in subjects with MDD. The study is expected to commence late in the third quarter of 2015 and be completed in 2016.</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Cato Research Ltd.</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built a strategic development relationship with Cato Research Ltd. (“</w:t>
      </w:r>
      <w:r>
        <w:rPr>
          <w:rFonts w:ascii="Arial" w:cs="Arial" w:eastAsia="Arial" w:hAnsi="Arial"/>
          <w:sz w:val="17"/>
          <w:szCs w:val="17"/>
          <w:i w:val="1"/>
          <w:iCs w:val="1"/>
          <w:color w:val="auto"/>
        </w:rPr>
        <w:t>CRL</w:t>
      </w:r>
      <w:r>
        <w:rPr>
          <w:rFonts w:ascii="Arial" w:cs="Arial" w:eastAsia="Arial" w:hAnsi="Arial"/>
          <w:sz w:val="17"/>
          <w:szCs w:val="17"/>
          <w:color w:val="auto"/>
        </w:rPr>
        <w:t>”), a global contract research and development organization, or CRO, and an affiliate of one of the Company’s largest institutional stockholders. CRL has provided us with access to essential CRO services and regulatory expertise supporting our AV-101 preclinical and clinical development programs and other projects. We recorded research and development expenses for CRO services provided by CRL in the amounts of $38,100 and $52,500 for the fiscal years ended March 31, 2015 and 2014, respectively. In October 2012, we issued an unsecured promissory note in the principal amount of $1,009,000, and a warrant exercisable for 50,450 shares of our common stock, as payment in full of all amounts owed to CRL for CRO services rendered to us through December 31, 2012.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 Option Plans and 401(k) Plan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share-based compensation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Stock Incentive Plan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2008 Stock Incentive Plan (the “</w:t>
      </w:r>
      <w:r>
        <w:rPr>
          <w:rFonts w:ascii="Arial" w:cs="Arial" w:eastAsia="Arial" w:hAnsi="Arial"/>
          <w:sz w:val="17"/>
          <w:szCs w:val="17"/>
          <w:i w:val="1"/>
          <w:iCs w:val="1"/>
          <w:color w:val="auto"/>
        </w:rPr>
        <w:t>2008 Plan</w:t>
      </w:r>
      <w:r>
        <w:rPr>
          <w:rFonts w:ascii="Arial" w:cs="Arial" w:eastAsia="Arial" w:hAnsi="Arial"/>
          <w:sz w:val="17"/>
          <w:szCs w:val="17"/>
          <w:color w:val="auto"/>
        </w:rPr>
        <w:t>”) was adopted by the shareholders of VistaGen California on December 19, 2008 and assumed by the Company in connection with the Merger. The maximum number of shares of our common stock that may be granted pursuant to the 2008 Plan is 250,000 shares, subject to adjustments for stock splits, stock dividends or other similar changes in the common stock or capital structure.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1999 Stock Incentive Plan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1999 Stock Incentive Plan (the “</w:t>
      </w:r>
      <w:r>
        <w:rPr>
          <w:rFonts w:ascii="Arial" w:cs="Arial" w:eastAsia="Arial" w:hAnsi="Arial"/>
          <w:sz w:val="18"/>
          <w:szCs w:val="18"/>
          <w:i w:val="1"/>
          <w:iCs w:val="1"/>
          <w:color w:val="auto"/>
        </w:rPr>
        <w:t>1999 Plan</w:t>
      </w:r>
      <w:r>
        <w:rPr>
          <w:rFonts w:ascii="Arial" w:cs="Arial" w:eastAsia="Arial" w:hAnsi="Arial"/>
          <w:sz w:val="18"/>
          <w:szCs w:val="18"/>
          <w:color w:val="auto"/>
        </w:rPr>
        <w:t>”) was adopted by the shareholders of VistaGen California on December 6, 1999 and assumed by the Company in connection with the Merger. We initially reserved 45,000 shares for the issuance of awards under the 1999 Plan. The 1999 Plan has terminated under its own terms and, as a result, no awards may currently be granted under the 1999 Plan. The unexpired options and awards that have already been granted pursuant to the 1999 Plan remain operative.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2008 Plan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terms of the 2008 Plan, the Compensation Committee of our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6" w:name="page167"/>
    <w:bookmarkEnd w:id="166"/>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Compensation Committee may grant nonstatutory stock options under the 2008 Plan at a price of not less than 100% of the fair market value of our common stock on the date the option is granted. Incentive stock options under the 2008 Plan may be granted at a price of not less than 100% of the fair market value of our common stock on the date the option is granted. Incentive stock options granted to employees who, on the date of grant, own stock representing more than 10% of the voting power of all of our classes of stock are granted at an exercise price of not less than 110% of the fair market value of our common stock and the maximum term of such incentive stock options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 We currently have no performance-based awards outstanding.</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terminated sooner, the 2008 Plan will automatically terminate in 2017. The Board of Directors may at any time amend, suspend or terminate our 2008 Plan.</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did not grant any stock options during fiscal 2015. During the third quarter of fiscal 2014, when the quoted market price of our common stock was $8.00 per share, we reduced the exercise price of an aggregate of 196,213 outstanding options to purchase shares of its common stock at exercise prices between $15.00 per share and $59.80 per share held by certain employees, including the Company’s officers and directors, and by certain consultants to $8.00 per share or $10.00 per share. These reductions in exercise price were accounted for as a modification of the options and resulted in a charge of $252,000.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following table summarizes share-based compensation expense, including share-based expense related to the March 2015 and March 2014 grants of warrants to certain of our officers and to our independent directors as described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xml:space="preserve"> included in the accompanying Consolidated Statement of Operations and Comprehensive Loss for the years ended March 31, 2015 and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ind w:left="260"/>
              <w:spacing w:after="0"/>
              <w:rPr>
                <w:sz w:val="20"/>
                <w:szCs w:val="20"/>
                <w:color w:val="auto"/>
              </w:rPr>
            </w:pPr>
            <w:r>
              <w:rPr>
                <w:rFonts w:ascii="Arial" w:cs="Arial" w:eastAsia="Arial" w:hAnsi="Arial"/>
                <w:sz w:val="18"/>
                <w:szCs w:val="18"/>
                <w:b w:val="1"/>
                <w:bCs w:val="1"/>
                <w:color w:val="auto"/>
              </w:rPr>
              <w:t>Fiscal Years Ended</w:t>
            </w:r>
          </w:p>
        </w:tc>
      </w:tr>
      <w:tr>
        <w:trPr>
          <w:trHeight w:val="241"/>
        </w:trPr>
        <w:tc>
          <w:tcPr>
            <w:tcW w:w="48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4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19"/>
                <w:szCs w:val="19"/>
                <w:color w:val="auto"/>
              </w:rPr>
            </w:pPr>
          </w:p>
        </w:tc>
      </w:tr>
      <w:tr>
        <w:trPr>
          <w:trHeight w:val="216"/>
        </w:trPr>
        <w:tc>
          <w:tcPr>
            <w:tcW w:w="4840" w:type="dxa"/>
            <w:vAlign w:val="bottom"/>
          </w:tcPr>
          <w:p>
            <w:pPr>
              <w:ind w:left="60"/>
              <w:spacing w:after="0"/>
              <w:rPr>
                <w:sz w:val="20"/>
                <w:szCs w:val="20"/>
                <w:color w:val="auto"/>
              </w:rPr>
            </w:pPr>
            <w:r>
              <w:rPr>
                <w:rFonts w:ascii="Arial" w:cs="Arial" w:eastAsia="Arial" w:hAnsi="Arial"/>
                <w:sz w:val="18"/>
                <w:szCs w:val="18"/>
                <w:color w:val="auto"/>
              </w:rPr>
              <w:t>Research and development expense:</w:t>
            </w: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option grants</w:t>
            </w:r>
          </w:p>
        </w:tc>
        <w:tc>
          <w:tcPr>
            <w:tcW w:w="4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296,900</w:t>
            </w:r>
          </w:p>
        </w:tc>
      </w:tr>
      <w:tr>
        <w:trPr>
          <w:trHeight w:val="202"/>
        </w:trPr>
        <w:tc>
          <w:tcPr>
            <w:tcW w:w="4840" w:type="dxa"/>
            <w:vAlign w:val="bottom"/>
          </w:tcPr>
          <w:p>
            <w:pPr>
              <w:ind w:left="400"/>
              <w:spacing w:after="0" w:line="201" w:lineRule="exact"/>
              <w:rPr>
                <w:sz w:val="20"/>
                <w:szCs w:val="20"/>
                <w:color w:val="auto"/>
              </w:rPr>
            </w:pPr>
            <w:r>
              <w:rPr>
                <w:rFonts w:ascii="Arial" w:cs="Arial" w:eastAsia="Arial" w:hAnsi="Arial"/>
                <w:sz w:val="18"/>
                <w:szCs w:val="18"/>
                <w:color w:val="auto"/>
              </w:rPr>
              <w:t>Fully-vested warrants granted to officer and</w:t>
            </w:r>
          </w:p>
        </w:tc>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40" w:type="dxa"/>
            <w:vAlign w:val="bottom"/>
          </w:tcPr>
          <w:p>
            <w:pPr>
              <w:ind w:left="580"/>
              <w:spacing w:after="0"/>
              <w:rPr>
                <w:sz w:val="20"/>
                <w:szCs w:val="20"/>
                <w:color w:val="auto"/>
              </w:rPr>
            </w:pPr>
            <w:r>
              <w:rPr>
                <w:rFonts w:ascii="Arial" w:cs="Arial" w:eastAsia="Arial" w:hAnsi="Arial"/>
                <w:sz w:val="18"/>
                <w:szCs w:val="18"/>
                <w:color w:val="auto"/>
              </w:rPr>
              <w:t>consultants in January 2015</w:t>
            </w:r>
          </w:p>
        </w:tc>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527,500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Warrants granted to officer in March 2014 and 2013</w:t>
            </w:r>
          </w:p>
        </w:tc>
        <w:tc>
          <w:tcPr>
            <w:tcW w:w="3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156,500</w:t>
            </w:r>
          </w:p>
        </w:tc>
      </w:tr>
      <w:tr>
        <w:trPr>
          <w:trHeight w:val="216"/>
        </w:trPr>
        <w:tc>
          <w:tcPr>
            <w:tcW w:w="4840" w:type="dxa"/>
            <w:vAlign w:val="bottom"/>
            <w:tcBorders>
              <w:top w:val="single" w:sz="8" w:color="CCEEFF"/>
            </w:tcBorders>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84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848,800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453,400</w:t>
            </w:r>
          </w:p>
        </w:tc>
      </w:tr>
      <w:tr>
        <w:trPr>
          <w:trHeight w:val="216"/>
        </w:trPr>
        <w:tc>
          <w:tcPr>
            <w:tcW w:w="4840" w:type="dxa"/>
            <w:vAlign w:val="bottom"/>
            <w:tcBorders>
              <w:top w:val="single" w:sz="8" w:color="CCEEFF"/>
            </w:tcBorders>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General and administrative expense:</w:t>
            </w: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option grants</w:t>
            </w: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385,100</w:t>
            </w:r>
          </w:p>
        </w:tc>
      </w:tr>
      <w:tr>
        <w:trPr>
          <w:trHeight w:val="202"/>
        </w:trPr>
        <w:tc>
          <w:tcPr>
            <w:tcW w:w="4840" w:type="dxa"/>
            <w:vAlign w:val="bottom"/>
          </w:tcPr>
          <w:p>
            <w:pPr>
              <w:ind w:left="400"/>
              <w:spacing w:after="0" w:line="201" w:lineRule="exact"/>
              <w:rPr>
                <w:sz w:val="20"/>
                <w:szCs w:val="20"/>
                <w:color w:val="auto"/>
              </w:rPr>
            </w:pPr>
            <w:r>
              <w:rPr>
                <w:rFonts w:ascii="Arial" w:cs="Arial" w:eastAsia="Arial" w:hAnsi="Arial"/>
                <w:sz w:val="18"/>
                <w:szCs w:val="18"/>
                <w:color w:val="auto"/>
              </w:rPr>
              <w:t>Fully-vested warrants granted to officers, directors</w:t>
            </w:r>
          </w:p>
        </w:tc>
        <w:tc>
          <w:tcPr>
            <w:tcW w:w="3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40" w:type="dxa"/>
            <w:vAlign w:val="bottom"/>
          </w:tcPr>
          <w:p>
            <w:pPr>
              <w:ind w:left="580"/>
              <w:spacing w:after="0"/>
              <w:rPr>
                <w:sz w:val="20"/>
                <w:szCs w:val="20"/>
                <w:color w:val="auto"/>
              </w:rPr>
            </w:pPr>
            <w:r>
              <w:rPr>
                <w:rFonts w:ascii="Arial" w:cs="Arial" w:eastAsia="Arial" w:hAnsi="Arial"/>
                <w:sz w:val="18"/>
                <w:szCs w:val="18"/>
                <w:color w:val="auto"/>
              </w:rPr>
              <w:t>and consultants in January 2015</w:t>
            </w:r>
          </w:p>
        </w:tc>
        <w:tc>
          <w:tcPr>
            <w:tcW w:w="3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1,229,400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Warrants granted to officers and directors in March</w:t>
            </w:r>
          </w:p>
        </w:tc>
        <w:tc>
          <w:tcPr>
            <w:tcW w:w="3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8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2014 and 2013</w:t>
            </w:r>
          </w:p>
        </w:tc>
        <w:tc>
          <w:tcPr>
            <w:tcW w:w="3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283,100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298,800</w:t>
            </w:r>
          </w:p>
        </w:tc>
      </w:tr>
      <w:tr>
        <w:trPr>
          <w:trHeight w:val="216"/>
        </w:trPr>
        <w:tc>
          <w:tcPr>
            <w:tcW w:w="4840" w:type="dxa"/>
            <w:vAlign w:val="bottom"/>
            <w:tcBorders>
              <w:top w:val="single" w:sz="8" w:color="CCEEFF"/>
            </w:tcBorders>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840" w:type="dxa"/>
            <w:vAlign w:val="bottom"/>
            <w:shd w:val="clear" w:color="auto" w:fill="CCEEFF"/>
          </w:tcPr>
          <w:p>
            <w:pPr>
              <w:spacing w:after="0"/>
              <w:rPr>
                <w:sz w:val="19"/>
                <w:szCs w:val="19"/>
                <w:color w:val="auto"/>
              </w:rPr>
            </w:pPr>
          </w:p>
        </w:tc>
        <w:tc>
          <w:tcPr>
            <w:tcW w:w="3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1,611,300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683,900</w:t>
            </w:r>
          </w:p>
        </w:tc>
      </w:tr>
      <w:tr>
        <w:trPr>
          <w:trHeight w:val="216"/>
        </w:trPr>
        <w:tc>
          <w:tcPr>
            <w:tcW w:w="4840" w:type="dxa"/>
            <w:vAlign w:val="bottom"/>
            <w:tcBorders>
              <w:top w:val="single" w:sz="8" w:color="CCEEFF"/>
            </w:tcBorders>
          </w:tcPr>
          <w:p>
            <w:pPr>
              <w:spacing w:after="0"/>
              <w:rPr>
                <w:sz w:val="18"/>
                <w:szCs w:val="18"/>
                <w:color w:val="auto"/>
              </w:rPr>
            </w:pPr>
          </w:p>
        </w:tc>
        <w:tc>
          <w:tcPr>
            <w:tcW w:w="3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4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4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2,460,100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1,137,300</w:t>
            </w:r>
          </w:p>
        </w:tc>
      </w:tr>
      <w:tr>
        <w:trPr>
          <w:trHeight w:val="601"/>
        </w:trPr>
        <w:tc>
          <w:tcPr>
            <w:tcW w:w="4840" w:type="dxa"/>
            <w:vAlign w:val="bottom"/>
            <w:tcBorders>
              <w:top w:val="single" w:sz="8" w:color="CCEEFF"/>
            </w:tcBorders>
          </w:tcPr>
          <w:p>
            <w:pPr>
              <w:spacing w:after="0"/>
              <w:rPr>
                <w:sz w:val="24"/>
                <w:szCs w:val="24"/>
                <w:color w:val="auto"/>
              </w:rPr>
            </w:pPr>
          </w:p>
        </w:tc>
        <w:tc>
          <w:tcPr>
            <w:tcW w:w="3980" w:type="dxa"/>
            <w:vAlign w:val="bottom"/>
            <w:tcBorders>
              <w:top w:val="single" w:sz="8" w:color="CCEEFF"/>
            </w:tcBorders>
          </w:tcPr>
          <w:p>
            <w:pPr>
              <w:ind w:left="700"/>
              <w:spacing w:after="0"/>
              <w:rPr>
                <w:sz w:val="20"/>
                <w:szCs w:val="20"/>
                <w:color w:val="auto"/>
              </w:rPr>
            </w:pPr>
            <w:r>
              <w:rPr>
                <w:rFonts w:ascii="Arial" w:cs="Arial" w:eastAsia="Arial" w:hAnsi="Arial"/>
                <w:sz w:val="18"/>
                <w:szCs w:val="18"/>
                <w:color w:val="auto"/>
              </w:rPr>
              <w:t>F-41</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4840" w:type="dxa"/>
            <w:vAlign w:val="bottom"/>
            <w:tcBorders>
              <w:bottom w:val="single" w:sz="8" w:color="808080"/>
            </w:tcBorders>
          </w:tcPr>
          <w:p>
            <w:pPr>
              <w:spacing w:after="0"/>
              <w:rPr>
                <w:sz w:val="10"/>
                <w:szCs w:val="10"/>
                <w:color w:val="auto"/>
              </w:rPr>
            </w:pPr>
          </w:p>
        </w:tc>
        <w:tc>
          <w:tcPr>
            <w:tcW w:w="39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7" w:name="page168"/>
    <w:bookmarkEnd w:id="167"/>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used the Black-Scholes option valuation model with the following assumptions to determine share-based compensation expense related to option grants during the fiscal years ended March 31, 2015 and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6100" w:type="dxa"/>
            <w:vAlign w:val="bottom"/>
            <w:gridSpan w:val="4"/>
          </w:tcPr>
          <w:p>
            <w:pPr>
              <w:ind w:left="1700"/>
              <w:spacing w:after="0"/>
              <w:rPr>
                <w:sz w:val="20"/>
                <w:szCs w:val="20"/>
                <w:color w:val="auto"/>
              </w:rPr>
            </w:pPr>
            <w:r>
              <w:rPr>
                <w:rFonts w:ascii="Arial" w:cs="Arial" w:eastAsia="Arial" w:hAnsi="Arial"/>
                <w:sz w:val="18"/>
                <w:szCs w:val="18"/>
                <w:b w:val="1"/>
                <w:bCs w:val="1"/>
                <w:color w:val="auto"/>
              </w:rPr>
              <w:t>Fiscal Years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2015</w:t>
            </w:r>
          </w:p>
        </w:tc>
        <w:tc>
          <w:tcPr>
            <w:tcW w:w="2840" w:type="dxa"/>
            <w:vAlign w:val="bottom"/>
            <w:tcBorders>
              <w:top w:val="single" w:sz="8" w:color="auto"/>
            </w:tcBorders>
            <w:gridSpan w:val="2"/>
          </w:tcPr>
          <w:p>
            <w:pPr>
              <w:jc w:val="center"/>
              <w:ind w:left="350"/>
              <w:spacing w:after="0"/>
              <w:rPr>
                <w:sz w:val="20"/>
                <w:szCs w:val="20"/>
                <w:color w:val="auto"/>
              </w:rPr>
            </w:pPr>
            <w:r>
              <w:rPr>
                <w:rFonts w:ascii="Arial" w:cs="Arial" w:eastAsia="Arial" w:hAnsi="Arial"/>
                <w:sz w:val="18"/>
                <w:szCs w:val="18"/>
                <w:b w:val="1"/>
                <w:bCs w:val="1"/>
                <w:color w:val="auto"/>
                <w:w w:val="89"/>
              </w:rPr>
              <w:t>2014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not applicable</w:t>
            </w:r>
          </w:p>
        </w:tc>
        <w:tc>
          <w:tcPr>
            <w:tcW w:w="3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1"/>
              </w:rPr>
              <w:t>$8.00 to $16.40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Market price on date of grant</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c>
          <w:tcPr>
            <w:tcW w:w="380" w:type="dxa"/>
            <w:vAlign w:val="bottom"/>
          </w:tcPr>
          <w:p>
            <w:pPr>
              <w:spacing w:after="0"/>
              <w:rPr>
                <w:sz w:val="18"/>
                <w:szCs w:val="18"/>
                <w:color w:val="auto"/>
              </w:rPr>
            </w:pPr>
          </w:p>
        </w:tc>
        <w:tc>
          <w:tcPr>
            <w:tcW w:w="28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$8.00 to $16.40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not applicable</w:t>
            </w:r>
          </w:p>
        </w:tc>
        <w:tc>
          <w:tcPr>
            <w:tcW w:w="3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1"/>
              </w:rPr>
              <w:t>1.08% to 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Expected term (years)</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c>
          <w:tcPr>
            <w:tcW w:w="380" w:type="dxa"/>
            <w:vAlign w:val="bottom"/>
          </w:tcPr>
          <w:p>
            <w:pPr>
              <w:spacing w:after="0"/>
              <w:rPr>
                <w:sz w:val="18"/>
                <w:szCs w:val="18"/>
                <w:color w:val="auto"/>
              </w:rPr>
            </w:pPr>
          </w:p>
        </w:tc>
        <w:tc>
          <w:tcPr>
            <w:tcW w:w="28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6.25 to 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not applicable</w:t>
            </w:r>
          </w:p>
        </w:tc>
        <w:tc>
          <w:tcPr>
            <w:tcW w:w="38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1"/>
              </w:rPr>
              <w:t>87.9% to 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c>
          <w:tcPr>
            <w:tcW w:w="2840" w:type="dxa"/>
            <w:vAlign w:val="bottom"/>
            <w:gridSpan w:val="2"/>
          </w:tcPr>
          <w:p>
            <w:pPr>
              <w:jc w:val="center"/>
              <w:ind w:left="310"/>
              <w:spacing w:after="0"/>
              <w:rPr>
                <w:sz w:val="20"/>
                <w:szCs w:val="20"/>
                <w:color w:val="auto"/>
              </w:rPr>
            </w:pPr>
            <w:r>
              <w:rPr>
                <w:rFonts w:ascii="Arial" w:cs="Arial" w:eastAsia="Arial" w:hAnsi="Arial"/>
                <w:sz w:val="18"/>
                <w:szCs w:val="18"/>
                <w:color w:val="auto"/>
                <w:w w:val="92"/>
              </w:rPr>
              <w:t>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Fair value per share at grant date</w:t>
            </w:r>
          </w:p>
        </w:tc>
        <w:tc>
          <w:tcPr>
            <w:tcW w:w="2860" w:type="dxa"/>
            <w:vAlign w:val="bottom"/>
          </w:tcPr>
          <w:p>
            <w:pPr>
              <w:jc w:val="center"/>
              <w:spacing w:after="0"/>
              <w:rPr>
                <w:sz w:val="20"/>
                <w:szCs w:val="20"/>
                <w:color w:val="auto"/>
              </w:rPr>
            </w:pPr>
            <w:r>
              <w:rPr>
                <w:rFonts w:ascii="Arial" w:cs="Arial" w:eastAsia="Arial" w:hAnsi="Arial"/>
                <w:sz w:val="18"/>
                <w:szCs w:val="18"/>
                <w:color w:val="auto"/>
                <w:w w:val="91"/>
              </w:rPr>
              <w:t>not applicable</w:t>
            </w:r>
          </w:p>
        </w:tc>
        <w:tc>
          <w:tcPr>
            <w:tcW w:w="380" w:type="dxa"/>
            <w:vAlign w:val="bottom"/>
          </w:tcPr>
          <w:p>
            <w:pPr>
              <w:spacing w:after="0"/>
              <w:rPr>
                <w:sz w:val="20"/>
                <w:szCs w:val="20"/>
                <w:color w:val="auto"/>
              </w:rPr>
            </w:pPr>
          </w:p>
        </w:tc>
        <w:tc>
          <w:tcPr>
            <w:tcW w:w="28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$6.38 to $13.63</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expected term of options represents the period that our share-based compensation awards are expected to be outstanding. We have calculated the weighted-average expected term of the options using the simplified method as prescribed by Securities and Exchange Commission Staff Accounting Bulletins No. 107 and No. 110 (“SAB No. 107 and 110”). The utilization of SAB No. 107 and 110 was based on the lack of relevant historical data due to our limited historical experience as a publicly traded company as well as the lack of liquidity resulting from the limited number of freely-tradable shares of our common stock. Limited historical experience and lack of liquidity in our stock also resulted in our decision to utilize the historical volatilities of a peer group of public companies’ stock over the expected term of the option in determining our expected volatility assumptions. The risk-free interest rate for periods related to the expected life of the options is based on the U.S. Treasury yield curve in effect at the time of grant. The expected dividend yield is zero, as we have not paid any dividends and do not anticipate paying dividends in the near future. We calculated the forfeiture rate based on an analysis of historical data, as it reasonably approximates the currently anticipated rate of forfeitures for granted and outstanding options that have not vested.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for the fiscal years ended March 31, 2015 and 2014 under our stock option plans: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color w:val="auto"/>
                <w:w w:val="90"/>
              </w:rPr>
              <w:t>Fiscal Years Ended March 31,</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5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2015</w:t>
            </w:r>
          </w:p>
        </w:tc>
        <w:tc>
          <w:tcPr>
            <w:tcW w:w="10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2014</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89"/>
              </w:rPr>
              <w:t>Weighted</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0"/>
              <w:spacing w:after="0" w:line="201" w:lineRule="exact"/>
              <w:rPr>
                <w:sz w:val="20"/>
                <w:szCs w:val="20"/>
                <w:color w:val="auto"/>
              </w:rPr>
            </w:pPr>
            <w:r>
              <w:rPr>
                <w:rFonts w:ascii="Arial" w:cs="Arial" w:eastAsia="Arial" w:hAnsi="Arial"/>
                <w:sz w:val="18"/>
                <w:szCs w:val="18"/>
                <w:color w:val="auto"/>
                <w:w w:val="89"/>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Average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43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Price</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Options outstanding at beginning of period</w:t>
            </w:r>
          </w:p>
        </w:tc>
        <w:tc>
          <w:tcPr>
            <w:tcW w:w="3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212,486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245,653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16"/>
        </w:trPr>
        <w:tc>
          <w:tcPr>
            <w:tcW w:w="4340" w:type="dxa"/>
            <w:vAlign w:val="bottom"/>
          </w:tcPr>
          <w:p>
            <w:pPr>
              <w:ind w:left="620"/>
              <w:spacing w:after="0"/>
              <w:rPr>
                <w:sz w:val="20"/>
                <w:szCs w:val="20"/>
                <w:color w:val="auto"/>
              </w:rPr>
            </w:pPr>
            <w:r>
              <w:rPr>
                <w:rFonts w:ascii="Arial" w:cs="Arial" w:eastAsia="Arial" w:hAnsi="Arial"/>
                <w:sz w:val="18"/>
                <w:szCs w:val="18"/>
                <w:color w:val="auto"/>
              </w:rPr>
              <w:t>Options granted</w:t>
            </w:r>
          </w:p>
        </w:tc>
        <w:tc>
          <w:tcPr>
            <w:tcW w:w="3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19,050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Options exercised</w:t>
            </w:r>
          </w:p>
        </w:tc>
        <w:tc>
          <w:tcPr>
            <w:tcW w:w="3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tcPr>
          <w:p>
            <w:pPr>
              <w:ind w:left="620"/>
              <w:spacing w:after="0"/>
              <w:rPr>
                <w:sz w:val="20"/>
                <w:szCs w:val="20"/>
                <w:color w:val="auto"/>
              </w:rPr>
            </w:pPr>
            <w:r>
              <w:rPr>
                <w:rFonts w:ascii="Arial" w:cs="Arial" w:eastAsia="Arial" w:hAnsi="Arial"/>
                <w:sz w:val="18"/>
                <w:szCs w:val="18"/>
                <w:color w:val="auto"/>
              </w:rPr>
              <w:t>Options forfeited</w:t>
            </w:r>
          </w:p>
        </w:tc>
        <w:tc>
          <w:tcPr>
            <w:tcW w:w="3040" w:type="dxa"/>
            <w:vAlign w:val="bottom"/>
            <w:gridSpan w:val="3"/>
          </w:tcPr>
          <w:p>
            <w:pPr>
              <w:jc w:val="right"/>
              <w:ind w:right="80"/>
              <w:spacing w:after="0"/>
              <w:rPr>
                <w:sz w:val="20"/>
                <w:szCs w:val="20"/>
                <w:color w:val="auto"/>
              </w:rPr>
            </w:pPr>
            <w:r>
              <w:rPr>
                <w:rFonts w:ascii="Arial" w:cs="Arial" w:eastAsia="Arial" w:hAnsi="Arial"/>
                <w:sz w:val="18"/>
                <w:szCs w:val="18"/>
                <w:color w:val="auto"/>
              </w:rPr>
              <w:t>(2,001)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9.25</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(3,954)</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27.22</w:t>
            </w: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Options expired</w:t>
            </w:r>
          </w:p>
        </w:tc>
        <w:tc>
          <w:tcPr>
            <w:tcW w:w="30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(2,847)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10.56</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(48,263)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16"/>
        </w:trPr>
        <w:tc>
          <w:tcPr>
            <w:tcW w:w="434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Options outstanding at end of period</w:t>
            </w:r>
          </w:p>
        </w:tc>
        <w:tc>
          <w:tcPr>
            <w:tcW w:w="17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207,638</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10.09</w:t>
            </w:r>
          </w:p>
        </w:tc>
        <w:tc>
          <w:tcPr>
            <w:tcW w:w="12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212,486</w:t>
            </w:r>
          </w:p>
        </w:tc>
        <w:tc>
          <w:tcPr>
            <w:tcW w:w="2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tcPr>
          <w:p>
            <w:pPr>
              <w:ind w:left="60"/>
              <w:spacing w:after="0" w:line="196" w:lineRule="exact"/>
              <w:rPr>
                <w:sz w:val="20"/>
                <w:szCs w:val="20"/>
                <w:color w:val="auto"/>
              </w:rPr>
            </w:pPr>
            <w:r>
              <w:rPr>
                <w:rFonts w:ascii="Arial" w:cs="Arial" w:eastAsia="Arial" w:hAnsi="Arial"/>
                <w:sz w:val="18"/>
                <w:szCs w:val="18"/>
                <w:color w:val="auto"/>
              </w:rPr>
              <w:t>Options exercisable at end of period</w:t>
            </w:r>
          </w:p>
        </w:tc>
        <w:tc>
          <w:tcPr>
            <w:tcW w:w="1740" w:type="dxa"/>
            <w:vAlign w:val="bottom"/>
          </w:tcPr>
          <w:p>
            <w:pPr>
              <w:spacing w:after="0"/>
              <w:rPr>
                <w:sz w:val="18"/>
                <w:szCs w:val="18"/>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199,013</w:t>
            </w:r>
          </w:p>
        </w:tc>
        <w:tc>
          <w:tcPr>
            <w:tcW w:w="140" w:type="dxa"/>
            <w:vAlign w:val="bottom"/>
          </w:tcPr>
          <w:p>
            <w:pPr>
              <w:spacing w:after="0"/>
              <w:rPr>
                <w:sz w:val="18"/>
                <w:szCs w:val="18"/>
                <w:color w:val="auto"/>
              </w:rPr>
            </w:pP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10.09</w:t>
            </w:r>
          </w:p>
        </w:tc>
        <w:tc>
          <w:tcPr>
            <w:tcW w:w="12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182,775</w:t>
            </w:r>
          </w:p>
        </w:tc>
        <w:tc>
          <w:tcPr>
            <w:tcW w:w="2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40" w:type="dxa"/>
            <w:vAlign w:val="bottom"/>
          </w:tcPr>
          <w:p>
            <w:pPr>
              <w:ind w:left="40"/>
              <w:spacing w:after="0" w:line="201" w:lineRule="exact"/>
              <w:rPr>
                <w:sz w:val="20"/>
                <w:szCs w:val="20"/>
                <w:color w:val="auto"/>
              </w:rPr>
            </w:pPr>
            <w:r>
              <w:rPr>
                <w:rFonts w:ascii="Arial" w:cs="Arial" w:eastAsia="Arial" w:hAnsi="Arial"/>
                <w:sz w:val="18"/>
                <w:szCs w:val="18"/>
                <w:color w:val="auto"/>
              </w:rPr>
              <w:t>Weighted average grant-date fair value of</w:t>
            </w:r>
          </w:p>
        </w:tc>
        <w:tc>
          <w:tcPr>
            <w:tcW w:w="1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620"/>
              <w:spacing w:after="0"/>
              <w:rPr>
                <w:sz w:val="20"/>
                <w:szCs w:val="20"/>
                <w:color w:val="auto"/>
              </w:rPr>
            </w:pPr>
            <w:r>
              <w:rPr>
                <w:rFonts w:ascii="Arial" w:cs="Arial" w:eastAsia="Arial" w:hAnsi="Arial"/>
                <w:sz w:val="18"/>
                <w:szCs w:val="18"/>
                <w:color w:val="auto"/>
              </w:rPr>
              <w:t>options granted during the period</w:t>
            </w:r>
          </w:p>
        </w:tc>
        <w:tc>
          <w:tcPr>
            <w:tcW w:w="1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3040" w:type="dxa"/>
            <w:vAlign w:val="bottom"/>
            <w:gridSpan w:val="3"/>
            <w:vMerge w:val="restart"/>
          </w:tcPr>
          <w:p>
            <w:pPr>
              <w:jc w:val="right"/>
              <w:ind w:right="1500"/>
              <w:spacing w:after="0"/>
              <w:rPr>
                <w:sz w:val="20"/>
                <w:szCs w:val="20"/>
                <w:color w:val="auto"/>
              </w:rPr>
            </w:pPr>
            <w:r>
              <w:rPr>
                <w:rFonts w:ascii="Arial" w:cs="Arial" w:eastAsia="Arial" w:hAnsi="Arial"/>
                <w:sz w:val="18"/>
                <w:szCs w:val="18"/>
                <w:color w:val="auto"/>
              </w:rPr>
              <w:t>F-42</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340" w:type="dxa"/>
            <w:vAlign w:val="bottom"/>
          </w:tcPr>
          <w:p>
            <w:pPr>
              <w:spacing w:after="0"/>
              <w:rPr>
                <w:sz w:val="24"/>
                <w:szCs w:val="24"/>
                <w:color w:val="auto"/>
              </w:rPr>
            </w:pPr>
          </w:p>
        </w:tc>
        <w:tc>
          <w:tcPr>
            <w:tcW w:w="30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34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8" w:name="page169"/>
    <w:bookmarkEnd w:id="168"/>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on stock options outstanding and exercisable under our stock option plans as of March 31,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Options Outstanding</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80" w:type="dxa"/>
            <w:vAlign w:val="bottom"/>
            <w:gridSpan w:val="6"/>
          </w:tcPr>
          <w:p>
            <w:pPr>
              <w:ind w:left="1080"/>
              <w:spacing w:after="0"/>
              <w:rPr>
                <w:sz w:val="20"/>
                <w:szCs w:val="20"/>
                <w:color w:val="auto"/>
              </w:rPr>
            </w:pPr>
            <w:r>
              <w:rPr>
                <w:rFonts w:ascii="Arial" w:cs="Arial" w:eastAsia="Arial" w:hAnsi="Arial"/>
                <w:sz w:val="18"/>
                <w:szCs w:val="18"/>
                <w:color w:val="auto"/>
              </w:rPr>
              <w:t>Options Exercisable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2"/>
          </w:tcPr>
          <w:p>
            <w:pPr>
              <w:jc w:val="center"/>
              <w:ind w:right="300"/>
              <w:spacing w:after="0" w:line="201" w:lineRule="exact"/>
              <w:rPr>
                <w:sz w:val="20"/>
                <w:szCs w:val="20"/>
                <w:color w:val="auto"/>
              </w:rPr>
            </w:pPr>
            <w:r>
              <w:rPr>
                <w:rFonts w:ascii="Arial" w:cs="Arial" w:eastAsia="Arial" w:hAnsi="Arial"/>
                <w:sz w:val="18"/>
                <w:szCs w:val="18"/>
                <w:color w:val="auto"/>
                <w:w w:val="89"/>
              </w:rPr>
              <w:t>Weighted</w:t>
            </w: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c>
          <w:tcPr>
            <w:tcW w:w="280" w:type="dxa"/>
            <w:vAlign w:val="bottom"/>
          </w:tcPr>
          <w:p>
            <w:pPr>
              <w:spacing w:after="0"/>
              <w:rPr>
                <w:sz w:val="18"/>
                <w:szCs w:val="18"/>
                <w:color w:val="auto"/>
              </w:rPr>
            </w:pPr>
          </w:p>
        </w:tc>
        <w:tc>
          <w:tcPr>
            <w:tcW w:w="164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Weighted</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Remaining</w:t>
            </w:r>
          </w:p>
        </w:tc>
        <w:tc>
          <w:tcPr>
            <w:tcW w:w="280" w:type="dxa"/>
            <w:vAlign w:val="bottom"/>
          </w:tcPr>
          <w:p>
            <w:pPr>
              <w:spacing w:after="0"/>
              <w:rPr>
                <w:sz w:val="18"/>
                <w:szCs w:val="18"/>
                <w:color w:val="auto"/>
              </w:rPr>
            </w:pPr>
          </w:p>
        </w:tc>
        <w:tc>
          <w:tcPr>
            <w:tcW w:w="164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Average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ind w:left="200"/>
              <w:spacing w:after="0"/>
              <w:rPr>
                <w:sz w:val="20"/>
                <w:szCs w:val="20"/>
                <w:color w:val="auto"/>
              </w:rPr>
            </w:pPr>
            <w:r>
              <w:rPr>
                <w:rFonts w:ascii="Arial" w:cs="Arial" w:eastAsia="Arial" w:hAnsi="Arial"/>
                <w:sz w:val="18"/>
                <w:szCs w:val="18"/>
                <w:color w:val="auto"/>
              </w:rPr>
              <w:t>Exercise</w:t>
            </w: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Number</w:t>
            </w: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Years until</w:t>
            </w:r>
          </w:p>
        </w:tc>
        <w:tc>
          <w:tcPr>
            <w:tcW w:w="280" w:type="dxa"/>
            <w:vAlign w:val="bottom"/>
          </w:tcPr>
          <w:p>
            <w:pPr>
              <w:spacing w:after="0"/>
              <w:rPr>
                <w:sz w:val="18"/>
                <w:szCs w:val="18"/>
                <w:color w:val="auto"/>
              </w:rPr>
            </w:pPr>
          </w:p>
        </w:tc>
        <w:tc>
          <w:tcPr>
            <w:tcW w:w="164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Exercise</w:t>
            </w: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Number</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Exercise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2"/>
          </w:tcPr>
          <w:p>
            <w:pPr>
              <w:ind w:left="320"/>
              <w:spacing w:after="0"/>
              <w:rPr>
                <w:sz w:val="20"/>
                <w:szCs w:val="20"/>
                <w:color w:val="auto"/>
              </w:rPr>
            </w:pPr>
            <w:r>
              <w:rPr>
                <w:rFonts w:ascii="Arial" w:cs="Arial" w:eastAsia="Arial" w:hAnsi="Arial"/>
                <w:sz w:val="18"/>
                <w:szCs w:val="18"/>
                <w:color w:val="auto"/>
              </w:rPr>
              <w:t>Price</w:t>
            </w: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Outstanding</w:t>
            </w:r>
          </w:p>
        </w:tc>
        <w:tc>
          <w:tcPr>
            <w:tcW w:w="19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Expiration</w:t>
            </w:r>
          </w:p>
        </w:tc>
        <w:tc>
          <w:tcPr>
            <w:tcW w:w="280" w:type="dxa"/>
            <w:vAlign w:val="bottom"/>
          </w:tcPr>
          <w:p>
            <w:pPr>
              <w:spacing w:after="0"/>
              <w:rPr>
                <w:sz w:val="20"/>
                <w:szCs w:val="20"/>
                <w:color w:val="auto"/>
              </w:rPr>
            </w:pPr>
          </w:p>
        </w:tc>
        <w:tc>
          <w:tcPr>
            <w:tcW w:w="164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Price</w:t>
            </w:r>
          </w:p>
        </w:tc>
        <w:tc>
          <w:tcPr>
            <w:tcW w:w="17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Exercisable</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49,590</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8.00</w:t>
            </w:r>
          </w:p>
        </w:tc>
        <w:tc>
          <w:tcPr>
            <w:tcW w:w="1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46,466</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1600" w:type="dxa"/>
            <w:vAlign w:val="bottom"/>
          </w:tcPr>
          <w:p>
            <w:pPr>
              <w:jc w:val="right"/>
              <w:spacing w:after="0"/>
              <w:rPr>
                <w:sz w:val="20"/>
                <w:szCs w:val="20"/>
                <w:color w:val="auto"/>
              </w:rPr>
            </w:pPr>
            <w:r>
              <w:rPr>
                <w:rFonts w:ascii="Arial" w:cs="Arial" w:eastAsia="Arial" w:hAnsi="Arial"/>
                <w:sz w:val="18"/>
                <w:szCs w:val="18"/>
                <w:color w:val="auto"/>
              </w:rPr>
              <w:t>147,939</w:t>
            </w:r>
          </w:p>
        </w:tc>
        <w:tc>
          <w:tcPr>
            <w:tcW w:w="300" w:type="dxa"/>
            <w:vAlign w:val="bottom"/>
          </w:tcPr>
          <w:p>
            <w:pPr>
              <w:spacing w:after="0"/>
              <w:rPr>
                <w:sz w:val="18"/>
                <w:szCs w:val="18"/>
                <w:color w:val="auto"/>
              </w:rPr>
            </w:pPr>
          </w:p>
        </w:tc>
        <w:tc>
          <w:tcPr>
            <w:tcW w:w="1900" w:type="dxa"/>
            <w:vAlign w:val="bottom"/>
            <w:gridSpan w:val="2"/>
          </w:tcPr>
          <w:p>
            <w:pPr>
              <w:jc w:val="right"/>
              <w:ind w:right="300"/>
              <w:spacing w:after="0"/>
              <w:rPr>
                <w:sz w:val="20"/>
                <w:szCs w:val="20"/>
                <w:color w:val="auto"/>
              </w:rPr>
            </w:pPr>
            <w:r>
              <w:rPr>
                <w:rFonts w:ascii="Arial" w:cs="Arial" w:eastAsia="Arial" w:hAnsi="Arial"/>
                <w:sz w:val="18"/>
                <w:szCs w:val="18"/>
                <w:color w:val="auto"/>
              </w:rPr>
              <w:t>4.88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1640" w:type="dxa"/>
            <w:vAlign w:val="bottom"/>
          </w:tcPr>
          <w:p>
            <w:pPr>
              <w:jc w:val="right"/>
              <w:spacing w:after="0"/>
              <w:rPr>
                <w:sz w:val="20"/>
                <w:szCs w:val="20"/>
                <w:color w:val="auto"/>
              </w:rPr>
            </w:pPr>
            <w:r>
              <w:rPr>
                <w:rFonts w:ascii="Arial" w:cs="Arial" w:eastAsia="Arial" w:hAnsi="Arial"/>
                <w:sz w:val="18"/>
                <w:szCs w:val="18"/>
                <w:color w:val="auto"/>
              </w:rPr>
              <w:t>142,751</w:t>
            </w:r>
          </w:p>
        </w:tc>
        <w:tc>
          <w:tcPr>
            <w:tcW w:w="14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14.40 to $36.00</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10,109</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21.69</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9,796</w:t>
            </w:r>
          </w:p>
        </w:tc>
        <w:tc>
          <w:tcPr>
            <w:tcW w:w="1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207,638</w:t>
            </w:r>
          </w:p>
        </w:tc>
        <w:tc>
          <w:tcPr>
            <w:tcW w:w="3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5.51</w:t>
            </w:r>
          </w:p>
        </w:tc>
        <w:tc>
          <w:tcPr>
            <w:tcW w:w="280" w:type="dxa"/>
            <w:vAlign w:val="bottom"/>
            <w:tcBorders>
              <w:bottom w:val="single" w:sz="8" w:color="CCEEFF"/>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CCEEFF"/>
            </w:tcBorders>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10.09</w:t>
            </w: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199,013</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2015, there were 40,491 shares of our common stock remaining available for grant under the 2008 Plan. There were no option exercises during the years ended March 31, 2015 or 2014.</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Aggregate intrinsic value is the sum of the amounts by which the fair value of the underlying common stock exceeded the exercise price of the option (</w:t>
      </w:r>
      <w:r>
        <w:rPr>
          <w:rFonts w:ascii="Arial" w:cs="Arial" w:eastAsia="Arial" w:hAnsi="Arial"/>
          <w:sz w:val="18"/>
          <w:szCs w:val="18"/>
          <w:i w:val="1"/>
          <w:iCs w:val="1"/>
          <w:color w:val="auto"/>
        </w:rPr>
        <w:t>in-the-money-options</w:t>
      </w:r>
      <w:r>
        <w:rPr>
          <w:rFonts w:ascii="Arial" w:cs="Arial" w:eastAsia="Arial" w:hAnsi="Arial"/>
          <w:sz w:val="18"/>
          <w:szCs w:val="18"/>
          <w:color w:val="auto"/>
        </w:rPr>
        <w:t>). Based on the $10.00 per share quoted market price of our common stock on March 31, 2015, the aggregate intrinsic value of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at that date was $99,200, of which $92,900 related to exercisable options.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2015, there was approximately $71,700 of unrecognized compensation cost related to non-vested share-based compensation awards from the 2008 Plan, which is expected to be recognized through May 2016. Additionally, at March 31, 2015 there was approximately $27,000 of unrecognized compensation cost related to unvested warrant grants to independent directors and officers, which is expected to be recognized through March 2016 absent any conditions which would accelerate the vesting of the awards and corresponding expense recognition.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 a third-party agent, we maintain a retirement and deferred savings plan for our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participating employees.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Cato Holding Company (</w:t>
      </w:r>
      <w:r>
        <w:rPr>
          <w:rFonts w:ascii="Arial" w:cs="Arial" w:eastAsia="Arial" w:hAnsi="Arial"/>
          <w:sz w:val="17"/>
          <w:szCs w:val="17"/>
          <w:i w:val="1"/>
          <w:iCs w:val="1"/>
          <w:color w:val="auto"/>
        </w:rPr>
        <w:t>CHC</w:t>
      </w:r>
      <w:r>
        <w:rPr>
          <w:rFonts w:ascii="Arial" w:cs="Arial" w:eastAsia="Arial" w:hAnsi="Arial"/>
          <w:sz w:val="17"/>
          <w:szCs w:val="17"/>
          <w:color w:val="auto"/>
        </w:rPr>
        <w:t>), doing business as Cato BioVentures (</w:t>
      </w:r>
      <w:r>
        <w:rPr>
          <w:rFonts w:ascii="Arial" w:cs="Arial" w:eastAsia="Arial" w:hAnsi="Arial"/>
          <w:sz w:val="17"/>
          <w:szCs w:val="17"/>
          <w:i w:val="1"/>
          <w:iCs w:val="1"/>
          <w:color w:val="auto"/>
        </w:rPr>
        <w:t>CBV</w:t>
      </w:r>
      <w:r>
        <w:rPr>
          <w:rFonts w:ascii="Arial" w:cs="Arial" w:eastAsia="Arial" w:hAnsi="Arial"/>
          <w:sz w:val="17"/>
          <w:szCs w:val="17"/>
          <w:color w:val="auto"/>
        </w:rPr>
        <w:t xml:space="preserve">), the parent of CRL, is one of our largest institutional stockholders at March 31, 2015, holding common stock and warrants to purchase our common stock. Shawn Singh, our Chief Executive Officer and member of our Board of Directors, served as Managing Principal of CBV and as an officer of CRL until August 2009. On October 10, 2012, we issued to CHC an unsecured promissory note in the principal amount of $310,400 (the </w:t>
      </w:r>
      <w:r>
        <w:rPr>
          <w:rFonts w:ascii="Arial" w:cs="Arial" w:eastAsia="Arial" w:hAnsi="Arial"/>
          <w:sz w:val="17"/>
          <w:szCs w:val="17"/>
          <w:i w:val="1"/>
          <w:iCs w:val="1"/>
          <w:color w:val="auto"/>
        </w:rPr>
        <w:t>2012 CHC Note</w:t>
      </w:r>
      <w:r>
        <w:rPr>
          <w:rFonts w:ascii="Arial" w:cs="Arial" w:eastAsia="Arial" w:hAnsi="Arial"/>
          <w:sz w:val="17"/>
          <w:szCs w:val="17"/>
          <w:color w:val="auto"/>
        </w:rPr>
        <w:t xml:space="preserve">) and a five-year warrant to purchase 12,500 restricted shares of our common stock at a price of $30.00 per share (the </w:t>
      </w:r>
      <w:r>
        <w:rPr>
          <w:rFonts w:ascii="Arial" w:cs="Arial" w:eastAsia="Arial" w:hAnsi="Arial"/>
          <w:sz w:val="17"/>
          <w:szCs w:val="17"/>
          <w:i w:val="1"/>
          <w:iCs w:val="1"/>
          <w:color w:val="auto"/>
        </w:rPr>
        <w:t>CHC Warrant</w:t>
      </w:r>
      <w:r>
        <w:rPr>
          <w:rFonts w:ascii="Arial" w:cs="Arial" w:eastAsia="Arial" w:hAnsi="Arial"/>
          <w:sz w:val="17"/>
          <w:szCs w:val="17"/>
          <w:color w:val="auto"/>
        </w:rPr>
        <w:t xml:space="preserve">). Additionally, on October 10, 2012, we issued to CRL: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7"/>
          <w:szCs w:val="17"/>
          <w:i w:val="1"/>
          <w:iCs w:val="1"/>
          <w:color w:val="auto"/>
        </w:rPr>
        <w:t>CRL Note</w:t>
      </w:r>
      <w:r>
        <w:rPr>
          <w:rFonts w:ascii="Arial" w:cs="Arial" w:eastAsia="Arial" w:hAnsi="Arial"/>
          <w:sz w:val="17"/>
          <w:szCs w:val="17"/>
          <w:color w:val="auto"/>
        </w:rPr>
        <w:t>), as payment in full for all contract research and development services and regulatory advice rendered to us by CRL through December 31, 2012 with respect to the preclinical and clinical development of AV-101, and (ii) a five-year warrant to purchase, at a price of $20.00 per share, 50,450 restricted shares of our common stock. The 2012 CHC Note and the CRL Note mature on March 31, 2016.</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69" w:name="page170"/>
    <w:bookmarkEnd w:id="169"/>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fiscal year 2007, VistaGen California entered into a contract research organization arrangement with CRL related to the development of AV-101, under which we incurred expenses of $38,100 and $52,500 for the fiscal years ended March 31, 2015 and 2014, respectively. Total interest expense on notes payable to CHC and CRL was $174,800 and $167,900 for the fiscal years ended March 31, 2015 and 2014, respectively.</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Upon the approval of its Board of Directors, in December 2006, VistaGen California accepted a full-recourse promissory note in the amount of $103,400 from Mr. Shawn Singh in payment of the exercise price for options and warrants to purchase an aggregate of 6,320 restricted shares of VistaGen California’s common stock. The note accrued interest at a rate of 4.90% per annum and was due and payable no later than the earlier of (i) December 1, 2016 or (ii) ten days prior to VistaGen California becoming subject to the requirements of the Securities Exchange Act of 1934, as amended (</w:t>
      </w:r>
      <w:r>
        <w:rPr>
          <w:rFonts w:ascii="Arial" w:cs="Arial" w:eastAsia="Arial" w:hAnsi="Arial"/>
          <w:sz w:val="17"/>
          <w:szCs w:val="17"/>
          <w:i w:val="1"/>
          <w:iCs w:val="1"/>
          <w:color w:val="auto"/>
        </w:rPr>
        <w:t>Exchange Act</w:t>
      </w:r>
      <w:r>
        <w:rPr>
          <w:rFonts w:ascii="Arial" w:cs="Arial" w:eastAsia="Arial" w:hAnsi="Arial"/>
          <w:sz w:val="17"/>
          <w:szCs w:val="17"/>
          <w:color w:val="auto"/>
        </w:rPr>
        <w: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2015 and 2014, we had accrued $101,900 as an estimate of the gross-up amount, but we had not yet paid any of that amount to Mr. Singh.</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Between September and December 2013, Mr. Singh provided short-term cash advances aggregating $64,000 to meet our short-term working capital requirements. In lieu of cash repayment of the advances, in December 2013, Mr. Singh elected to invest $50,000 of the balance due him in the 2013 Unit Private Placement. At March 31, 2015, we have completely repaid the balance of the advances and the $50,000 promissory note issued in connection with his investment in the 2013 Unit Private Placement to Mr. Singh.</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Contingencies, Guarantees and Indemnifications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From time to time, we may become involved in claims and other legal matters arising in the ordinary course of business. Management is not currently aware of any claims made or other legal matters that will have a material adverse effect on our consolidated financial position, results of operations or its cash flows.</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indemnify our officers and directors for certain events or occurrences while the officer or director is or was serving at our request in such capacity. The term of the indemnification period is for the officer’s or director’s lifetime. We will indemnify the officers or directors against any and all expenses incurred by the officers or directors because of their status as one of our directors or executive officers to the fullest extent permitted by Nevada law. We have never incurred costs to defend lawsuits or settle claims related to these indemnification agreements. We have a director and officer insurance policy which limits our exposure and may enable us to recover a portion of any future amounts paid. We believe the fair value of these indemnification agreements is minimal. Accordingly, there are no liabilities recorded for these agreements at March 31, 2015 or 2014.</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normal course of business, we provide indemnifications of varying scopes under agreements with other companies, typically clinical research organizations, investigators, clinical sites, suppliers and others. Pursuant to these agreements, we generally indemnify, hold harmless, and agree to reimburse the indemnified parties for losses suffered or incurred by the indemnified parties in connection with the use or testing of our product candidates or with any U.S. patents or any copyright or other intellectual property infringement claims by any third party with respect to our product candidates. The terms of these indemnification agreements are generally perpetual. The potential future payments we could be required to make under these indemnification agreements is unlimited. We maintain liability insurance coverage that limits our exposure. We believe the fair value of these indemnification agreements is minimal. Accordingly, we have not recorded any liabilities for these agreements as of March 31, 2015 or 2014.</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0" w:name="page171"/>
    <w:bookmarkEnd w:id="170"/>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and 2014, the following assets are under capital lease obligations and included in property and equipment: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Office equipment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book value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8"/>
                <w:szCs w:val="18"/>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12,400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for assets recorded under capital leases is included in depreciation expense. Future minimum payments, by year and in the aggregate, required under capital leases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Capital</w:t>
            </w:r>
          </w:p>
        </w:tc>
        <w:tc>
          <w:tcPr>
            <w:tcW w:w="0" w:type="dxa"/>
            <w:vAlign w:val="bottom"/>
          </w:tcPr>
          <w:p>
            <w:pPr>
              <w:spacing w:after="0"/>
              <w:rPr>
                <w:sz w:val="1"/>
                <w:szCs w:val="1"/>
                <w:color w:val="auto"/>
              </w:rPr>
            </w:pPr>
          </w:p>
        </w:tc>
      </w:tr>
      <w:tr>
        <w:trPr>
          <w:trHeight w:val="230"/>
        </w:trPr>
        <w:tc>
          <w:tcPr>
            <w:tcW w:w="10060" w:type="dxa"/>
            <w:vAlign w:val="bottom"/>
            <w:gridSpan w:val="2"/>
          </w:tcPr>
          <w:p>
            <w:pPr>
              <w:spacing w:after="0"/>
              <w:rPr>
                <w:sz w:val="20"/>
                <w:szCs w:val="20"/>
                <w:color w:val="auto"/>
              </w:rPr>
            </w:pPr>
            <w:r>
              <w:rPr>
                <w:rFonts w:ascii="Arial" w:cs="Arial" w:eastAsia="Arial" w:hAnsi="Arial"/>
                <w:sz w:val="18"/>
                <w:szCs w:val="18"/>
                <w:color w:val="auto"/>
              </w:rPr>
              <w:t>Fiscal Years Ending March 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Leases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Future minimum lease payments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Less imputed interest included in minimum lease payments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Present value of minimum lease payments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Non-current capital lease obligation</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At March 31, 2015, future minimum payments under operating leases relate to our facility lease in South San Francisco, California through July 31, 2017 and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360" w:type="dxa"/>
            <w:vAlign w:val="bottom"/>
            <w:gridSpan w:val="4"/>
          </w:tcPr>
          <w:p>
            <w:pPr>
              <w:spacing w:after="0"/>
              <w:rPr>
                <w:sz w:val="20"/>
                <w:szCs w:val="20"/>
                <w:color w:val="auto"/>
              </w:rPr>
            </w:pPr>
            <w:r>
              <w:rPr>
                <w:rFonts w:ascii="Arial" w:cs="Arial" w:eastAsia="Arial" w:hAnsi="Arial"/>
                <w:sz w:val="18"/>
                <w:szCs w:val="18"/>
                <w:color w:val="auto"/>
              </w:rPr>
              <w:t>Fiscal Years Ending March 31,</w:t>
            </w: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Amount</w:t>
            </w:r>
          </w:p>
        </w:tc>
      </w:tr>
      <w:tr>
        <w:trPr>
          <w:trHeight w:val="216"/>
        </w:trPr>
        <w:tc>
          <w:tcPr>
            <w:tcW w:w="20" w:type="dxa"/>
            <w:vAlign w:val="bottom"/>
          </w:tcPr>
          <w:p>
            <w:pPr>
              <w:spacing w:after="0"/>
              <w:rPr>
                <w:sz w:val="18"/>
                <w:szCs w:val="18"/>
                <w:color w:val="auto"/>
              </w:rPr>
            </w:pPr>
          </w:p>
        </w:tc>
        <w:tc>
          <w:tcPr>
            <w:tcW w:w="10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277,100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634,900</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incurred total facility rent expense for the fiscal years ended March 31, 2015 and 2014 of $337,000 and $284,100 ,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1" w:name="page172"/>
    <w:bookmarkEnd w:id="171"/>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 Repayment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At March 31, 2015, assuming that all outstanding convertible notes are converted into shares of common stock in accordance with their respective conversion provisions and that Replacement Note B issued to Morrison &amp; Foerster, the CRL Note and the UHN Note, each as described further in Note 8, </w:t>
      </w:r>
      <w:r>
        <w:rPr>
          <w:rFonts w:ascii="Arial" w:cs="Arial" w:eastAsia="Arial" w:hAnsi="Arial"/>
          <w:sz w:val="17"/>
          <w:szCs w:val="17"/>
          <w:i w:val="1"/>
          <w:iCs w:val="1"/>
          <w:color w:val="auto"/>
        </w:rPr>
        <w:t>Convertible</w:t>
      </w:r>
      <w:r>
        <w:rPr>
          <w:rFonts w:ascii="Arial" w:cs="Arial" w:eastAsia="Arial" w:hAnsi="Arial"/>
          <w:sz w:val="17"/>
          <w:szCs w:val="17"/>
          <w:color w:val="auto"/>
        </w:rPr>
        <w:t xml:space="preserve"> </w:t>
      </w:r>
      <w:r>
        <w:rPr>
          <w:rFonts w:ascii="Arial" w:cs="Arial" w:eastAsia="Arial" w:hAnsi="Arial"/>
          <w:sz w:val="17"/>
          <w:szCs w:val="17"/>
          <w:i w:val="1"/>
          <w:iCs w:val="1"/>
          <w:color w:val="auto"/>
        </w:rPr>
        <w:t>Promissory Notes and Other Notes Payable</w:t>
      </w:r>
      <w:r>
        <w:rPr>
          <w:rFonts w:ascii="Arial" w:cs="Arial" w:eastAsia="Arial" w:hAnsi="Arial"/>
          <w:sz w:val="17"/>
          <w:szCs w:val="17"/>
          <w:color w:val="auto"/>
        </w:rPr>
        <w:t>, are repaid through the issuance of restricted common stock upon the exercise of the warrants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such notes, future minimum principal payments related to long-term debt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gridSpan w:val="2"/>
          </w:tcPr>
          <w:p>
            <w:pPr>
              <w:spacing w:after="0"/>
              <w:rPr>
                <w:sz w:val="20"/>
                <w:szCs w:val="20"/>
                <w:color w:val="auto"/>
              </w:rPr>
            </w:pPr>
            <w:r>
              <w:rPr>
                <w:rFonts w:ascii="Arial" w:cs="Arial" w:eastAsia="Arial" w:hAnsi="Arial"/>
                <w:sz w:val="18"/>
                <w:szCs w:val="18"/>
                <w:color w:val="auto"/>
              </w:rPr>
              <w:t>Fiscal Years Ending March 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2,185,700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Thereafter through June 2019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4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evaluated subsequent events through the date of this report and have identified the following material events and transactions that occurred after March 31,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Unit Private Placement</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From April 1, 2015 through May 14, 2015, we entered into securities purchase agreements with accredited investors pursuant to which we sold to such accredited investors Units, for aggregate cash proceeds of $280,000, consisting of (i) 10% convertible notes in the aggregate face amount of $280,000 due between April 30, 2015 and May 15, 2015 or automatically convertible into securities we may issue upon the consummation of a Qualified Financing, as defined in the note (ii) an aggregate of 33,000 restricted shares of our common stock; and (iii) warrants exercisable through December 31, 2016 to purchase an aggregate of 24,250 restricted shares of our common stock at an exercise price of $10.00 per share.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Creation of Series B Preferred Stock</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7, 2015, we filed a Certificate of Designation of the Relative Rights and Preferences of the Series B 10% Preferred Stock of VistaGen Therapeutics, Inc. (</w:t>
      </w:r>
      <w:r>
        <w:rPr>
          <w:rFonts w:ascii="Arial" w:cs="Arial" w:eastAsia="Arial" w:hAnsi="Arial"/>
          <w:sz w:val="18"/>
          <w:szCs w:val="18"/>
          <w:i w:val="1"/>
          <w:iCs w:val="1"/>
          <w:color w:val="auto"/>
        </w:rPr>
        <w:t>Certificate of Designation</w:t>
      </w:r>
      <w:r>
        <w:rPr>
          <w:rFonts w:ascii="Arial" w:cs="Arial" w:eastAsia="Arial" w:hAnsi="Arial"/>
          <w:sz w:val="18"/>
          <w:szCs w:val="18"/>
          <w:color w:val="auto"/>
        </w:rPr>
        <w:t>) with the Nevada Secretary of State to designate 4.0 million shares of our authorized preferred stock as Series B 10% Convertible Preferred Stock (</w:t>
      </w:r>
      <w:r>
        <w:rPr>
          <w:rFonts w:ascii="Arial" w:cs="Arial" w:eastAsia="Arial" w:hAnsi="Arial"/>
          <w:sz w:val="18"/>
          <w:szCs w:val="18"/>
          <w:i w:val="1"/>
          <w:iCs w:val="1"/>
          <w:color w:val="auto"/>
        </w:rPr>
        <w:t>Series B Preferred</w:t>
      </w:r>
      <w:r>
        <w:rPr>
          <w:rFonts w:ascii="Arial" w:cs="Arial" w:eastAsia="Arial" w:hAnsi="Arial"/>
          <w:sz w:val="18"/>
          <w:szCs w:val="18"/>
          <w:color w:val="auto"/>
        </w:rPr>
        <w:t>).</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Each share of Series B Preferred is convertible, at the option of the holder (</w:t>
      </w:r>
      <w:r>
        <w:rPr>
          <w:rFonts w:ascii="Arial" w:cs="Arial" w:eastAsia="Arial" w:hAnsi="Arial"/>
          <w:sz w:val="17"/>
          <w:szCs w:val="17"/>
          <w:i w:val="1"/>
          <w:iCs w:val="1"/>
          <w:color w:val="auto"/>
        </w:rPr>
        <w:t>Voluntary Conversion</w:t>
      </w:r>
      <w:r>
        <w:rPr>
          <w:rFonts w:ascii="Arial" w:cs="Arial" w:eastAsia="Arial" w:hAnsi="Arial"/>
          <w:sz w:val="17"/>
          <w:szCs w:val="17"/>
          <w:color w:val="auto"/>
        </w:rPr>
        <w:t>), into one (1) share of our common stock at a fixed conversion price of $7.00 per share (</w:t>
      </w:r>
      <w:r>
        <w:rPr>
          <w:rFonts w:ascii="Arial" w:cs="Arial" w:eastAsia="Arial" w:hAnsi="Arial"/>
          <w:sz w:val="17"/>
          <w:szCs w:val="17"/>
          <w:i w:val="1"/>
          <w:iCs w:val="1"/>
          <w:color w:val="auto"/>
        </w:rPr>
        <w:t>Conversion Price</w:t>
      </w:r>
      <w:r>
        <w:rPr>
          <w:rFonts w:ascii="Arial" w:cs="Arial" w:eastAsia="Arial" w:hAnsi="Arial"/>
          <w:sz w:val="17"/>
          <w:szCs w:val="17"/>
          <w:color w:val="auto"/>
        </w:rPr>
        <w:t>). The Conversion Price is subject to adjustment only for customary stock dividends, reclassifications, splits and similar transactions set forth in the Certificate of Designation. All outstanding shares of Series B Preferred are also convertible automatically into shares of our common stock (“</w:t>
      </w:r>
      <w:r>
        <w:rPr>
          <w:rFonts w:ascii="Arial" w:cs="Arial" w:eastAsia="Arial" w:hAnsi="Arial"/>
          <w:sz w:val="17"/>
          <w:szCs w:val="17"/>
          <w:i w:val="1"/>
          <w:iCs w:val="1"/>
          <w:color w:val="auto"/>
        </w:rPr>
        <w:t>Automatic Conversion</w:t>
      </w:r>
      <w:r>
        <w:rPr>
          <w:rFonts w:ascii="Arial" w:cs="Arial" w:eastAsia="Arial" w:hAnsi="Arial"/>
          <w:sz w:val="17"/>
          <w:szCs w:val="17"/>
          <w:color w:val="auto"/>
        </w:rPr>
        <w:t xml:space="preserve">”) upon the closing or effective date of any of the following transactions or events: (i) a strategic transaction involving AV-101 with an initial up-front cash payment to us of at least $10.0 million; (ii) a registered public offering of our common stock with aggregate gross proceeds to us of at least $10.0 million; or (iii) for 20 consecutive trading days, our common stock trades at least 20,000 shares per day with a daily closing price of at least $12.00 per share; provided, however, that Automatic Conversion and Voluntary Conversion (collectively, </w:t>
      </w:r>
      <w:r>
        <w:rPr>
          <w:rFonts w:ascii="Arial" w:cs="Arial" w:eastAsia="Arial" w:hAnsi="Arial"/>
          <w:sz w:val="17"/>
          <w:szCs w:val="17"/>
          <w:i w:val="1"/>
          <w:iCs w:val="1"/>
          <w:color w:val="auto"/>
        </w:rPr>
        <w:t>Conversion</w:t>
      </w:r>
      <w:r>
        <w:rPr>
          <w:rFonts w:ascii="Arial" w:cs="Arial" w:eastAsia="Arial" w:hAnsi="Arial"/>
          <w:sz w:val="17"/>
          <w:szCs w:val="17"/>
          <w:color w:val="auto"/>
        </w:rPr>
        <w:t>) are subject to certain beneficial ownership blockers as set forth in the Certificate of Designation.</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Conversion, shares of Series B Preferred will accrue dividends, payable only in shares of our common stock, at a rate of 10% per annum (</w:t>
      </w:r>
      <w:r>
        <w:rPr>
          <w:rFonts w:ascii="Arial" w:cs="Arial" w:eastAsia="Arial" w:hAnsi="Arial"/>
          <w:sz w:val="18"/>
          <w:szCs w:val="18"/>
          <w:i w:val="1"/>
          <w:iCs w:val="1"/>
          <w:color w:val="auto"/>
        </w:rPr>
        <w:t>Accrued</w:t>
      </w:r>
      <w:r>
        <w:rPr>
          <w:rFonts w:ascii="Arial" w:cs="Arial" w:eastAsia="Arial" w:hAnsi="Arial"/>
          <w:sz w:val="18"/>
          <w:szCs w:val="18"/>
          <w:color w:val="auto"/>
        </w:rPr>
        <w:t xml:space="preserve"> </w:t>
      </w:r>
      <w:r>
        <w:rPr>
          <w:rFonts w:ascii="Arial" w:cs="Arial" w:eastAsia="Arial" w:hAnsi="Arial"/>
          <w:sz w:val="18"/>
          <w:szCs w:val="18"/>
          <w:i w:val="1"/>
          <w:iCs w:val="1"/>
          <w:color w:val="auto"/>
        </w:rPr>
        <w:t>Dividend</w:t>
      </w:r>
      <w:r>
        <w:rPr>
          <w:rFonts w:ascii="Arial" w:cs="Arial" w:eastAsia="Arial" w:hAnsi="Arial"/>
          <w:sz w:val="18"/>
          <w:szCs w:val="18"/>
          <w:color w:val="auto"/>
        </w:rPr>
        <w:t>). The Accrued Dividend will be payable on the date of either a Voluntary Conversion or Automatic Conversion solely in that number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equal to the Accrued Dividend, divided by the Conversion Price.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2" w:name="page173"/>
    <w:bookmarkEnd w:id="172"/>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Platinum</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5, 2015, we entered into an Agreement with Platinum, which, as modified by an Acknowledgement and Agreement, became effective on May 12, 2015 (</w:t>
      </w:r>
      <w:r>
        <w:rPr>
          <w:rFonts w:ascii="Arial" w:cs="Arial" w:eastAsia="Arial" w:hAnsi="Arial"/>
          <w:sz w:val="18"/>
          <w:szCs w:val="18"/>
          <w:i w:val="1"/>
          <w:iCs w:val="1"/>
          <w:color w:val="auto"/>
        </w:rPr>
        <w:t>Platinum Agreement</w:t>
      </w:r>
      <w:r>
        <w:rPr>
          <w:rFonts w:ascii="Arial" w:cs="Arial" w:eastAsia="Arial" w:hAnsi="Arial"/>
          <w:sz w:val="18"/>
          <w:szCs w:val="18"/>
          <w:color w:val="auto"/>
        </w:rPr>
        <w:t>). Under the Platinum Agreement, Platinum:</w:t>
      </w:r>
    </w:p>
    <w:p>
      <w:pPr>
        <w:spacing w:after="0" w:line="197" w:lineRule="exact"/>
        <w:rPr>
          <w:sz w:val="20"/>
          <w:szCs w:val="20"/>
          <w:color w:val="auto"/>
        </w:rPr>
      </w:pPr>
    </w:p>
    <w:p>
      <w:pPr>
        <w:ind w:left="920" w:hanging="482"/>
        <w:spacing w:after="0" w:line="342" w:lineRule="auto"/>
        <w:tabs>
          <w:tab w:leader="none" w:pos="9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Converted all of the approximately $4.5 million outstanding balance (principal and accrued but unpaid interest) of the Senior Notes we issued to Platinum into 641,335 shares of Series B Preferred, thereby cancelling approximately $4.5 million of our outstanding indebtedness;</w:t>
      </w:r>
    </w:p>
    <w:p>
      <w:pPr>
        <w:spacing w:after="0" w:line="123" w:lineRule="exact"/>
        <w:rPr>
          <w:rFonts w:ascii="Arial" w:cs="Arial" w:eastAsia="Arial" w:hAnsi="Arial"/>
          <w:sz w:val="16"/>
          <w:szCs w:val="16"/>
          <w:color w:val="auto"/>
        </w:rPr>
      </w:pPr>
    </w:p>
    <w:p>
      <w:pPr>
        <w:ind w:left="920" w:right="20" w:hanging="482"/>
        <w:spacing w:after="0" w:line="277" w:lineRule="auto"/>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Released all of its security interests in our assets and those of our subsidiaries by terminating the Amended and Restated Security Agreement, IP Security Agreement and Negative Covenant, each dated October 11, 2012 between us and Platinum; and</w:t>
      </w:r>
    </w:p>
    <w:p>
      <w:pPr>
        <w:spacing w:after="0" w:line="197" w:lineRule="exact"/>
        <w:rPr>
          <w:rFonts w:ascii="Arial" w:cs="Arial" w:eastAsia="Arial" w:hAnsi="Arial"/>
          <w:sz w:val="18"/>
          <w:szCs w:val="18"/>
          <w:color w:val="auto"/>
        </w:rPr>
      </w:pPr>
    </w:p>
    <w:p>
      <w:pPr>
        <w:jc w:val="both"/>
        <w:ind w:left="920" w:hanging="482"/>
        <w:spacing w:after="0" w:line="312" w:lineRule="auto"/>
        <w:tabs>
          <w:tab w:leader="none" w:pos="9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Converted all of the approximately $1.3 million outstanding balance (principal and accrued but unpaid interest) of the 2014 Unit Notes that we issued to Platinum into 240,305 shares of Series B Preferred and five-year warrants to purchase 240,305 shares of our common stock at a fixed exercise price of $7.00 per share (</w:t>
      </w:r>
      <w:r>
        <w:rPr>
          <w:rFonts w:ascii="Arial" w:cs="Arial" w:eastAsia="Arial" w:hAnsi="Arial"/>
          <w:sz w:val="16"/>
          <w:szCs w:val="16"/>
          <w:i w:val="1"/>
          <w:iCs w:val="1"/>
          <w:color w:val="auto"/>
        </w:rPr>
        <w:t>Series B Warrants</w:t>
      </w:r>
      <w:r>
        <w:rPr>
          <w:rFonts w:ascii="Arial" w:cs="Arial" w:eastAsia="Arial" w:hAnsi="Arial"/>
          <w:sz w:val="16"/>
          <w:szCs w:val="16"/>
          <w:color w:val="auto"/>
        </w:rPr>
        <w:t>), thereby cancelling approximately $1.3 million of our outstanding indebtedness; and</w:t>
      </w:r>
    </w:p>
    <w:p>
      <w:pPr>
        <w:spacing w:after="0" w:line="173" w:lineRule="exact"/>
        <w:rPr>
          <w:rFonts w:ascii="Arial" w:cs="Arial" w:eastAsia="Arial" w:hAnsi="Arial"/>
          <w:sz w:val="16"/>
          <w:szCs w:val="16"/>
          <w:color w:val="auto"/>
        </w:rPr>
      </w:pPr>
    </w:p>
    <w:p>
      <w:pPr>
        <w:jc w:val="both"/>
        <w:ind w:left="920" w:hanging="482"/>
        <w:spacing w:after="0" w:line="259" w:lineRule="auto"/>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Purchased approximately $1.5 million (including accrued but unpaid interest thereon) of outstanding 2014 Unit Notes we issued to various investors from the respective holders thereof (</w:t>
      </w:r>
      <w:r>
        <w:rPr>
          <w:rFonts w:ascii="Arial" w:cs="Arial" w:eastAsia="Arial" w:hAnsi="Arial"/>
          <w:sz w:val="18"/>
          <w:szCs w:val="18"/>
          <w:i w:val="1"/>
          <w:iCs w:val="1"/>
          <w:color w:val="auto"/>
        </w:rPr>
        <w:t>Investor 2014 Unit Notes</w:t>
      </w:r>
      <w:r>
        <w:rPr>
          <w:rFonts w:ascii="Arial" w:cs="Arial" w:eastAsia="Arial" w:hAnsi="Arial"/>
          <w:sz w:val="18"/>
          <w:szCs w:val="18"/>
          <w:color w:val="auto"/>
        </w:rPr>
        <w:t xml:space="preserve"> ) and converted the entire outstanding balance of the Investor 2014 Unit Notes into 265,699 shares of Series B Preferred and Series B Warrants to purchase 265,699 shares of our common stock, thereby cancelling approximately $1.5 million of our outstanding indebtedness; and</w:t>
      </w:r>
    </w:p>
    <w:p>
      <w:pPr>
        <w:spacing w:after="0" w:line="213" w:lineRule="exact"/>
        <w:rPr>
          <w:rFonts w:ascii="Arial" w:cs="Arial" w:eastAsia="Arial" w:hAnsi="Arial"/>
          <w:sz w:val="18"/>
          <w:szCs w:val="18"/>
          <w:color w:val="auto"/>
        </w:rPr>
      </w:pPr>
    </w:p>
    <w:p>
      <w:pPr>
        <w:jc w:val="both"/>
        <w:ind w:left="920" w:hanging="482"/>
        <w:spacing w:after="0" w:line="264" w:lineRule="auto"/>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Entered into a Securities Purchase Agreement (</w:t>
      </w:r>
      <w:r>
        <w:rPr>
          <w:rFonts w:ascii="Arial" w:cs="Arial" w:eastAsia="Arial" w:hAnsi="Arial"/>
          <w:sz w:val="18"/>
          <w:szCs w:val="18"/>
          <w:i w:val="1"/>
          <w:iCs w:val="1"/>
          <w:color w:val="auto"/>
        </w:rPr>
        <w:t>SPA</w:t>
      </w:r>
      <w:r>
        <w:rPr>
          <w:rFonts w:ascii="Arial" w:cs="Arial" w:eastAsia="Arial" w:hAnsi="Arial"/>
          <w:sz w:val="18"/>
          <w:szCs w:val="18"/>
          <w:color w:val="auto"/>
        </w:rPr>
        <w:t>) to purchase, for $1.0 million, a total of 142,857 shares of Series B Preferred and a Series B Warrant to purchase 142,857 shares of our common stock, on or before June 11, 2015 (a portion of which purchase was completed on June 19, 2015); and</w:t>
      </w:r>
    </w:p>
    <w:p>
      <w:pPr>
        <w:spacing w:after="0" w:line="208" w:lineRule="exact"/>
        <w:rPr>
          <w:rFonts w:ascii="Arial" w:cs="Arial" w:eastAsia="Arial" w:hAnsi="Arial"/>
          <w:sz w:val="18"/>
          <w:szCs w:val="18"/>
          <w:color w:val="auto"/>
        </w:rPr>
      </w:pPr>
    </w:p>
    <w:p>
      <w:pPr>
        <w:ind w:left="920" w:hanging="482"/>
        <w:spacing w:after="0" w:line="277" w:lineRule="auto"/>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Amended the Platinum Warrants (all warrants previously issued by us to Platinum in connection with the Senior Notes) and the Series A Exchange Warrant to:</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  fix the exercise price thereof at $7.00 per share;</w:t>
      </w:r>
    </w:p>
    <w:p>
      <w:pPr>
        <w:spacing w:after="0" w:line="23" w:lineRule="exact"/>
        <w:rPr>
          <w:sz w:val="20"/>
          <w:szCs w:val="20"/>
          <w:color w:val="auto"/>
        </w:rPr>
      </w:pPr>
    </w:p>
    <w:p>
      <w:pPr>
        <w:ind w:left="720" w:right="2040" w:hanging="19"/>
        <w:spacing w:after="0" w:line="323" w:lineRule="auto"/>
        <w:tabs>
          <w:tab w:leader="none" w:pos="931" w:val="left"/>
        </w:tabs>
        <w:numPr>
          <w:ilvl w:val="1"/>
          <w:numId w:val="89"/>
        </w:numPr>
        <w:rPr>
          <w:rFonts w:ascii="Arial" w:cs="Arial" w:eastAsia="Arial" w:hAnsi="Arial"/>
          <w:sz w:val="16"/>
          <w:szCs w:val="16"/>
          <w:color w:val="auto"/>
        </w:rPr>
      </w:pPr>
      <w:r>
        <w:rPr>
          <w:rFonts w:ascii="Arial" w:cs="Arial" w:eastAsia="Arial" w:hAnsi="Arial"/>
          <w:sz w:val="16"/>
          <w:szCs w:val="16"/>
          <w:color w:val="auto"/>
        </w:rPr>
        <w:t>eliminate the exercise price reset features and fix the number of shares of our common stock issuable thereunder; and o eliminate the cashless exercise provisions from the Platinum Warrants and the Series A Exchange Warrant; and</w:t>
      </w:r>
    </w:p>
    <w:p>
      <w:pPr>
        <w:spacing w:after="0" w:line="165" w:lineRule="exact"/>
        <w:rPr>
          <w:rFonts w:ascii="Arial" w:cs="Arial" w:eastAsia="Arial" w:hAnsi="Arial"/>
          <w:sz w:val="16"/>
          <w:szCs w:val="16"/>
          <w:color w:val="auto"/>
        </w:rPr>
      </w:pPr>
    </w:p>
    <w:p>
      <w:pPr>
        <w:jc w:val="both"/>
        <w:ind w:left="920" w:hanging="482"/>
        <w:spacing w:after="0" w:line="264" w:lineRule="auto"/>
        <w:tabs>
          <w:tab w:leader="none" w:pos="9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Agreed to refrain from the sale of any shares of our common stock held by Platinum or its affiliates until the earlier to occur of an effective registration statement relating to resale of certain specified shares of common stock under the Securities Act of 1933, as amended, or the closing price of our common stock is at least $15.00 per share.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additional consideration for the agreements of Platinum under the Platinum Agreement, we issued to Platinum 400,000 shares of Series B Preferred and Series B Warrants to purchase 1.2 million shares of our common stock, and exchanged 30,000 shares of our common stock currently beneficially owned or controlled by Platinum for 30,000 shares of Series B Preferred.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2014 Unit Notes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May 20, 2015, holders of the remaining approximately $1.8 million outstanding balance (principal and accrued but unpaid interest) of 2014 Unit Notes converted such notes into 327,016 shares of Series B Preferred and Series B Warrants to purchase 327,016 shares of our common stock, thereby cancelling an additional approximately $1.8 million of our outstanding indebtedness.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3" w:name="page174"/>
    <w:bookmarkEnd w:id="173"/>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Series B Preferred Units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Between May 26, 2015 and June 25, 2015, we sold to accredited investors and institutions an aggregate of $557,500 of units in our Series B Preferred Unit offering, which units consist of Series B Preferred and Series B Warrants (together Series B Preferred Units), including $100,000 to Platinum. We issued 79,646 shares of Series B Preferred and Series B Warrants to purchase 79,646 shares of our common stock. We have received an aggregate of $557,500 in cash proceeds from the sale of the Series B Preferred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Notes and Accounts Payable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May and June 2015, holders of certain of our promissory notes outstanding at March 31, 2015 and thereafter, including Morrison &amp; Foerster, Cato Research Ltd., University Health Network, and McCarthy Tetrault, and certain other service providers converted notes payable or accounts payable having an aggregate outstanding balance of approximately $5.8 million (principal and accrued but unpaid interest and certain adjustments thereto) into 831,577 shares of Series B Preferred, thereby cancelling an additional approximately $5.8 million of our outstanding debt.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Financial Information</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table presents the unaudited statements of operations data for each of the eight quarters in the period ended March 31, 2015.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980" w:type="dxa"/>
            <w:vAlign w:val="bottom"/>
            <w:gridSpan w:val="8"/>
          </w:tcPr>
          <w:p>
            <w:pPr>
              <w:jc w:val="right"/>
              <w:ind w:right="40"/>
              <w:spacing w:after="0"/>
              <w:rPr>
                <w:sz w:val="20"/>
                <w:szCs w:val="20"/>
                <w:color w:val="auto"/>
              </w:rPr>
            </w:pPr>
            <w:r>
              <w:rPr>
                <w:rFonts w:ascii="Arial" w:cs="Arial" w:eastAsia="Arial" w:hAnsi="Arial"/>
                <w:sz w:val="18"/>
                <w:szCs w:val="18"/>
                <w:b w:val="1"/>
                <w:bCs w:val="1"/>
                <w:color w:val="auto"/>
              </w:rPr>
              <w:t>Quarterly Results of Operations (Unaudited)</w:t>
            </w: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280" w:type="dxa"/>
            <w:vAlign w:val="bottom"/>
            <w:gridSpan w:val="9"/>
          </w:tcPr>
          <w:p>
            <w:pPr>
              <w:jc w:val="right"/>
              <w:ind w:right="2"/>
              <w:spacing w:after="0"/>
              <w:rPr>
                <w:sz w:val="20"/>
                <w:szCs w:val="20"/>
                <w:color w:val="auto"/>
              </w:rPr>
            </w:pPr>
            <w:r>
              <w:rPr>
                <w:rFonts w:ascii="Arial" w:cs="Arial" w:eastAsia="Arial" w:hAnsi="Arial"/>
                <w:sz w:val="18"/>
                <w:szCs w:val="18"/>
                <w:b w:val="1"/>
                <w:bCs w:val="1"/>
                <w:color w:val="auto"/>
                <w:w w:val="93"/>
              </w:rPr>
              <w:t>(in thousands, except share and per share amounts)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right"/>
              <w:ind w:right="24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34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7"/>
                <w:szCs w:val="17"/>
                <w:color w:val="auto"/>
              </w:rPr>
            </w:pPr>
          </w:p>
        </w:tc>
        <w:tc>
          <w:tcPr>
            <w:tcW w:w="100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Fiscal Year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June 30, 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558</w:t>
            </w: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445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1,114</w:t>
            </w:r>
          </w:p>
        </w:tc>
        <w:tc>
          <w:tcPr>
            <w:tcW w:w="3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1,116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(606)</w:t>
            </w: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(792)</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(2,366)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warrant liabilities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(1,603)</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Income taxes</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(4,553)</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(6,222)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Basic net (loss) per common share</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300" w:type="dxa"/>
            <w:vAlign w:val="bottom"/>
          </w:tcPr>
          <w:p>
            <w:pPr>
              <w:jc w:val="right"/>
              <w:ind w:right="142"/>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Diluted net loss per common share</w:t>
            </w:r>
          </w:p>
        </w:tc>
        <w:tc>
          <w:tcPr>
            <w:tcW w:w="1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c>
          <w:tcPr>
            <w:tcW w:w="300" w:type="dxa"/>
            <w:vAlign w:val="bottom"/>
          </w:tcPr>
          <w:p>
            <w:pPr>
              <w:jc w:val="right"/>
              <w:ind w:right="142"/>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5"/>
              </w:rPr>
              <w:t>Weighted average shares used in computing:</w:t>
            </w: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net (loss) per common share</w:t>
            </w:r>
          </w:p>
        </w:tc>
        <w:tc>
          <w:tcPr>
            <w:tcW w:w="1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1,229,488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1,279,251</w:t>
            </w: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1,302,300</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1,466,386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1,318,797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net loss per common share</w:t>
            </w:r>
          </w:p>
        </w:tc>
        <w:tc>
          <w:tcPr>
            <w:tcW w:w="1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1,229,488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1,299,099</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1,302,300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1,466,386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1,318,797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74" w:name="page175"/>
    <w:bookmarkEnd w:id="174"/>
    <w:tbl>
      <w:tblPr>
        <w:tblLayout w:type="fixed"/>
        <w:tblInd w:w="0" w:type="dxa"/>
        <w:tblCellMar>
          <w:top w:w="0" w:type="dxa"/>
          <w:left w:w="0" w:type="dxa"/>
          <w:bottom w:w="0" w:type="dxa"/>
          <w:right w:w="0" w:type="dxa"/>
        </w:tblCellMar>
      </w:tblPr>
      <w:tr>
        <w:trPr>
          <w:trHeight w:val="184"/>
        </w:trPr>
        <w:tc>
          <w:tcPr>
            <w:tcW w:w="4080" w:type="dxa"/>
            <w:vAlign w:val="bottom"/>
            <w:gridSpan w:val="3"/>
          </w:tcPr>
          <w:p>
            <w:pPr>
              <w:spacing w:after="0"/>
              <w:rPr>
                <w:rFonts w:ascii="Arial" w:cs="Arial" w:eastAsia="Arial" w:hAnsi="Arial"/>
                <w:sz w:val="16"/>
                <w:szCs w:val="16"/>
                <w:i w:val="1"/>
                <w:iCs w:val="1"/>
                <w:color w:val="0000EE"/>
              </w:rPr>
            </w:pPr>
            <w:hyperlink w:anchor="page4">
              <w:r>
                <w:rPr>
                  <w:rFonts w:ascii="Arial" w:cs="Arial" w:eastAsia="Arial" w:hAnsi="Arial"/>
                  <w:sz w:val="16"/>
                  <w:szCs w:val="16"/>
                  <w:i w:val="1"/>
                  <w:iCs w:val="1"/>
                  <w:color w:val="0000EE"/>
                </w:rPr>
                <w:t>Table of Contents</w:t>
              </w:r>
            </w:hyperlink>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6"/>
            <w:vMerge w:val="restart"/>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120" w:type="dxa"/>
            <w:vAlign w:val="bottom"/>
            <w:tcBorders>
              <w:top w:val="single" w:sz="8" w:color="0000EE"/>
            </w:tcBorders>
          </w:tcPr>
          <w:p>
            <w:pPr>
              <w:spacing w:after="0"/>
              <w:rPr>
                <w:sz w:val="21"/>
                <w:szCs w:val="21"/>
                <w:color w:val="auto"/>
              </w:rPr>
            </w:pPr>
          </w:p>
        </w:tc>
        <w:tc>
          <w:tcPr>
            <w:tcW w:w="2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6"/>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3"/>
          </w:tcPr>
          <w:p>
            <w:pPr>
              <w:jc w:val="right"/>
              <w:ind w:right="16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7"/>
                <w:szCs w:val="17"/>
                <w:color w:val="auto"/>
              </w:rPr>
            </w:pPr>
          </w:p>
        </w:tc>
        <w:tc>
          <w:tcPr>
            <w:tcW w:w="1340" w:type="dxa"/>
            <w:vAlign w:val="bottom"/>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40" w:type="dxa"/>
            <w:vAlign w:val="bottom"/>
          </w:tcPr>
          <w:p>
            <w:pPr>
              <w:spacing w:after="0"/>
              <w:rPr>
                <w:sz w:val="17"/>
                <w:szCs w:val="17"/>
                <w:color w:val="auto"/>
              </w:rPr>
            </w:pPr>
          </w:p>
        </w:tc>
        <w:tc>
          <w:tcPr>
            <w:tcW w:w="100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3"/>
              </w:rPr>
              <w:t>March 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Fiscal Year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June 30, 2013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9"/>
                <w:szCs w:val="19"/>
                <w:color w:val="auto"/>
              </w:rPr>
            </w:pP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Borders>
              <w:lef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560"/>
              <w:spacing w:after="0"/>
              <w:rPr>
                <w:sz w:val="20"/>
                <w:szCs w:val="20"/>
                <w:color w:val="auto"/>
              </w:rPr>
            </w:pPr>
            <w:r>
              <w:rPr>
                <w:rFonts w:ascii="Arial" w:cs="Arial" w:eastAsia="Arial" w:hAnsi="Arial"/>
                <w:sz w:val="18"/>
                <w:szCs w:val="18"/>
                <w:color w:val="auto"/>
              </w:rPr>
              <w:t>Total operating expenses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1,448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360"/>
              <w:spacing w:after="0"/>
              <w:rPr>
                <w:sz w:val="20"/>
                <w:szCs w:val="20"/>
                <w:color w:val="auto"/>
              </w:rPr>
            </w:pPr>
            <w:r>
              <w:rPr>
                <w:rFonts w:ascii="Arial" w:cs="Arial" w:eastAsia="Arial" w:hAnsi="Arial"/>
                <w:sz w:val="18"/>
                <w:szCs w:val="18"/>
                <w:color w:val="auto"/>
              </w:rPr>
              <w:t>Interest expense, net</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warrant liabilities</w:t>
            </w:r>
          </w:p>
        </w:tc>
        <w:tc>
          <w:tcPr>
            <w:tcW w:w="6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6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1,940</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tcBorders>
              <w:left w:val="single" w:sz="8" w:color="CCEEFF"/>
            </w:tcBorders>
            <w:shd w:val="clear" w:color="auto" w:fill="CCEEFF"/>
          </w:tcPr>
          <w:p>
            <w:pPr>
              <w:spacing w:after="0"/>
              <w:rPr>
                <w:sz w:val="22"/>
                <w:szCs w:val="22"/>
                <w:color w:val="auto"/>
              </w:rPr>
            </w:pP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(1,826)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income (loss) per common share</w:t>
            </w: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Borders>
              <w:left w:val="single" w:sz="8" w:color="CCEEFF"/>
            </w:tcBorders>
            <w:shd w:val="clear" w:color="auto" w:fill="CCEEFF"/>
          </w:tcPr>
          <w:p>
            <w:pPr>
              <w:spacing w:after="0"/>
              <w:rPr>
                <w:sz w:val="22"/>
                <w:szCs w:val="22"/>
                <w:color w:val="auto"/>
              </w:rPr>
            </w:pP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loss per common share</w:t>
            </w:r>
          </w:p>
        </w:tc>
        <w:tc>
          <w:tcPr>
            <w:tcW w:w="9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9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used in computing:</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360"/>
              <w:spacing w:after="0"/>
              <w:rPr>
                <w:sz w:val="20"/>
                <w:szCs w:val="20"/>
                <w:color w:val="auto"/>
              </w:rPr>
            </w:pPr>
            <w:r>
              <w:rPr>
                <w:rFonts w:ascii="Arial" w:cs="Arial" w:eastAsia="Arial" w:hAnsi="Arial"/>
                <w:sz w:val="18"/>
                <w:szCs w:val="18"/>
                <w:color w:val="auto"/>
              </w:rPr>
              <w:t>Basic net income (loss) per common share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1,042,081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1,081,529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1,110,529</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1,162,636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1,098,742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gridSpan w:val="2"/>
          </w:tcPr>
          <w:p>
            <w:pPr>
              <w:ind w:left="360"/>
              <w:spacing w:after="0"/>
              <w:rPr>
                <w:sz w:val="20"/>
                <w:szCs w:val="20"/>
                <w:color w:val="auto"/>
              </w:rPr>
            </w:pPr>
            <w:r>
              <w:rPr>
                <w:rFonts w:ascii="Arial" w:cs="Arial" w:eastAsia="Arial" w:hAnsi="Arial"/>
                <w:sz w:val="18"/>
                <w:szCs w:val="18"/>
                <w:color w:val="auto"/>
              </w:rPr>
              <w:t>Diluted net loss per common share</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1,061,544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1,128,152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1,110,529</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1,162,636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1,099,216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F-49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5" w:name="page176"/>
    <w:bookmarkEnd w:id="175"/>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3,623,341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Until ______ __, 2015, all dealers that buy, sell or trade the common stock may be required to deliver a prospectus, regardless of whether</w:t>
      </w:r>
    </w:p>
    <w:p>
      <w:pPr>
        <w:spacing w:after="0" w:line="5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they are participating in this offering by the Selling Stockholders.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6" w:name="page177"/>
    <w:bookmarkEnd w:id="176"/>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presents the costs and expenses in connection with the issuance and distribution of the securities to be registered. No underwriting discounts and commissions shall be payable by us in connection with the resale of common stock being registered. Except as otherwise noted, we will pay all of these amounts. All amounts are estimates except the SEC registration fee.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SEC Filing fees</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30,000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Miscellaneous expenses</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50,210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liability and indemnification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amended and restated bylaws provide that we will indemnify our directors, officers and employees to the fullest extent permitted by the Nevada Revised Statutes (“</w:t>
      </w:r>
      <w:r>
        <w:rPr>
          <w:rFonts w:ascii="Arial" w:cs="Arial" w:eastAsia="Arial" w:hAnsi="Arial"/>
          <w:sz w:val="18"/>
          <w:szCs w:val="18"/>
          <w:i w:val="1"/>
          <w:iCs w:val="1"/>
          <w:color w:val="auto"/>
        </w:rPr>
        <w:t>NRS</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limitation of liability and indemnification provisions in our bylaws may discourage shareholders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three years preceding the date of this prospectus, we issued the following securities in private placement transactions with accredited investors which were not registered under the Securities Act of 1933, as amended (</w:t>
      </w:r>
      <w:r>
        <w:rPr>
          <w:rFonts w:ascii="Arial" w:cs="Arial" w:eastAsia="Arial" w:hAnsi="Arial"/>
          <w:sz w:val="18"/>
          <w:szCs w:val="18"/>
          <w:i w:val="1"/>
          <w:iCs w:val="1"/>
          <w:color w:val="auto"/>
        </w:rPr>
        <w:t>Securities Act</w:t>
      </w:r>
      <w:r>
        <w:rPr>
          <w:rFonts w:ascii="Arial" w:cs="Arial" w:eastAsia="Arial" w:hAnsi="Arial"/>
          <w:sz w:val="18"/>
          <w:szCs w:val="18"/>
          <w:color w:val="auto"/>
        </w:rPr>
        <w:t>) and that have not been previously reported in a Quarterly Report on Form 10-Q or a Current Report on Form 8-K:</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Between March 10, 2015 and May 14, 2015, we entered into securities purchase agreements with accredited investors pursuant to which we sold Units consisting of an aggregate of (i) a 10% convertible subordinated notes in the face amount of $530,000 maturing between March 31, 2015 and May 15, 2015 (“</w:t>
      </w:r>
      <w:r>
        <w:rPr>
          <w:rFonts w:ascii="Arial" w:cs="Arial" w:eastAsia="Arial" w:hAnsi="Arial"/>
          <w:sz w:val="17"/>
          <w:szCs w:val="17"/>
          <w:i w:val="1"/>
          <w:iCs w:val="1"/>
          <w:color w:val="auto"/>
        </w:rPr>
        <w:t>2014 Unit Notes”</w:t>
      </w:r>
      <w:r>
        <w:rPr>
          <w:rFonts w:ascii="Arial" w:cs="Arial" w:eastAsia="Arial" w:hAnsi="Arial"/>
          <w:sz w:val="17"/>
          <w:szCs w:val="17"/>
          <w:color w:val="auto"/>
        </w:rPr>
        <w:t>); (ii) 59,250 shares of our restricted common stock; and (iii) warrants exercisable through December 31, 2016 to purchase 50,500 shares of our restricted common stock at an exercise price of $10.00 per share (</w:t>
      </w:r>
      <w:r>
        <w:rPr>
          <w:rFonts w:ascii="Arial" w:cs="Arial" w:eastAsia="Arial" w:hAnsi="Arial"/>
          <w:sz w:val="17"/>
          <w:szCs w:val="17"/>
          <w:i w:val="1"/>
          <w:iCs w:val="1"/>
          <w:color w:val="auto"/>
        </w:rPr>
        <w:t>Unit Warrant</w:t>
      </w:r>
      <w:r>
        <w:rPr>
          <w:rFonts w:ascii="Arial" w:cs="Arial" w:eastAsia="Arial" w:hAnsi="Arial"/>
          <w:sz w:val="17"/>
          <w:szCs w:val="17"/>
          <w:color w:val="auto"/>
        </w:rPr>
        <w:t>). We received cash proceeds of $530,000 which we used for general corporate purposes. The Unit Notes and related accrued interest are convertible into shares of our restricted common stock at a conversion price of $10.00 per share at or prior to maturity at the option of the investor. The Units were offered and sold in a transaction exempt from registration under the Securities Act, in reliance on Section 4(2) thereof and Rule 506 of Regulation D thereunder.</w:t>
      </w:r>
    </w:p>
    <w:p>
      <w:pPr>
        <w:sectPr>
          <w:pgSz w:w="11900" w:h="16838" w:orient="portrait"/>
          <w:cols w:equalWidth="0" w:num="1">
            <w:col w:w="11420"/>
          </w:cols>
          <w:pgMar w:left="240" w:top="130"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type w:val="continuous"/>
        </w:sectPr>
      </w:pPr>
    </w:p>
    <w:bookmarkStart w:id="177" w:name="page178"/>
    <w:bookmarkEnd w:id="177"/>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30" w:lineRule="exact"/>
        <w:rPr>
          <w:sz w:val="20"/>
          <w:szCs w:val="20"/>
          <w:color w:val="auto"/>
        </w:rPr>
      </w:pPr>
    </w:p>
    <w:p>
      <w:pPr>
        <w:jc w:val="both"/>
        <w:ind w:firstLine="948"/>
        <w:spacing w:after="0" w:line="276" w:lineRule="auto"/>
        <w:rPr>
          <w:sz w:val="20"/>
          <w:szCs w:val="20"/>
          <w:color w:val="auto"/>
        </w:rPr>
      </w:pPr>
      <w:r>
        <w:rPr>
          <w:rFonts w:ascii="Arial" w:cs="Arial" w:eastAsia="Arial" w:hAnsi="Arial"/>
          <w:sz w:val="17"/>
          <w:szCs w:val="17"/>
          <w:color w:val="auto"/>
        </w:rPr>
        <w:t xml:space="preserve">Between May 26, 2015 and July 17, 2015, we sold to accredited investors an aggregate of $1,112,500 of units in our Series B Preferred Unit offering, which units consist of Series B Preferred and warrants to purchase shares of our common stock (together </w:t>
      </w:r>
      <w:r>
        <w:rPr>
          <w:rFonts w:ascii="Arial" w:cs="Arial" w:eastAsia="Arial" w:hAnsi="Arial"/>
          <w:sz w:val="17"/>
          <w:szCs w:val="17"/>
          <w:i w:val="1"/>
          <w:iCs w:val="1"/>
          <w:color w:val="auto"/>
        </w:rPr>
        <w:t>Series B Preferred Units</w:t>
      </w:r>
      <w:r>
        <w:rPr>
          <w:rFonts w:ascii="Arial" w:cs="Arial" w:eastAsia="Arial" w:hAnsi="Arial"/>
          <w:sz w:val="17"/>
          <w:szCs w:val="17"/>
          <w:color w:val="auto"/>
        </w:rPr>
        <w:t>), including $500,000 from Platinum. We issued 160,363 shares of Series B Preferred and warrants to purchase 160,363 shares of our common stock. We have received an aggregate of $1,112,500 in cash proceeds from the sale of the Series B Preferred Units. The Units were offered and sold in a transaction exempt from registration under the Securities Act, in reliance on Section 4(2) thereof and Rule 506 of Regulation D thereunder.</w:t>
      </w:r>
    </w:p>
    <w:p>
      <w:pPr>
        <w:spacing w:after="0" w:line="173" w:lineRule="exact"/>
        <w:rPr>
          <w:sz w:val="20"/>
          <w:szCs w:val="20"/>
          <w:color w:val="auto"/>
        </w:rPr>
      </w:pPr>
    </w:p>
    <w:p>
      <w:pPr>
        <w:jc w:val="both"/>
        <w:ind w:firstLine="893"/>
        <w:spacing w:after="0" w:line="293" w:lineRule="auto"/>
        <w:rPr>
          <w:sz w:val="20"/>
          <w:szCs w:val="20"/>
          <w:color w:val="auto"/>
        </w:rPr>
      </w:pPr>
      <w:r>
        <w:rPr>
          <w:rFonts w:ascii="Arial" w:cs="Arial" w:eastAsia="Arial" w:hAnsi="Arial"/>
          <w:sz w:val="16"/>
          <w:szCs w:val="16"/>
          <w:color w:val="auto"/>
        </w:rPr>
        <w:t>Between July 6, 2015 and July 17, 2015, two professional service providers and a technology licensor holding outstanding promissory notes and unpaid trade receivables from us agreed to convert such debt obligations in the aggregate amount of approximately $177,500 into an aggregate of 25,357 shares of our Series B Preferred. We entered into Securities Purchase Agreements in the form attached to our Current Report on Form 8-K filed on May 13, 2015 (“</w:t>
      </w:r>
      <w:r>
        <w:rPr>
          <w:rFonts w:ascii="Arial" w:cs="Arial" w:eastAsia="Arial" w:hAnsi="Arial"/>
          <w:sz w:val="16"/>
          <w:szCs w:val="16"/>
          <w:i w:val="1"/>
          <w:iCs w:val="1"/>
          <w:color w:val="auto"/>
        </w:rPr>
        <w:t>Securities Purchase Agreement”</w:t>
      </w:r>
      <w:r>
        <w:rPr>
          <w:rFonts w:ascii="Arial" w:cs="Arial" w:eastAsia="Arial" w:hAnsi="Arial"/>
          <w:sz w:val="16"/>
          <w:szCs w:val="16"/>
          <w:color w:val="auto"/>
        </w:rPr>
        <w:t>) with these entities. The shares of Series B Preferred issued pursuant to the Securities Purchase Agreement were offered and sold in transactions exempt from registration under the Securities Act of 1933, as amended, in reliance on 3(a)(9) thereof and Rule 506 of Regulation D thereunder. Each recipient of shares of Series B Preferred represented that it is an "accredited investor" as defined in Regulation 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Issued for Professional Services</w:t>
      </w:r>
    </w:p>
    <w:p>
      <w:pPr>
        <w:spacing w:after="0" w:line="283" w:lineRule="exact"/>
        <w:rPr>
          <w:sz w:val="20"/>
          <w:szCs w:val="20"/>
          <w:color w:val="auto"/>
        </w:rPr>
      </w:pPr>
    </w:p>
    <w:p>
      <w:pPr>
        <w:jc w:val="both"/>
        <w:ind w:firstLine="1096"/>
        <w:spacing w:after="0" w:line="273" w:lineRule="auto"/>
        <w:rPr>
          <w:sz w:val="20"/>
          <w:szCs w:val="20"/>
          <w:color w:val="auto"/>
        </w:rPr>
      </w:pPr>
      <w:r>
        <w:rPr>
          <w:rFonts w:ascii="Arial" w:cs="Arial" w:eastAsia="Arial" w:hAnsi="Arial"/>
          <w:sz w:val="17"/>
          <w:szCs w:val="17"/>
          <w:color w:val="auto"/>
        </w:rPr>
        <w:t>On March 4, 2015, we issued to an accredited investor 25,000 restricted shares of our common stock as compensation for consulting services. Similarly, on March 31, 2015, we issued to an accredited investor 16,667 restricted shares of our common stock in payment of an outstanding balance for professional services. On June 16, 2015, we issued 25,000 restricted shares of our common stock each to two accredited investors as compensation for consulting services. Additionally, between June 10, 2015 and July 13, 2015, we issued an aggregate of 125,000 shares of our Series B Preferred to five professional service providers as compensation for services rendered or to be rendered to us. The securities were issued in private placement transactions exempt from registration under the Securities Act, in reliance on Section 4(2) thereof and Rule 506 of Regulation D thereunder.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56" w:lineRule="exact"/>
        <w:rPr>
          <w:sz w:val="20"/>
          <w:szCs w:val="20"/>
          <w:color w:val="auto"/>
        </w:rPr>
      </w:pPr>
    </w:p>
    <w:p>
      <w:pPr>
        <w:ind w:left="900" w:hanging="244"/>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exhibits are incorporated by reference to the Exhibit Index attached hereto and a part hereof by reference.</w:t>
      </w:r>
    </w:p>
    <w:p>
      <w:pPr>
        <w:spacing w:after="0" w:line="252" w:lineRule="exact"/>
        <w:rPr>
          <w:rFonts w:ascii="Arial" w:cs="Arial" w:eastAsia="Arial" w:hAnsi="Arial"/>
          <w:sz w:val="18"/>
          <w:szCs w:val="18"/>
          <w:color w:val="auto"/>
        </w:rPr>
      </w:pPr>
    </w:p>
    <w:p>
      <w:pPr>
        <w:ind w:left="920" w:hanging="264"/>
        <w:spacing w:after="0"/>
        <w:tabs>
          <w:tab w:leader="none" w:pos="920" w:val="left"/>
        </w:tabs>
        <w:numPr>
          <w:ilvl w:val="0"/>
          <w:numId w:val="90"/>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See page F-1 for an index of the financial statements and financial statement schedules included in the Registration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8" w:name="page179"/>
    <w:bookmarkEnd w:id="178"/>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56" w:lineRule="exact"/>
        <w:rPr>
          <w:sz w:val="20"/>
          <w:szCs w:val="20"/>
          <w:color w:val="auto"/>
        </w:rPr>
      </w:pPr>
    </w:p>
    <w:p>
      <w:pPr>
        <w:ind w:left="1060" w:hanging="278"/>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1800" w:hanging="289"/>
        <w:spacing w:after="0"/>
        <w:tabs>
          <w:tab w:leader="none" w:pos="18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63" w:lineRule="exact"/>
        <w:rPr>
          <w:rFonts w:ascii="Arial" w:cs="Arial" w:eastAsia="Arial" w:hAnsi="Arial"/>
          <w:sz w:val="17"/>
          <w:szCs w:val="17"/>
          <w:color w:val="auto"/>
        </w:rPr>
      </w:pPr>
    </w:p>
    <w:p>
      <w:pPr>
        <w:ind w:left="2500" w:hanging="260"/>
        <w:spacing w:after="0"/>
        <w:tabs>
          <w:tab w:leader="none" w:pos="2500" w:val="left"/>
        </w:tabs>
        <w:numPr>
          <w:ilvl w:val="5"/>
          <w:numId w:val="9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jc w:val="both"/>
        <w:ind w:firstLine="2333"/>
        <w:spacing w:after="0" w:line="293" w:lineRule="auto"/>
        <w:tabs>
          <w:tab w:leader="none" w:pos="2655" w:val="left"/>
        </w:tabs>
        <w:numPr>
          <w:ilvl w:val="6"/>
          <w:numId w:val="9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91" w:lineRule="exact"/>
        <w:rPr>
          <w:rFonts w:ascii="Arial" w:cs="Arial" w:eastAsia="Arial" w:hAnsi="Arial"/>
          <w:sz w:val="16"/>
          <w:szCs w:val="16"/>
          <w:color w:val="auto"/>
        </w:rPr>
      </w:pPr>
    </w:p>
    <w:p>
      <w:pPr>
        <w:ind w:right="20" w:firstLine="2333"/>
        <w:spacing w:after="0" w:line="277" w:lineRule="auto"/>
        <w:tabs>
          <w:tab w:leader="none" w:pos="2704" w:val="left"/>
        </w:tabs>
        <w:numPr>
          <w:ilvl w:val="6"/>
          <w:numId w:val="9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rFonts w:ascii="Arial" w:cs="Arial" w:eastAsia="Arial" w:hAnsi="Arial"/>
          <w:sz w:val="18"/>
          <w:szCs w:val="18"/>
          <w:color w:val="auto"/>
        </w:rPr>
      </w:pPr>
    </w:p>
    <w:p>
      <w:pPr>
        <w:jc w:val="both"/>
        <w:ind w:firstLine="1606"/>
        <w:spacing w:after="0" w:line="264" w:lineRule="auto"/>
        <w:tabs>
          <w:tab w:leader="none" w:pos="1923" w:val="left"/>
        </w:tabs>
        <w:numPr>
          <w:ilvl w:val="4"/>
          <w:numId w:val="9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Arial" w:cs="Arial" w:eastAsia="Arial" w:hAnsi="Arial"/>
          <w:sz w:val="18"/>
          <w:szCs w:val="18"/>
          <w:color w:val="auto"/>
        </w:rPr>
      </w:pPr>
    </w:p>
    <w:p>
      <w:pPr>
        <w:ind w:firstLine="1546"/>
        <w:spacing w:after="0" w:line="277" w:lineRule="auto"/>
        <w:tabs>
          <w:tab w:leader="none" w:pos="1849" w:val="left"/>
        </w:tabs>
        <w:numPr>
          <w:ilvl w:val="2"/>
          <w:numId w:val="9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jc w:val="both"/>
        <w:ind w:firstLine="1576"/>
        <w:spacing w:after="0" w:line="272" w:lineRule="auto"/>
        <w:tabs>
          <w:tab w:leader="none" w:pos="1887" w:val="left"/>
        </w:tabs>
        <w:numPr>
          <w:ilvl w:val="3"/>
          <w:numId w:val="91"/>
        </w:numPr>
        <w:rPr>
          <w:rFonts w:ascii="Arial" w:cs="Arial" w:eastAsia="Arial" w:hAnsi="Arial"/>
          <w:sz w:val="17"/>
          <w:szCs w:val="17"/>
          <w:color w:val="auto"/>
        </w:rPr>
      </w:pPr>
      <w:r>
        <w:rPr>
          <w:rFonts w:ascii="Arial" w:cs="Arial" w:eastAsia="Arial" w:hAnsi="Arial"/>
          <w:sz w:val="17"/>
          <w:szCs w:val="17"/>
          <w:color w:val="auto"/>
        </w:rPr>
        <w:t xml:space="preserve">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 incorporated or</w:t>
      </w:r>
      <w:r>
        <w:rPr>
          <w:rFonts w:ascii="Arial" w:cs="Arial" w:eastAsia="Arial" w:hAnsi="Arial"/>
          <w:sz w:val="17"/>
          <w:szCs w:val="17"/>
          <w:i w:val="1"/>
          <w:iCs w:val="1"/>
          <w:color w:val="auto"/>
        </w:rPr>
        <w:t xml:space="preserve"> </w:t>
      </w:r>
      <w:r>
        <w:rPr>
          <w:rFonts w:ascii="Arial" w:cs="Arial" w:eastAsia="Arial" w:hAnsi="Arial"/>
          <w:sz w:val="17"/>
          <w:szCs w:val="17"/>
          <w:color w:val="auto"/>
        </w:rPr>
        <w:t>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4" w:lineRule="exact"/>
        <w:rPr>
          <w:rFonts w:ascii="Arial" w:cs="Arial" w:eastAsia="Arial" w:hAnsi="Arial"/>
          <w:sz w:val="17"/>
          <w:szCs w:val="17"/>
          <w:color w:val="auto"/>
        </w:rPr>
      </w:pPr>
    </w:p>
    <w:p>
      <w:pPr>
        <w:jc w:val="both"/>
        <w:ind w:firstLine="783"/>
        <w:spacing w:after="0" w:line="254" w:lineRule="auto"/>
        <w:tabs>
          <w:tab w:leader="none" w:pos="1078"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79" w:name="page180"/>
    <w:bookmarkEnd w:id="179"/>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of l933, the registrant has duly caused this Registration Statement to be signed on its behalf by the undersigned, thereunto duly authorized, in the City of South San Francisco, California on the 21st day of July 2015</w:t>
      </w:r>
    </w:p>
    <w:p>
      <w:pPr>
        <w:spacing w:after="0" w:line="38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VistaGen Therapeutics, Inc.</w:t>
      </w:r>
    </w:p>
    <w:p>
      <w:pPr>
        <w:spacing w:after="0" w:line="22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Shawn K. Singh, JD</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Shawn K. Singh, JD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constitutes and appoints each of Shawn K.</w:t>
      </w:r>
      <w:r>
        <w:rPr>
          <w:rFonts w:ascii="Arial" w:cs="Arial" w:eastAsia="Arial" w:hAnsi="Arial"/>
          <w:sz w:val="18"/>
          <w:szCs w:val="18"/>
          <w:b w:val="1"/>
          <w:bCs w:val="1"/>
          <w:color w:val="auto"/>
        </w:rPr>
        <w:t xml:space="preserve"> </w:t>
      </w:r>
      <w:r>
        <w:rPr>
          <w:rFonts w:ascii="Arial" w:cs="Arial" w:eastAsia="Arial" w:hAnsi="Arial"/>
          <w:sz w:val="18"/>
          <w:szCs w:val="18"/>
          <w:color w:val="auto"/>
        </w:rPr>
        <w:t>Singh, J.D. and Jerrold D. Dotson his true and lawful attorney-in-fact and agent, with full power of substitution, for him and in his name, place and stead, in any and all capacities, to sign any and all amendments to this Registration Statement on Form S-1,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WITNESS WHEREOF, each of the undersigned has executed this Power of Attorney as of the date indicated opposite his name.</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Registration Statement has been signed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132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6180" w:type="dxa"/>
            <w:vAlign w:val="bottom"/>
            <w:gridSpan w:val="3"/>
          </w:tcPr>
          <w:p>
            <w:pPr>
              <w:ind w:left="3720"/>
              <w:spacing w:after="0"/>
              <w:rPr>
                <w:sz w:val="20"/>
                <w:szCs w:val="20"/>
                <w:color w:val="auto"/>
              </w:rPr>
            </w:pPr>
            <w:r>
              <w:rPr>
                <w:rFonts w:ascii="Arial" w:cs="Arial" w:eastAsia="Arial" w:hAnsi="Arial"/>
                <w:sz w:val="18"/>
                <w:szCs w:val="18"/>
                <w:color w:val="auto"/>
              </w:rPr>
              <w:t>Title</w:t>
            </w:r>
          </w:p>
        </w:tc>
        <w:tc>
          <w:tcPr>
            <w:tcW w:w="320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Date</w:t>
            </w:r>
          </w:p>
        </w:tc>
      </w:tr>
      <w:tr>
        <w:trPr>
          <w:trHeight w:val="20"/>
        </w:trPr>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/s/ Shawn K. Singh</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80" w:type="dxa"/>
            <w:vAlign w:val="bottom"/>
            <w:gridSpan w:val="3"/>
          </w:tcPr>
          <w:p>
            <w:pPr>
              <w:ind w:left="1440"/>
              <w:spacing w:after="0"/>
              <w:rPr>
                <w:sz w:val="20"/>
                <w:szCs w:val="20"/>
                <w:color w:val="auto"/>
              </w:rPr>
            </w:pPr>
            <w:r>
              <w:rPr>
                <w:rFonts w:ascii="Arial" w:cs="Arial" w:eastAsia="Arial" w:hAnsi="Arial"/>
                <w:sz w:val="18"/>
                <w:szCs w:val="18"/>
                <w:color w:val="auto"/>
              </w:rPr>
              <w:t>Chief Executive Officer, and Director</w:t>
            </w:r>
          </w:p>
        </w:tc>
        <w:tc>
          <w:tcPr>
            <w:tcW w:w="3200" w:type="dxa"/>
            <w:vAlign w:val="bottom"/>
            <w:gridSpan w:val="3"/>
          </w:tcPr>
          <w:p>
            <w:pPr>
              <w:jc w:val="center"/>
              <w:ind w:left="330"/>
              <w:spacing w:after="0"/>
              <w:rPr>
                <w:sz w:val="20"/>
                <w:szCs w:val="20"/>
                <w:color w:val="auto"/>
              </w:rPr>
            </w:pPr>
            <w:r>
              <w:rPr>
                <w:rFonts w:ascii="Arial" w:cs="Arial" w:eastAsia="Arial" w:hAnsi="Arial"/>
                <w:sz w:val="18"/>
                <w:szCs w:val="18"/>
                <w:color w:val="auto"/>
                <w:w w:val="91"/>
              </w:rPr>
              <w:t>July 21, 2015</w:t>
            </w:r>
          </w:p>
        </w:tc>
      </w:tr>
      <w:tr>
        <w:trPr>
          <w:trHeight w:val="237"/>
        </w:trPr>
        <w:tc>
          <w:tcPr>
            <w:tcW w:w="2020" w:type="dxa"/>
            <w:vAlign w:val="bottom"/>
            <w:gridSpan w:val="5"/>
          </w:tcPr>
          <w:p>
            <w:pPr>
              <w:spacing w:after="0"/>
              <w:rPr>
                <w:sz w:val="20"/>
                <w:szCs w:val="20"/>
                <w:color w:val="auto"/>
              </w:rPr>
            </w:pPr>
            <w:r>
              <w:rPr>
                <w:rFonts w:ascii="Arial" w:cs="Arial" w:eastAsia="Arial" w:hAnsi="Arial"/>
                <w:sz w:val="18"/>
                <w:szCs w:val="18"/>
                <w:color w:val="auto"/>
              </w:rPr>
              <w:t>Shawn K. Singh, JD</w:t>
            </w:r>
          </w:p>
        </w:tc>
        <w:tc>
          <w:tcPr>
            <w:tcW w:w="20" w:type="dxa"/>
            <w:vAlign w:val="bottom"/>
          </w:tcPr>
          <w:p>
            <w:pPr>
              <w:spacing w:after="0"/>
              <w:rPr>
                <w:sz w:val="20"/>
                <w:szCs w:val="20"/>
                <w:color w:val="auto"/>
              </w:rPr>
            </w:pPr>
          </w:p>
        </w:tc>
        <w:tc>
          <w:tcPr>
            <w:tcW w:w="6180" w:type="dxa"/>
            <w:vAlign w:val="bottom"/>
            <w:gridSpan w:val="3"/>
          </w:tcPr>
          <w:p>
            <w:pPr>
              <w:ind w:left="1440"/>
              <w:spacing w:after="0"/>
              <w:rPr>
                <w:sz w:val="20"/>
                <w:szCs w:val="20"/>
                <w:color w:val="auto"/>
              </w:rPr>
            </w:pPr>
            <w:r>
              <w:rPr>
                <w:rFonts w:ascii="Arial" w:cs="Arial" w:eastAsia="Arial" w:hAnsi="Arial"/>
                <w:sz w:val="18"/>
                <w:szCs w:val="18"/>
                <w:i w:val="1"/>
                <w:iCs w:val="1"/>
                <w:color w:val="auto"/>
              </w:rPr>
              <w:t>(Principal Executive Officer)</w:t>
            </w: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2020" w:type="dxa"/>
            <w:vAlign w:val="bottom"/>
            <w:gridSpan w:val="5"/>
          </w:tcPr>
          <w:p>
            <w:pPr>
              <w:spacing w:after="0"/>
              <w:rPr>
                <w:sz w:val="20"/>
                <w:szCs w:val="20"/>
                <w:color w:val="auto"/>
              </w:rPr>
            </w:pPr>
            <w:r>
              <w:rPr>
                <w:rFonts w:ascii="Arial" w:cs="Arial" w:eastAsia="Arial" w:hAnsi="Arial"/>
                <w:sz w:val="18"/>
                <w:szCs w:val="18"/>
                <w:color w:val="auto"/>
              </w:rPr>
              <w:t>/s/ Jerrold D. Dotson</w:t>
            </w:r>
          </w:p>
        </w:tc>
        <w:tc>
          <w:tcPr>
            <w:tcW w:w="20" w:type="dxa"/>
            <w:vAlign w:val="bottom"/>
          </w:tcPr>
          <w:p>
            <w:pPr>
              <w:spacing w:after="0"/>
              <w:rPr>
                <w:sz w:val="24"/>
                <w:szCs w:val="24"/>
                <w:color w:val="auto"/>
              </w:rPr>
            </w:pPr>
          </w:p>
        </w:tc>
        <w:tc>
          <w:tcPr>
            <w:tcW w:w="6180" w:type="dxa"/>
            <w:vAlign w:val="bottom"/>
            <w:gridSpan w:val="3"/>
          </w:tcPr>
          <w:p>
            <w:pPr>
              <w:ind w:left="1440"/>
              <w:spacing w:after="0"/>
              <w:rPr>
                <w:sz w:val="20"/>
                <w:szCs w:val="20"/>
                <w:color w:val="auto"/>
              </w:rPr>
            </w:pPr>
            <w:r>
              <w:rPr>
                <w:rFonts w:ascii="Arial" w:cs="Arial" w:eastAsia="Arial" w:hAnsi="Arial"/>
                <w:sz w:val="18"/>
                <w:szCs w:val="18"/>
                <w:color w:val="auto"/>
              </w:rPr>
              <w:t>Vice President and Chief Financial Officer</w:t>
            </w:r>
          </w:p>
        </w:tc>
        <w:tc>
          <w:tcPr>
            <w:tcW w:w="3200" w:type="dxa"/>
            <w:vAlign w:val="bottom"/>
            <w:gridSpan w:val="3"/>
          </w:tcPr>
          <w:p>
            <w:pPr>
              <w:jc w:val="center"/>
              <w:ind w:left="330"/>
              <w:spacing w:after="0"/>
              <w:rPr>
                <w:sz w:val="20"/>
                <w:szCs w:val="20"/>
                <w:color w:val="auto"/>
              </w:rPr>
            </w:pPr>
            <w:r>
              <w:rPr>
                <w:rFonts w:ascii="Arial" w:cs="Arial" w:eastAsia="Arial" w:hAnsi="Arial"/>
                <w:sz w:val="18"/>
                <w:szCs w:val="18"/>
                <w:color w:val="auto"/>
                <w:w w:val="91"/>
              </w:rPr>
              <w:t>July 21, 2015</w:t>
            </w:r>
          </w:p>
        </w:tc>
      </w:tr>
      <w:tr>
        <w:trPr>
          <w:trHeight w:val="237"/>
        </w:trPr>
        <w:tc>
          <w:tcPr>
            <w:tcW w:w="15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Jerrold D. Dotson</w:t>
            </w:r>
          </w:p>
        </w:tc>
        <w:tc>
          <w:tcPr>
            <w:tcW w:w="5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6180" w:type="dxa"/>
            <w:vAlign w:val="bottom"/>
            <w:gridSpan w:val="3"/>
          </w:tcPr>
          <w:p>
            <w:pPr>
              <w:ind w:left="1440"/>
              <w:spacing w:after="0"/>
              <w:rPr>
                <w:sz w:val="20"/>
                <w:szCs w:val="20"/>
                <w:color w:val="auto"/>
              </w:rPr>
            </w:pPr>
            <w:r>
              <w:rPr>
                <w:rFonts w:ascii="Arial" w:cs="Arial" w:eastAsia="Arial" w:hAnsi="Arial"/>
                <w:sz w:val="18"/>
                <w:szCs w:val="18"/>
                <w:i w:val="1"/>
                <w:iCs w:val="1"/>
                <w:color w:val="auto"/>
              </w:rPr>
              <w:t>(Principal Financial and Accounting Officer)</w:t>
            </w: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20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H. Ralph Snodgrass</w:t>
            </w:r>
          </w:p>
        </w:tc>
        <w:tc>
          <w:tcPr>
            <w:tcW w:w="20" w:type="dxa"/>
            <w:vAlign w:val="bottom"/>
          </w:tcPr>
          <w:p>
            <w:pPr>
              <w:spacing w:after="0"/>
              <w:rPr>
                <w:sz w:val="24"/>
                <w:szCs w:val="24"/>
                <w:color w:val="auto"/>
              </w:rPr>
            </w:pPr>
          </w:p>
        </w:tc>
        <w:tc>
          <w:tcPr>
            <w:tcW w:w="6180" w:type="dxa"/>
            <w:vAlign w:val="bottom"/>
            <w:gridSpan w:val="3"/>
          </w:tcPr>
          <w:p>
            <w:pPr>
              <w:ind w:left="1440"/>
              <w:spacing w:after="0"/>
              <w:rPr>
                <w:sz w:val="20"/>
                <w:szCs w:val="20"/>
                <w:color w:val="auto"/>
              </w:rPr>
            </w:pPr>
            <w:r>
              <w:rPr>
                <w:rFonts w:ascii="Arial" w:cs="Arial" w:eastAsia="Arial" w:hAnsi="Arial"/>
                <w:sz w:val="18"/>
                <w:szCs w:val="18"/>
                <w:color w:val="auto"/>
              </w:rPr>
              <w:t>President, Chief Scientific Officer and Director</w:t>
            </w:r>
          </w:p>
        </w:tc>
        <w:tc>
          <w:tcPr>
            <w:tcW w:w="320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July21, 2015</w:t>
            </w:r>
          </w:p>
        </w:tc>
      </w:tr>
      <w:tr>
        <w:trPr>
          <w:trHeight w:val="237"/>
        </w:trPr>
        <w:tc>
          <w:tcPr>
            <w:tcW w:w="2020" w:type="dxa"/>
            <w:vAlign w:val="bottom"/>
            <w:gridSpan w:val="5"/>
          </w:tcPr>
          <w:p>
            <w:pPr>
              <w:spacing w:after="0"/>
              <w:rPr>
                <w:sz w:val="20"/>
                <w:szCs w:val="20"/>
                <w:color w:val="auto"/>
              </w:rPr>
            </w:pPr>
            <w:r>
              <w:rPr>
                <w:rFonts w:ascii="Arial" w:cs="Arial" w:eastAsia="Arial" w:hAnsi="Arial"/>
                <w:sz w:val="18"/>
                <w:szCs w:val="18"/>
                <w:color w:val="auto"/>
                <w:w w:val="94"/>
              </w:rPr>
              <w:t>H. Ralph Snodgrass, Ph.D</w:t>
            </w:r>
          </w:p>
        </w:tc>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 S. Saxe</w:t>
            </w:r>
          </w:p>
        </w:tc>
        <w:tc>
          <w:tcPr>
            <w:tcW w:w="6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180" w:type="dxa"/>
            <w:vAlign w:val="bottom"/>
            <w:gridSpan w:val="3"/>
          </w:tcPr>
          <w:p>
            <w:pPr>
              <w:ind w:left="1440"/>
              <w:spacing w:after="0"/>
              <w:rPr>
                <w:sz w:val="20"/>
                <w:szCs w:val="20"/>
                <w:color w:val="auto"/>
              </w:rPr>
            </w:pPr>
            <w:r>
              <w:rPr>
                <w:rFonts w:ascii="Arial" w:cs="Arial" w:eastAsia="Arial" w:hAnsi="Arial"/>
                <w:sz w:val="18"/>
                <w:szCs w:val="18"/>
                <w:color w:val="auto"/>
              </w:rPr>
              <w:t>Chairman of the Board of Directors</w:t>
            </w:r>
          </w:p>
        </w:tc>
        <w:tc>
          <w:tcPr>
            <w:tcW w:w="3200" w:type="dxa"/>
            <w:vAlign w:val="bottom"/>
            <w:gridSpan w:val="3"/>
          </w:tcPr>
          <w:p>
            <w:pPr>
              <w:jc w:val="center"/>
              <w:ind w:left="330"/>
              <w:spacing w:after="0"/>
              <w:rPr>
                <w:sz w:val="20"/>
                <w:szCs w:val="20"/>
                <w:color w:val="auto"/>
              </w:rPr>
            </w:pPr>
            <w:r>
              <w:rPr>
                <w:rFonts w:ascii="Arial" w:cs="Arial" w:eastAsia="Arial" w:hAnsi="Arial"/>
                <w:sz w:val="18"/>
                <w:szCs w:val="18"/>
                <w:color w:val="auto"/>
                <w:w w:val="91"/>
              </w:rPr>
              <w:t>July 21, 2015</w:t>
            </w:r>
          </w:p>
        </w:tc>
      </w:tr>
      <w:tr>
        <w:trPr>
          <w:trHeight w:val="237"/>
        </w:trPr>
        <w:tc>
          <w:tcPr>
            <w:tcW w:w="2020" w:type="dxa"/>
            <w:vAlign w:val="bottom"/>
            <w:gridSpan w:val="5"/>
          </w:tcPr>
          <w:p>
            <w:pPr>
              <w:spacing w:after="0"/>
              <w:rPr>
                <w:sz w:val="20"/>
                <w:szCs w:val="20"/>
                <w:color w:val="auto"/>
              </w:rPr>
            </w:pPr>
            <w:r>
              <w:rPr>
                <w:rFonts w:ascii="Arial" w:cs="Arial" w:eastAsia="Arial" w:hAnsi="Arial"/>
                <w:sz w:val="18"/>
                <w:szCs w:val="18"/>
                <w:color w:val="auto"/>
              </w:rPr>
              <w:t>Jon S. Saxe</w:t>
            </w:r>
          </w:p>
        </w:tc>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202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/s/ Brian J. Underdown</w:t>
            </w:r>
          </w:p>
        </w:tc>
        <w:tc>
          <w:tcPr>
            <w:tcW w:w="20" w:type="dxa"/>
            <w:vAlign w:val="bottom"/>
            <w:tcBorders>
              <w:bottom w:val="single" w:sz="8" w:color="auto"/>
            </w:tcBorders>
          </w:tcPr>
          <w:p>
            <w:pPr>
              <w:spacing w:after="0"/>
              <w:rPr>
                <w:sz w:val="24"/>
                <w:szCs w:val="24"/>
                <w:color w:val="auto"/>
              </w:rPr>
            </w:pPr>
          </w:p>
        </w:tc>
        <w:tc>
          <w:tcPr>
            <w:tcW w:w="6180" w:type="dxa"/>
            <w:vAlign w:val="bottom"/>
            <w:gridSpan w:val="3"/>
          </w:tcPr>
          <w:p>
            <w:pPr>
              <w:ind w:left="1440"/>
              <w:spacing w:after="0"/>
              <w:rPr>
                <w:sz w:val="20"/>
                <w:szCs w:val="20"/>
                <w:color w:val="auto"/>
              </w:rPr>
            </w:pPr>
            <w:r>
              <w:rPr>
                <w:rFonts w:ascii="Arial" w:cs="Arial" w:eastAsia="Arial" w:hAnsi="Arial"/>
                <w:sz w:val="18"/>
                <w:szCs w:val="18"/>
                <w:color w:val="auto"/>
              </w:rPr>
              <w:t>Director</w:t>
            </w:r>
          </w:p>
        </w:tc>
        <w:tc>
          <w:tcPr>
            <w:tcW w:w="3200" w:type="dxa"/>
            <w:vAlign w:val="bottom"/>
            <w:gridSpan w:val="3"/>
          </w:tcPr>
          <w:p>
            <w:pPr>
              <w:jc w:val="center"/>
              <w:ind w:left="330"/>
              <w:spacing w:after="0"/>
              <w:rPr>
                <w:sz w:val="20"/>
                <w:szCs w:val="20"/>
                <w:color w:val="auto"/>
              </w:rPr>
            </w:pPr>
            <w:r>
              <w:rPr>
                <w:rFonts w:ascii="Arial" w:cs="Arial" w:eastAsia="Arial" w:hAnsi="Arial"/>
                <w:sz w:val="18"/>
                <w:szCs w:val="18"/>
                <w:color w:val="auto"/>
                <w:w w:val="91"/>
              </w:rPr>
              <w:t>July 21, 2015</w:t>
            </w:r>
          </w:p>
        </w:tc>
      </w:tr>
      <w:tr>
        <w:trPr>
          <w:trHeight w:val="237"/>
        </w:trPr>
        <w:tc>
          <w:tcPr>
            <w:tcW w:w="2020" w:type="dxa"/>
            <w:vAlign w:val="bottom"/>
            <w:gridSpan w:val="5"/>
          </w:tcPr>
          <w:p>
            <w:pPr>
              <w:spacing w:after="0"/>
              <w:rPr>
                <w:sz w:val="20"/>
                <w:szCs w:val="20"/>
                <w:color w:val="auto"/>
              </w:rPr>
            </w:pPr>
            <w:r>
              <w:rPr>
                <w:rFonts w:ascii="Arial" w:cs="Arial" w:eastAsia="Arial" w:hAnsi="Arial"/>
                <w:sz w:val="18"/>
                <w:szCs w:val="18"/>
                <w:color w:val="auto"/>
                <w:w w:val="93"/>
              </w:rPr>
              <w:t>Brian J. Underdown, Ph. D</w:t>
            </w:r>
          </w:p>
        </w:tc>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851"/>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80" w:type="dxa"/>
            <w:vAlign w:val="bottom"/>
            <w:gridSpan w:val="3"/>
          </w:tcPr>
          <w:p>
            <w:pPr>
              <w:ind w:left="3540"/>
              <w:spacing w:after="0"/>
              <w:rPr>
                <w:sz w:val="20"/>
                <w:szCs w:val="20"/>
                <w:color w:val="auto"/>
              </w:rPr>
            </w:pPr>
            <w:r>
              <w:rPr>
                <w:rFonts w:ascii="Arial" w:cs="Arial" w:eastAsia="Arial" w:hAnsi="Arial"/>
                <w:sz w:val="18"/>
                <w:szCs w:val="18"/>
                <w:color w:val="auto"/>
              </w:rPr>
              <w:t>II-4</w:t>
            </w:r>
          </w:p>
        </w:tc>
        <w:tc>
          <w:tcPr>
            <w:tcW w:w="1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18"/>
        </w:trPr>
        <w:tc>
          <w:tcPr>
            <w:tcW w:w="7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-2162810</wp:posOffset>
            </wp:positionV>
            <wp:extent cx="2857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80" w:name="page181"/>
    <w:bookmarkEnd w:id="180"/>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0" w:type="dxa"/>
            <w:vAlign w:val="bottom"/>
            <w:gridSpan w:val="2"/>
          </w:tcPr>
          <w:p>
            <w:pPr>
              <w:ind w:left="416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9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20" w:type="dxa"/>
            <w:vAlign w:val="bottom"/>
          </w:tcPr>
          <w:p>
            <w:pPr>
              <w:spacing w:after="0"/>
              <w:rPr>
                <w:sz w:val="24"/>
                <w:szCs w:val="24"/>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8"/>
                <w:szCs w:val="18"/>
                <w:color w:val="auto"/>
              </w:rPr>
            </w:pPr>
          </w:p>
        </w:tc>
        <w:tc>
          <w:tcPr>
            <w:tcW w:w="10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Agreement and Plan of Merger by and among Excaliber Enterprises, Ltd., VistaGen Therapeutics, Inc. and Excaliber Merger Subsidiary, Inc.</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Articles of Incorporation, dated October 6, 2005.</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7"/>
                <w:szCs w:val="17"/>
                <w:color w:val="auto"/>
              </w:rPr>
            </w:pPr>
          </w:p>
        </w:tc>
        <w:tc>
          <w:tcPr>
            <w:tcW w:w="10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Certificate of Amendment filed with the Nevada Secretary of State on December 6, 2011, incorporated by reference from Exhibit 3.3 to the</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Company's Annual Report on Form 10-K, filed July 2, 2012.</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10380" w:type="dxa"/>
            <w:vAlign w:val="bottom"/>
          </w:tcPr>
          <w:p>
            <w:pPr>
              <w:spacing w:after="0" w:line="201" w:lineRule="exact"/>
              <w:rPr>
                <w:sz w:val="20"/>
                <w:szCs w:val="20"/>
                <w:color w:val="auto"/>
              </w:rPr>
            </w:pPr>
            <w:r>
              <w:rPr>
                <w:rFonts w:ascii="Arial" w:cs="Arial" w:eastAsia="Arial" w:hAnsi="Arial"/>
                <w:sz w:val="18"/>
                <w:szCs w:val="18"/>
                <w:color w:val="auto"/>
                <w:w w:val="92"/>
              </w:rPr>
              <w:t>Amended and Restated Bylaws as of February 5, 2014, incorporated by reference from the Company’s Report on Form 8-K filed on February</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500" w:type="dxa"/>
            <w:vAlign w:val="bottom"/>
            <w:gridSpan w:val="2"/>
          </w:tcPr>
          <w:p>
            <w:pPr>
              <w:ind w:left="120"/>
              <w:spacing w:after="0"/>
              <w:rPr>
                <w:sz w:val="20"/>
                <w:szCs w:val="20"/>
                <w:color w:val="auto"/>
              </w:rPr>
            </w:pPr>
            <w:r>
              <w:rPr>
                <w:rFonts w:ascii="Arial" w:cs="Arial" w:eastAsia="Arial" w:hAnsi="Arial"/>
                <w:sz w:val="18"/>
                <w:szCs w:val="18"/>
                <w:color w:val="auto"/>
              </w:rPr>
              <w:t>7, 2014.</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7"/>
                <w:szCs w:val="17"/>
                <w:color w:val="auto"/>
              </w:rPr>
            </w:pPr>
          </w:p>
        </w:tc>
        <w:tc>
          <w:tcPr>
            <w:tcW w:w="10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Articles of Merger filed with the Nevada Secretary of State on May 24, 2011, incorporated by reference from Exhibit 3.1 to the Company's</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Current Report on Form 8-K filed on May 31, 2011.</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7"/>
                <w:szCs w:val="17"/>
                <w:color w:val="auto"/>
              </w:rPr>
            </w:pPr>
          </w:p>
        </w:tc>
        <w:tc>
          <w:tcPr>
            <w:tcW w:w="10380" w:type="dxa"/>
            <w:vAlign w:val="bottom"/>
          </w:tcPr>
          <w:p>
            <w:pPr>
              <w:spacing w:after="0" w:line="201" w:lineRule="exact"/>
              <w:rPr>
                <w:sz w:val="20"/>
                <w:szCs w:val="20"/>
                <w:color w:val="auto"/>
              </w:rPr>
            </w:pPr>
            <w:r>
              <w:rPr>
                <w:rFonts w:ascii="Arial" w:cs="Arial" w:eastAsia="Arial" w:hAnsi="Arial"/>
                <w:sz w:val="18"/>
                <w:szCs w:val="18"/>
                <w:color w:val="auto"/>
                <w:w w:val="92"/>
              </w:rPr>
              <w:t>Certificate of Designations Series A Preferred, incorporated by reference from Exhibit 3.1 to the Company’s Current Report on Form 8-K filed</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on December 23, 2011.</w:t>
            </w: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7"/>
                <w:szCs w:val="17"/>
                <w:color w:val="auto"/>
              </w:rPr>
            </w:pPr>
          </w:p>
        </w:tc>
        <w:tc>
          <w:tcPr>
            <w:tcW w:w="10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Certificate of Change filed with the Nevada Secretary of State on August 11, 2014 incorporated by reference from Exhibit 3.1 to the</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Company’s Current Report on Form 8-K filed on August 14, 2014.</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3.7</w:t>
            </w:r>
          </w:p>
        </w:tc>
        <w:tc>
          <w:tcPr>
            <w:tcW w:w="120" w:type="dxa"/>
            <w:vAlign w:val="bottom"/>
          </w:tcPr>
          <w:p>
            <w:pPr>
              <w:spacing w:after="0"/>
              <w:rPr>
                <w:sz w:val="17"/>
                <w:szCs w:val="17"/>
                <w:color w:val="auto"/>
              </w:rPr>
            </w:pPr>
          </w:p>
        </w:tc>
        <w:tc>
          <w:tcPr>
            <w:tcW w:w="10380" w:type="dxa"/>
            <w:vAlign w:val="bottom"/>
          </w:tcPr>
          <w:p>
            <w:pPr>
              <w:spacing w:after="0" w:line="201" w:lineRule="exact"/>
              <w:rPr>
                <w:sz w:val="20"/>
                <w:szCs w:val="20"/>
                <w:color w:val="auto"/>
              </w:rPr>
            </w:pPr>
            <w:r>
              <w:rPr>
                <w:rFonts w:ascii="Arial" w:cs="Arial" w:eastAsia="Arial" w:hAnsi="Arial"/>
                <w:sz w:val="18"/>
                <w:szCs w:val="18"/>
                <w:color w:val="auto"/>
                <w:w w:val="92"/>
              </w:rPr>
              <w:t>Certificate of Designation of the Relative Rights and Preferences of the Series B 10% Convertible Preferred Stock of VistaGen Therapeutics,</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w w:val="92"/>
              </w:rPr>
              <w:t>Inc., filed with the Nevada Secretary of State on May 7, 2015, incorporated by reference from Exhibit 3.1 to the Company’s Current Report on</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Form 8-K filed on May 13, 2015.</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Opinion of Disclosure Law Group (to be filed by amendment).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10.1 *</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1999 Stock Incentive Plan.</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10.2 *</w:t>
            </w: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Form of Option Agreement under VistaGen’s 1999 Stock Incentive Plan.</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10.5 *</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2008 Stock Incentive Plan.</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10.6 *</w:t>
            </w: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Form of Option Agreement under VistaGen’s 2008 Stock Incentive Plan.</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10.20 *</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Strategic Development Services Agreement, dated February 26, 2007, by and between VistaGen and Cato Research Ltd.</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10.21 *</w:t>
            </w:r>
          </w:p>
        </w:tc>
        <w:tc>
          <w:tcPr>
            <w:tcW w:w="120" w:type="dxa"/>
            <w:vAlign w:val="bottom"/>
            <w:shd w:val="clear" w:color="auto" w:fill="CCEEFF"/>
          </w:tcPr>
          <w:p>
            <w:pPr>
              <w:spacing w:after="0"/>
              <w:rPr>
                <w:sz w:val="17"/>
                <w:szCs w:val="17"/>
                <w:color w:val="auto"/>
              </w:rPr>
            </w:pPr>
          </w:p>
        </w:tc>
        <w:tc>
          <w:tcPr>
            <w:tcW w:w="10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License Agreement by and between National Jewish Medical and Research Center and VistaGen, dated July 12, 1999, as amended by that</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w w:val="89"/>
              </w:rPr>
              <w:t>certain Amendment to License Agreement dated January 25, 2001, as amended by that certain Second Amendment to License Agreement dated</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w w:val="91"/>
              </w:rPr>
              <w:t>November 6, 2002, as amended by that certain Third Amendment to License Agreement dated March 1, 2003, and as amended by that certain</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Fourth Amendment to License Agreement dated April 15, 2010.</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10.22 *</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6"/>
              </w:rPr>
              <w:t>License Agreement by and between Mount Sinai School of Medicine of New York University and the Company, dated October 1, 2004.</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10.24 *</w:t>
            </w:r>
          </w:p>
        </w:tc>
        <w:tc>
          <w:tcPr>
            <w:tcW w:w="120" w:type="dxa"/>
            <w:vAlign w:val="bottom"/>
            <w:shd w:val="clear" w:color="auto" w:fill="CCEEFF"/>
          </w:tcPr>
          <w:p>
            <w:pPr>
              <w:spacing w:after="0"/>
              <w:rPr>
                <w:sz w:val="17"/>
                <w:szCs w:val="17"/>
                <w:color w:val="auto"/>
              </w:rPr>
            </w:pPr>
          </w:p>
        </w:tc>
        <w:tc>
          <w:tcPr>
            <w:tcW w:w="10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Sponsored Research Collaboration Agreement, dated September 18, 2007, between VistaGen and University Health Network, as amended by</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that certain Amendment No. 1 and Amendment No. 2, dated April 19, 2010 and December 15, 2010, respectively.</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10.26 *</w:t>
            </w:r>
          </w:p>
        </w:tc>
        <w:tc>
          <w:tcPr>
            <w:tcW w:w="120" w:type="dxa"/>
            <w:vAlign w:val="bottom"/>
          </w:tcPr>
          <w:p>
            <w:pPr>
              <w:spacing w:after="0"/>
              <w:rPr>
                <w:sz w:val="17"/>
                <w:szCs w:val="17"/>
                <w:color w:val="auto"/>
              </w:rPr>
            </w:pPr>
          </w:p>
        </w:tc>
        <w:tc>
          <w:tcPr>
            <w:tcW w:w="10380" w:type="dxa"/>
            <w:vAlign w:val="bottom"/>
          </w:tcPr>
          <w:p>
            <w:pPr>
              <w:spacing w:after="0" w:line="201" w:lineRule="exact"/>
              <w:rPr>
                <w:sz w:val="20"/>
                <w:szCs w:val="20"/>
                <w:color w:val="auto"/>
              </w:rPr>
            </w:pPr>
            <w:r>
              <w:rPr>
                <w:rFonts w:ascii="Arial" w:cs="Arial" w:eastAsia="Arial" w:hAnsi="Arial"/>
                <w:sz w:val="18"/>
                <w:szCs w:val="18"/>
                <w:color w:val="auto"/>
                <w:w w:val="91"/>
              </w:rPr>
              <w:t>License Agreement, dated October 24, 2001, by and between the University of Maryland, Baltimore, Cornell Research Foundation and Artemis</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Neuroscience, Inc.</w:t>
            </w: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10.40 *</w:t>
            </w: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Employment Agreement, by and between, VistaGen and Shawn K. Singh, dated April 28, 2010, as amended May 9, 2011.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10.41 *</w:t>
            </w: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w w:val="98"/>
              </w:rPr>
              <w:t>Employment Agreement, by and between, VistaGen and H. Ralph Snodgrass, PhD, dated April 28, 2010, as amended May 9, 2011.</w:t>
            </w:r>
          </w:p>
        </w:tc>
        <w:tc>
          <w:tcPr>
            <w:tcW w:w="2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10.46</w:t>
            </w:r>
          </w:p>
        </w:tc>
        <w:tc>
          <w:tcPr>
            <w:tcW w:w="120" w:type="dxa"/>
            <w:vAlign w:val="bottom"/>
            <w:shd w:val="clear" w:color="auto" w:fill="CCEEFF"/>
          </w:tcPr>
          <w:p>
            <w:pPr>
              <w:spacing w:after="0"/>
              <w:rPr>
                <w:sz w:val="17"/>
                <w:szCs w:val="17"/>
                <w:color w:val="auto"/>
              </w:rPr>
            </w:pPr>
          </w:p>
        </w:tc>
        <w:tc>
          <w:tcPr>
            <w:tcW w:w="10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Notice of Award by National Institutes of Health, Small Business Innovation Research Program, to VistaGen Therapeutics, Inc. for project,</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w w:val="92"/>
              </w:rPr>
              <w:t>Clinical Development of 4-CI-KYN to Treat Pain dated June 22, 2009, with revisions dated July 19, 2010 and August 9, 2011, incorporated by</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reference from Exhibit 10.46 to the Company’s Current Report on Form 8-K/A filed on December 20, 2011.</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10.47</w:t>
            </w:r>
          </w:p>
        </w:tc>
        <w:tc>
          <w:tcPr>
            <w:tcW w:w="120" w:type="dxa"/>
            <w:vAlign w:val="bottom"/>
          </w:tcPr>
          <w:p>
            <w:pPr>
              <w:spacing w:after="0"/>
              <w:rPr>
                <w:sz w:val="17"/>
                <w:szCs w:val="17"/>
                <w:color w:val="auto"/>
              </w:rPr>
            </w:pPr>
          </w:p>
        </w:tc>
        <w:tc>
          <w:tcPr>
            <w:tcW w:w="10380" w:type="dxa"/>
            <w:vAlign w:val="bottom"/>
          </w:tcPr>
          <w:p>
            <w:pPr>
              <w:spacing w:after="0" w:line="201" w:lineRule="exact"/>
              <w:rPr>
                <w:sz w:val="20"/>
                <w:szCs w:val="20"/>
                <w:color w:val="auto"/>
              </w:rPr>
            </w:pPr>
            <w:r>
              <w:rPr>
                <w:rFonts w:ascii="Arial" w:cs="Arial" w:eastAsia="Arial" w:hAnsi="Arial"/>
                <w:sz w:val="18"/>
                <w:szCs w:val="18"/>
                <w:color w:val="auto"/>
                <w:w w:val="93"/>
              </w:rPr>
              <w:t>Notice of Grant Award by California Institute of Regenerative Medicine and VistaGen Therapeutics, Inc. for Project: Development of an hES</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w w:val="92"/>
              </w:rPr>
              <w:t>Cell-Based Assay System for Hepatocyte Differentiation Studies and Predictive Toxicology Drug Screening, dated April 1, 2009, incorporated</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by reference from Exhibit 10.47 to the Company’s Current Report on Form 8-K/A filed on December 20, 2011.</w:t>
            </w: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10.48</w:t>
            </w:r>
          </w:p>
        </w:tc>
        <w:tc>
          <w:tcPr>
            <w:tcW w:w="120" w:type="dxa"/>
            <w:vAlign w:val="bottom"/>
            <w:shd w:val="clear" w:color="auto" w:fill="CCEEFF"/>
          </w:tcPr>
          <w:p>
            <w:pPr>
              <w:spacing w:after="0"/>
              <w:rPr>
                <w:sz w:val="17"/>
                <w:szCs w:val="17"/>
                <w:color w:val="auto"/>
              </w:rPr>
            </w:pPr>
          </w:p>
        </w:tc>
        <w:tc>
          <w:tcPr>
            <w:tcW w:w="10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Amendment No. 4, dated October 24, 2011, to Sponsored Research Collaboration Agreement between VistaGen and University Health</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Network, incorporated by reference from Exhibit 10.2 to the Company’s Current Report on Form 8-K filed on November 30, 2011.</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10.49</w:t>
            </w:r>
          </w:p>
        </w:tc>
        <w:tc>
          <w:tcPr>
            <w:tcW w:w="120" w:type="dxa"/>
            <w:vAlign w:val="bottom"/>
          </w:tcPr>
          <w:p>
            <w:pPr>
              <w:spacing w:after="0"/>
              <w:rPr>
                <w:sz w:val="17"/>
                <w:szCs w:val="17"/>
                <w:color w:val="auto"/>
              </w:rPr>
            </w:pPr>
          </w:p>
        </w:tc>
        <w:tc>
          <w:tcPr>
            <w:tcW w:w="10380" w:type="dxa"/>
            <w:vAlign w:val="bottom"/>
          </w:tcPr>
          <w:p>
            <w:pPr>
              <w:spacing w:after="0" w:line="201" w:lineRule="exact"/>
              <w:rPr>
                <w:sz w:val="20"/>
                <w:szCs w:val="20"/>
                <w:color w:val="auto"/>
              </w:rPr>
            </w:pPr>
            <w:r>
              <w:rPr>
                <w:rFonts w:ascii="Arial" w:cs="Arial" w:eastAsia="Arial" w:hAnsi="Arial"/>
                <w:sz w:val="18"/>
                <w:szCs w:val="18"/>
                <w:color w:val="auto"/>
                <w:w w:val="91"/>
              </w:rPr>
              <w:t>License Agreement No. 1, dated as of October 24, 2011 between University Health Network and VistaGen Therapeutics, Inc., incorporated by</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reference from Exhibit 10.1 to the Company’s Current Report on Form 8-K filed on November 30, 2011.</w:t>
            </w: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10.50</w:t>
            </w:r>
          </w:p>
        </w:tc>
        <w:tc>
          <w:tcPr>
            <w:tcW w:w="120" w:type="dxa"/>
            <w:vAlign w:val="bottom"/>
            <w:shd w:val="clear" w:color="auto" w:fill="CCEEFF"/>
          </w:tcPr>
          <w:p>
            <w:pPr>
              <w:spacing w:after="0"/>
              <w:rPr>
                <w:sz w:val="17"/>
                <w:szCs w:val="17"/>
                <w:color w:val="auto"/>
              </w:rPr>
            </w:pPr>
          </w:p>
        </w:tc>
        <w:tc>
          <w:tcPr>
            <w:tcW w:w="10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Strategic Medicinal Chemistry Services Agreement, dated as of December 6, 2011, between Synterys, Inc. and VistaGen Therapeutics, Inc.,</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incorporated by reference from Exhibit 10.1 to the Company’s Current Report on Form 8-K filed on December 7, 2011.</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10.51</w:t>
            </w:r>
          </w:p>
        </w:tc>
        <w:tc>
          <w:tcPr>
            <w:tcW w:w="120" w:type="dxa"/>
            <w:vAlign w:val="bottom"/>
          </w:tcPr>
          <w:p>
            <w:pPr>
              <w:spacing w:after="0"/>
              <w:rPr>
                <w:sz w:val="17"/>
                <w:szCs w:val="17"/>
                <w:color w:val="auto"/>
              </w:rPr>
            </w:pPr>
          </w:p>
        </w:tc>
        <w:tc>
          <w:tcPr>
            <w:tcW w:w="10380" w:type="dxa"/>
            <w:vAlign w:val="bottom"/>
          </w:tcPr>
          <w:p>
            <w:pPr>
              <w:spacing w:after="0" w:line="201" w:lineRule="exact"/>
              <w:rPr>
                <w:sz w:val="20"/>
                <w:szCs w:val="20"/>
                <w:color w:val="auto"/>
              </w:rPr>
            </w:pPr>
            <w:r>
              <w:rPr>
                <w:rFonts w:ascii="Arial" w:cs="Arial" w:eastAsia="Arial" w:hAnsi="Arial"/>
                <w:sz w:val="18"/>
                <w:szCs w:val="18"/>
                <w:color w:val="auto"/>
                <w:w w:val="98"/>
              </w:rPr>
              <w:t>Common Stock Exchange Agreement, dated as of December 22, 2011 between Platinum Long Term Growth VII, LLC and VistaGen</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w w:val="94"/>
              </w:rPr>
              <w:t>Therapeutics, Inc., incorporated by reference from Exhibit 10.1 to the Company’s Current Report on Form 8-K filed on December 23, 2011.</w:t>
            </w: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10.52</w:t>
            </w:r>
          </w:p>
        </w:tc>
        <w:tc>
          <w:tcPr>
            <w:tcW w:w="120" w:type="dxa"/>
            <w:vAlign w:val="bottom"/>
            <w:shd w:val="clear" w:color="auto" w:fill="CCEEFF"/>
          </w:tcPr>
          <w:p>
            <w:pPr>
              <w:spacing w:after="0"/>
              <w:rPr>
                <w:sz w:val="17"/>
                <w:szCs w:val="17"/>
                <w:color w:val="auto"/>
              </w:rPr>
            </w:pPr>
          </w:p>
        </w:tc>
        <w:tc>
          <w:tcPr>
            <w:tcW w:w="10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Note and Warrant Exchange Agreement, dated as of December 28, 2011 between Platinum Long Term Growth VII, LLC and VistaGen</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Therapeutics, Inc., incorporated by reference from Exhibit 10.1 to the Current Report on Form 8-K filed on January 4, 2012.</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10.55</w:t>
            </w:r>
          </w:p>
        </w:tc>
        <w:tc>
          <w:tcPr>
            <w:tcW w:w="120" w:type="dxa"/>
            <w:vAlign w:val="bottom"/>
          </w:tcPr>
          <w:p>
            <w:pPr>
              <w:spacing w:after="0"/>
              <w:rPr>
                <w:sz w:val="17"/>
                <w:szCs w:val="17"/>
                <w:color w:val="auto"/>
              </w:rPr>
            </w:pPr>
          </w:p>
        </w:tc>
        <w:tc>
          <w:tcPr>
            <w:tcW w:w="10380" w:type="dxa"/>
            <w:vAlign w:val="bottom"/>
          </w:tcPr>
          <w:p>
            <w:pPr>
              <w:spacing w:after="0" w:line="201" w:lineRule="exact"/>
              <w:rPr>
                <w:sz w:val="20"/>
                <w:szCs w:val="20"/>
                <w:color w:val="auto"/>
              </w:rPr>
            </w:pPr>
            <w:r>
              <w:rPr>
                <w:rFonts w:ascii="Arial" w:cs="Arial" w:eastAsia="Arial" w:hAnsi="Arial"/>
                <w:sz w:val="18"/>
                <w:szCs w:val="18"/>
                <w:color w:val="auto"/>
                <w:w w:val="93"/>
              </w:rPr>
              <w:t>Form of Warrant to Purchase Common Stock, dated as of February 28, 2012, incorporated by reference from Exhibit 10.3 to the Company’s</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Current Report on Form 8-K filed on March 2, 2012.</w:t>
            </w: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10.57</w:t>
            </w:r>
          </w:p>
        </w:tc>
        <w:tc>
          <w:tcPr>
            <w:tcW w:w="120" w:type="dxa"/>
            <w:vAlign w:val="bottom"/>
            <w:shd w:val="clear" w:color="auto" w:fill="CCEEFF"/>
          </w:tcPr>
          <w:p>
            <w:pPr>
              <w:spacing w:after="0"/>
              <w:rPr>
                <w:sz w:val="17"/>
                <w:szCs w:val="17"/>
                <w:color w:val="auto"/>
              </w:rPr>
            </w:pPr>
          </w:p>
        </w:tc>
        <w:tc>
          <w:tcPr>
            <w:tcW w:w="10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License Agreement No. 2, dated as of March 19, 2012 between University Health Network and VistaGen Therapeutics, Inc., incorporated by</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reference from Exhibit 10.57 to the Company’s Annual Report on Form 10-K filed on July 2, 2012.</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10.58</w:t>
            </w:r>
          </w:p>
        </w:tc>
        <w:tc>
          <w:tcPr>
            <w:tcW w:w="120" w:type="dxa"/>
            <w:vAlign w:val="bottom"/>
          </w:tcPr>
          <w:p>
            <w:pPr>
              <w:spacing w:after="0"/>
              <w:rPr>
                <w:sz w:val="17"/>
                <w:szCs w:val="17"/>
                <w:color w:val="auto"/>
              </w:rPr>
            </w:pPr>
          </w:p>
        </w:tc>
        <w:tc>
          <w:tcPr>
            <w:tcW w:w="10380" w:type="dxa"/>
            <w:vAlign w:val="bottom"/>
          </w:tcPr>
          <w:p>
            <w:pPr>
              <w:spacing w:after="0" w:line="201" w:lineRule="exact"/>
              <w:rPr>
                <w:sz w:val="20"/>
                <w:szCs w:val="20"/>
                <w:color w:val="auto"/>
              </w:rPr>
            </w:pPr>
            <w:r>
              <w:rPr>
                <w:rFonts w:ascii="Arial" w:cs="Arial" w:eastAsia="Arial" w:hAnsi="Arial"/>
                <w:sz w:val="18"/>
                <w:szCs w:val="18"/>
                <w:color w:val="auto"/>
                <w:w w:val="91"/>
              </w:rPr>
              <w:t>Exchange Agreement dated as of June 29, 2012 between Platinum Long Term Growth VII, LLC and VistaGen Therapeutics. Inc., incorporated</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by reference from Exhibit 10.58 to the Company’s Annual Report on Form 10-K filed on July 2, 2012.</w:t>
            </w: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10.63</w:t>
            </w:r>
          </w:p>
        </w:tc>
        <w:tc>
          <w:tcPr>
            <w:tcW w:w="120" w:type="dxa"/>
            <w:vAlign w:val="bottom"/>
            <w:shd w:val="clear" w:color="auto" w:fill="CCEEFF"/>
          </w:tcPr>
          <w:p>
            <w:pPr>
              <w:spacing w:after="0"/>
              <w:rPr>
                <w:sz w:val="17"/>
                <w:szCs w:val="17"/>
                <w:color w:val="auto"/>
              </w:rPr>
            </w:pPr>
          </w:p>
        </w:tc>
        <w:tc>
          <w:tcPr>
            <w:tcW w:w="10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Unsecured Promissory Note in the face amount of $1,000,000 issued to Morrison &amp; Foerster LLP on August 31, 2012 (Replacement Note A),</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incorporated by reference from Exhibit 10.3 to the Company’s Current Report on Form 8-K filed on September 6, 2012.</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10.64</w:t>
            </w:r>
          </w:p>
        </w:tc>
        <w:tc>
          <w:tcPr>
            <w:tcW w:w="120" w:type="dxa"/>
            <w:vAlign w:val="bottom"/>
          </w:tcPr>
          <w:p>
            <w:pPr>
              <w:spacing w:after="0"/>
              <w:rPr>
                <w:sz w:val="17"/>
                <w:szCs w:val="17"/>
                <w:color w:val="auto"/>
              </w:rPr>
            </w:pPr>
          </w:p>
        </w:tc>
        <w:tc>
          <w:tcPr>
            <w:tcW w:w="10380" w:type="dxa"/>
            <w:vAlign w:val="bottom"/>
          </w:tcPr>
          <w:p>
            <w:pPr>
              <w:spacing w:after="0" w:line="201" w:lineRule="exact"/>
              <w:rPr>
                <w:sz w:val="20"/>
                <w:szCs w:val="20"/>
                <w:color w:val="auto"/>
              </w:rPr>
            </w:pPr>
            <w:r>
              <w:rPr>
                <w:rFonts w:ascii="Arial" w:cs="Arial" w:eastAsia="Arial" w:hAnsi="Arial"/>
                <w:sz w:val="18"/>
                <w:szCs w:val="18"/>
                <w:color w:val="auto"/>
                <w:w w:val="92"/>
              </w:rPr>
              <w:t>Unsecured Promissory Note in the face amount of $1,379,376 issued to Morrison &amp; Foerster LLP on August 31, 2012 (Replacement Note B),</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incorporated by reference from Exhibit 10.4 to the Company’s Current Report on Form 8-K filed on September 6, 2012.</w:t>
            </w: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17"/>
                <w:szCs w:val="17"/>
                <w:color w:val="auto"/>
              </w:rPr>
            </w:pPr>
          </w:p>
        </w:tc>
        <w:tc>
          <w:tcPr>
            <w:tcW w:w="10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Stock Purchase Warrant issued to Morrison &amp; Foerster LLP on August 31, 2012 to purchase 1,379,376 shares of the Company’s common stock</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w w:val="96"/>
              </w:rPr>
              <w:t>(New Morrison &amp; Foerster Warrant), incorporated by reference from Exhibit 10.5 to the Company’s Current Report on Form 8-K filed on</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September 6, 2012.</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10.66</w:t>
            </w:r>
          </w:p>
        </w:tc>
        <w:tc>
          <w:tcPr>
            <w:tcW w:w="120" w:type="dxa"/>
            <w:vAlign w:val="bottom"/>
          </w:tcPr>
          <w:p>
            <w:pPr>
              <w:spacing w:after="0"/>
              <w:rPr>
                <w:sz w:val="17"/>
                <w:szCs w:val="17"/>
                <w:color w:val="auto"/>
              </w:rPr>
            </w:pPr>
          </w:p>
        </w:tc>
        <w:tc>
          <w:tcPr>
            <w:tcW w:w="10380" w:type="dxa"/>
            <w:vAlign w:val="bottom"/>
          </w:tcPr>
          <w:p>
            <w:pPr>
              <w:spacing w:after="0" w:line="201" w:lineRule="exact"/>
              <w:rPr>
                <w:sz w:val="20"/>
                <w:szCs w:val="20"/>
                <w:color w:val="auto"/>
              </w:rPr>
            </w:pPr>
            <w:r>
              <w:rPr>
                <w:rFonts w:ascii="Arial" w:cs="Arial" w:eastAsia="Arial" w:hAnsi="Arial"/>
                <w:sz w:val="18"/>
                <w:szCs w:val="18"/>
                <w:color w:val="auto"/>
                <w:w w:val="93"/>
              </w:rPr>
              <w:t>Warrant to Purchase Common Stock issued to Morrison &amp; Foerster LLP on August 31, 2012 to purchase 425,000 shares of the Company’s</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w w:val="95"/>
              </w:rPr>
              <w:t>common stock (Amended Morrison &amp; Foerster Warrant), incorporated by reference from Exhibit 10.6 to the Company’s Current Report on</w:t>
            </w: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Form 8-K filed on September 6, 2012.</w:t>
            </w:r>
          </w:p>
        </w:tc>
      </w:tr>
      <w:tr>
        <w:trPr>
          <w:trHeight w:val="202"/>
        </w:trPr>
        <w:tc>
          <w:tcPr>
            <w:tcW w:w="20" w:type="dxa"/>
            <w:vAlign w:val="bottom"/>
          </w:tcPr>
          <w:p>
            <w:pPr>
              <w:spacing w:after="0"/>
              <w:rPr>
                <w:sz w:val="17"/>
                <w:szCs w:val="17"/>
                <w:color w:val="auto"/>
              </w:rPr>
            </w:pPr>
          </w:p>
        </w:tc>
        <w:tc>
          <w:tcPr>
            <w:tcW w:w="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10.67</w:t>
            </w:r>
          </w:p>
        </w:tc>
        <w:tc>
          <w:tcPr>
            <w:tcW w:w="120" w:type="dxa"/>
            <w:vAlign w:val="bottom"/>
            <w:shd w:val="clear" w:color="auto" w:fill="CCEEFF"/>
          </w:tcPr>
          <w:p>
            <w:pPr>
              <w:spacing w:after="0"/>
              <w:rPr>
                <w:sz w:val="17"/>
                <w:szCs w:val="17"/>
                <w:color w:val="auto"/>
              </w:rPr>
            </w:pPr>
          </w:p>
        </w:tc>
        <w:tc>
          <w:tcPr>
            <w:tcW w:w="10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Note Exchange and Purchase Agreement dated as of October 11, 2012 by and between VistaGen Therapeutics, Inc. and Platinum Long Term</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w w:val="96"/>
              </w:rPr>
              <w:t>Growth VII, LLP, incorporated by reference from Exhibit 10.1 to the Company’s Current Report on Form 8-K filed on October 16, 2012.</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10.69</w:t>
            </w:r>
          </w:p>
        </w:tc>
        <w:tc>
          <w:tcPr>
            <w:tcW w:w="120" w:type="dxa"/>
            <w:vAlign w:val="bottom"/>
          </w:tcPr>
          <w:p>
            <w:pPr>
              <w:spacing w:after="0"/>
              <w:rPr>
                <w:sz w:val="17"/>
                <w:szCs w:val="17"/>
                <w:color w:val="auto"/>
              </w:rPr>
            </w:pPr>
          </w:p>
        </w:tc>
        <w:tc>
          <w:tcPr>
            <w:tcW w:w="10380" w:type="dxa"/>
            <w:vAlign w:val="bottom"/>
          </w:tcPr>
          <w:p>
            <w:pPr>
              <w:spacing w:after="0" w:line="201" w:lineRule="exact"/>
              <w:rPr>
                <w:sz w:val="20"/>
                <w:szCs w:val="20"/>
                <w:color w:val="auto"/>
              </w:rPr>
            </w:pPr>
            <w:r>
              <w:rPr>
                <w:rFonts w:ascii="Arial" w:cs="Arial" w:eastAsia="Arial" w:hAnsi="Arial"/>
                <w:sz w:val="18"/>
                <w:szCs w:val="18"/>
                <w:color w:val="auto"/>
                <w:w w:val="90"/>
              </w:rPr>
              <w:t>Form of Warrant to Purchase Shares of Common Stock issued to Platinum Long Term Growth VII, LLP under the Note Exchange and Purchase</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0" w:type="dxa"/>
            <w:vAlign w:val="bottom"/>
            <w:gridSpan w:val="2"/>
          </w:tcPr>
          <w:p>
            <w:pPr>
              <w:spacing w:after="0"/>
              <w:rPr>
                <w:sz w:val="20"/>
                <w:szCs w:val="20"/>
                <w:color w:val="auto"/>
              </w:rPr>
            </w:pPr>
            <w:r>
              <w:rPr>
                <w:rFonts w:ascii="Arial" w:cs="Arial" w:eastAsia="Arial" w:hAnsi="Arial"/>
                <w:sz w:val="18"/>
                <w:szCs w:val="18"/>
                <w:color w:val="auto"/>
              </w:rPr>
              <w:t>Agreement, incorporated by reference from Exhibit 10.3 to the Company’s Current Report on Form 8-K filed on October 16, 2012.</w:t>
            </w:r>
          </w:p>
        </w:tc>
      </w:tr>
    </w:tbl>
    <w:p>
      <w:pPr>
        <w:sectPr>
          <w:pgSz w:w="11900" w:h="16838" w:orient="portrait"/>
          <w:cols w:equalWidth="0" w:num="1">
            <w:col w:w="11420"/>
          </w:cols>
          <w:pgMar w:left="240" w:top="130" w:right="239" w:bottom="292" w:gutter="0" w:footer="0" w:header="0"/>
        </w:sectPr>
      </w:pPr>
    </w:p>
    <w:bookmarkStart w:id="181" w:name="page182"/>
    <w:bookmarkEnd w:id="181"/>
    <w:p>
      <w:pPr>
        <w:jc w:val="center"/>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2" w:name="page183"/>
    <w:bookmarkEnd w:id="182"/>
    <w:p>
      <w:pPr>
        <w:spacing w:after="0" w:line="62" w:lineRule="exact"/>
        <w:rPr>
          <w:sz w:val="20"/>
          <w:szCs w:val="20"/>
          <w:color w:val="auto"/>
        </w:rPr>
      </w:pPr>
    </w:p>
    <w:p>
      <w:pPr>
        <w:spacing w:after="0"/>
        <w:rPr>
          <w:rFonts w:ascii="Arial" w:cs="Arial" w:eastAsia="Arial" w:hAnsi="Arial"/>
          <w:sz w:val="16"/>
          <w:szCs w:val="16"/>
          <w:i w:val="1"/>
          <w:iCs w:val="1"/>
          <w:u w:val="single" w:color="auto"/>
          <w:color w:val="0000EE"/>
        </w:rPr>
      </w:pPr>
      <w:hyperlink w:anchor="page4">
        <w:r>
          <w:rPr>
            <w:rFonts w:ascii="Arial" w:cs="Arial" w:eastAsia="Arial" w:hAnsi="Arial"/>
            <w:sz w:val="16"/>
            <w:szCs w:val="16"/>
            <w:i w:val="1"/>
            <w:iCs w:val="1"/>
            <w:u w:val="single" w:color="auto"/>
            <w:color w:val="0000EE"/>
          </w:rPr>
          <w:t>Table of Contents</w:t>
        </w:r>
      </w:hyperlink>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10.73</w:t>
            </w: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Amendment to Note Exchange and Purchase Agreement as of November 14, 2012 between VistaGen Therapeutics Inc. and Platinum Long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Term Growth VII, LLP, incorporated by reference from Exhibit 10.1 to the Company’s Current Report on Form 8-K filed on November 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10.75</w:t>
            </w:r>
          </w:p>
        </w:tc>
        <w:tc>
          <w:tcPr>
            <w:tcW w:w="10580" w:type="dxa"/>
            <w:vAlign w:val="bottom"/>
          </w:tcPr>
          <w:p>
            <w:pPr>
              <w:ind w:left="200"/>
              <w:spacing w:after="0" w:line="201" w:lineRule="exact"/>
              <w:rPr>
                <w:sz w:val="20"/>
                <w:szCs w:val="20"/>
                <w:color w:val="auto"/>
              </w:rPr>
            </w:pPr>
            <w:r>
              <w:rPr>
                <w:rFonts w:ascii="Arial" w:cs="Arial" w:eastAsia="Arial" w:hAnsi="Arial"/>
                <w:sz w:val="18"/>
                <w:szCs w:val="18"/>
                <w:color w:val="auto"/>
                <w:w w:val="90"/>
              </w:rPr>
              <w:t>Amendment No. 2 to Note Exchange and Purchase Agreement as of January 31, 2013 between VistaGen Therapeutics Inc. and Platinum Long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4"/>
              </w:rPr>
              <w:t>Term Growth VII, LLP, incorporated by reference from Exhibit 10.1 to the Company’s Quarterly Report on Form 10-Q filed on February 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10.76</w:t>
            </w:r>
          </w:p>
        </w:tc>
        <w:tc>
          <w:tcPr>
            <w:tcW w:w="10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Amendment No. 3 to Note Exchange and Purchase Agreement as of February 22, 2013 between VistaGen Therapeutics Inc. and Platinum Long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Term Growth VII, LLP, incorporated by reference from Exhibit 10.1 to the Company’s Current Report on Form 8-K filed on February 28,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10.77</w:t>
            </w:r>
          </w:p>
        </w:tc>
        <w:tc>
          <w:tcPr>
            <w:tcW w:w="10580" w:type="dxa"/>
            <w:vAlign w:val="bottom"/>
          </w:tcPr>
          <w:p>
            <w:pPr>
              <w:ind w:left="200"/>
              <w:spacing w:after="0" w:line="201" w:lineRule="exact"/>
              <w:rPr>
                <w:sz w:val="20"/>
                <w:szCs w:val="20"/>
                <w:color w:val="auto"/>
              </w:rPr>
            </w:pPr>
            <w:r>
              <w:rPr>
                <w:rFonts w:ascii="Arial" w:cs="Arial" w:eastAsia="Arial" w:hAnsi="Arial"/>
                <w:sz w:val="18"/>
                <w:szCs w:val="18"/>
                <w:color w:val="auto"/>
                <w:w w:val="90"/>
              </w:rPr>
              <w:t>Form of Warrant to Purchase Common Stock issued to independent members of the Company’s Board of Directors and its executive officers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March 3, 2013, incorporated by reference from Exhibit 10.1 to the Company’s Current Report on Form 8-K filed on March 6,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10.80</w:t>
            </w:r>
          </w:p>
        </w:tc>
        <w:tc>
          <w:tcPr>
            <w:tcW w:w="10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Note Conversion Agreement as of April 4, 2013 between VistaGen Therapeutics Inc. and Platinum Long Term Growth VII, LLP, incorporated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reference from Exhibit 10.3 to the Company’s Current Report on Form 8-K filed on April 10,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10.81</w:t>
            </w:r>
          </w:p>
        </w:tc>
        <w:tc>
          <w:tcPr>
            <w:tcW w:w="10580" w:type="dxa"/>
            <w:vAlign w:val="bottom"/>
          </w:tcPr>
          <w:p>
            <w:pPr>
              <w:ind w:left="200"/>
              <w:spacing w:after="0" w:line="201" w:lineRule="exact"/>
              <w:rPr>
                <w:sz w:val="20"/>
                <w:szCs w:val="20"/>
                <w:color w:val="auto"/>
              </w:rPr>
            </w:pPr>
            <w:r>
              <w:rPr>
                <w:rFonts w:ascii="Arial" w:cs="Arial" w:eastAsia="Arial" w:hAnsi="Arial"/>
                <w:sz w:val="18"/>
                <w:szCs w:val="18"/>
                <w:color w:val="auto"/>
                <w:w w:val="92"/>
              </w:rPr>
              <w:t>Assignment and Assumption Agreement between Autilion AG and Bergamo Acquisition Corp. PTE LTD dated April 12, 2013, incorporated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reference from Exhibit 10.81 to the Company’s Annual Report on Form 10-K filed July 18,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10.82</w:t>
            </w:r>
          </w:p>
        </w:tc>
        <w:tc>
          <w:tcPr>
            <w:tcW w:w="10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Amendment No. 1 to Securities Purchase Agreement dated April 30, 2013 between VistaGen Therapeutics, Inc. and Bergamo Acquisition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 PTE LTD, incorporated by reference from Exhibit 10.1 to the Company’s Current Report on Form 8-K filed on May 1,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10.83</w:t>
            </w:r>
          </w:p>
        </w:tc>
        <w:tc>
          <w:tcPr>
            <w:tcW w:w="10580" w:type="dxa"/>
            <w:vAlign w:val="bottom"/>
          </w:tcPr>
          <w:p>
            <w:pPr>
              <w:ind w:left="200"/>
              <w:spacing w:after="0" w:line="201" w:lineRule="exact"/>
              <w:rPr>
                <w:sz w:val="20"/>
                <w:szCs w:val="20"/>
                <w:color w:val="auto"/>
              </w:rPr>
            </w:pPr>
            <w:r>
              <w:rPr>
                <w:rFonts w:ascii="Arial" w:cs="Arial" w:eastAsia="Arial" w:hAnsi="Arial"/>
                <w:sz w:val="18"/>
                <w:szCs w:val="18"/>
                <w:color w:val="auto"/>
                <w:w w:val="92"/>
              </w:rPr>
              <w:t>Lease between Bayside Area Development, LLC and VistaGen Therapeutics, Inc. (California) dated April 24, 2013, incorporated by reference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from Exhibit 10.83 to the Company’s Annual Report on Form 10-K filed July 18,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10.84</w:t>
            </w:r>
          </w:p>
        </w:tc>
        <w:tc>
          <w:tcPr>
            <w:tcW w:w="10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Indemnification Agreement effective May 20, 2013 between the Company and Jon S. Saxe, incorporated by reference from Exhibit 10.84 to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Company's Annual Report on Form 10-K filed on July 18,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10.85</w:t>
            </w:r>
          </w:p>
        </w:tc>
        <w:tc>
          <w:tcPr>
            <w:tcW w:w="10580" w:type="dxa"/>
            <w:vAlign w:val="bottom"/>
          </w:tcPr>
          <w:p>
            <w:pPr>
              <w:ind w:left="200"/>
              <w:spacing w:after="0" w:line="201" w:lineRule="exact"/>
              <w:rPr>
                <w:sz w:val="20"/>
                <w:szCs w:val="20"/>
                <w:color w:val="auto"/>
              </w:rPr>
            </w:pPr>
            <w:r>
              <w:rPr>
                <w:rFonts w:ascii="Arial" w:cs="Arial" w:eastAsia="Arial" w:hAnsi="Arial"/>
                <w:sz w:val="18"/>
                <w:szCs w:val="18"/>
                <w:color w:val="auto"/>
                <w:w w:val="92"/>
              </w:rPr>
              <w:t>Indemnification Agreement effective May 20, 2013 between the Company and Shawn K. Singh, incorporated by reference from Exhibit 10.85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to the Company’s Annual Report on Form 10-K filed on July 18,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10.86</w:t>
            </w:r>
          </w:p>
        </w:tc>
        <w:tc>
          <w:tcPr>
            <w:tcW w:w="10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Indemnification Agreement effective May 20, 2013 between the Company and H. Ralph Snodgrass, incorporated by reference from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10.86 to the Company’s Annual Report on Form 10-K filed on July 18,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10.87</w:t>
            </w:r>
          </w:p>
        </w:tc>
        <w:tc>
          <w:tcPr>
            <w:tcW w:w="10580" w:type="dxa"/>
            <w:vAlign w:val="bottom"/>
          </w:tcPr>
          <w:p>
            <w:pPr>
              <w:ind w:left="200"/>
              <w:spacing w:after="0" w:line="201" w:lineRule="exact"/>
              <w:rPr>
                <w:sz w:val="20"/>
                <w:szCs w:val="20"/>
                <w:color w:val="auto"/>
              </w:rPr>
            </w:pPr>
            <w:r>
              <w:rPr>
                <w:rFonts w:ascii="Arial" w:cs="Arial" w:eastAsia="Arial" w:hAnsi="Arial"/>
                <w:sz w:val="18"/>
                <w:szCs w:val="18"/>
                <w:color w:val="auto"/>
                <w:w w:val="94"/>
              </w:rPr>
              <w:t>Indemnification Agreement effective May 20, 2013 between the Company and Brian J. Underdown, incorporated by reference from Exhibit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10.87 to the Company’s Annual Report on Form 10-K filed on July 18,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10.88</w:t>
            </w:r>
          </w:p>
        </w:tc>
        <w:tc>
          <w:tcPr>
            <w:tcW w:w="10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Indemnification Agreement effective May 20, 2013 between the Company and Jerrold D. Dotson, incorporated by reference from Exhibit 10.88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 the Company’s Annual Report on Form 10-K filed on July 18,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10.89</w:t>
            </w:r>
          </w:p>
        </w:tc>
        <w:tc>
          <w:tcPr>
            <w:tcW w:w="10580" w:type="dxa"/>
            <w:vAlign w:val="bottom"/>
          </w:tcPr>
          <w:p>
            <w:pPr>
              <w:ind w:left="200"/>
              <w:spacing w:after="0" w:line="201" w:lineRule="exact"/>
              <w:rPr>
                <w:sz w:val="20"/>
                <w:szCs w:val="20"/>
                <w:color w:val="auto"/>
              </w:rPr>
            </w:pPr>
            <w:r>
              <w:rPr>
                <w:rFonts w:ascii="Arial" w:cs="Arial" w:eastAsia="Arial" w:hAnsi="Arial"/>
                <w:sz w:val="18"/>
                <w:szCs w:val="18"/>
                <w:color w:val="auto"/>
                <w:w w:val="92"/>
              </w:rPr>
              <w:t>Amendment and Waiver effective May 24, 2013 between the Company and Platinum Long Term Growth VII, LLC, incorporated by reference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from Exhibit 10.1 to the Company’s Current Report on Form 8-K filed on June 3,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10.92</w:t>
            </w:r>
          </w:p>
        </w:tc>
        <w:tc>
          <w:tcPr>
            <w:tcW w:w="10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Common Stock Warrant, dated July 26, 2013 issued to Platinum Long Term Growth VII, LLP, incorporated by reference from Exhibit 10.2 to</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 Company’s Current Report on Form 8-K filed on August 2, 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10.93</w:t>
            </w:r>
          </w:p>
        </w:tc>
        <w:tc>
          <w:tcPr>
            <w:tcW w:w="10580" w:type="dxa"/>
            <w:vAlign w:val="bottom"/>
          </w:tcPr>
          <w:p>
            <w:pPr>
              <w:ind w:left="200"/>
              <w:spacing w:after="0" w:line="201" w:lineRule="exact"/>
              <w:rPr>
                <w:sz w:val="20"/>
                <w:szCs w:val="20"/>
                <w:color w:val="auto"/>
              </w:rPr>
            </w:pPr>
            <w:r>
              <w:rPr>
                <w:rFonts w:ascii="Arial" w:cs="Arial" w:eastAsia="Arial" w:hAnsi="Arial"/>
                <w:sz w:val="18"/>
                <w:szCs w:val="18"/>
                <w:color w:val="auto"/>
                <w:w w:val="91"/>
              </w:rPr>
              <w:t>Form of Subscription Agreement between the Company and investors in the Fall 2013 Unit Private Placement, incorporated by reference from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Exhibit 10.93 to the Company’s Annual Report on Form 10-K filed on June 24,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10.94</w:t>
            </w:r>
          </w:p>
        </w:tc>
        <w:tc>
          <w:tcPr>
            <w:tcW w:w="10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Form of Convertible Promissory Note between the Company and investors in the Fall 2013 Unit Private Placement, incorporated by reference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Exhibit 10.94 to the Company’s Annual Report on Form 10-K filed on June 24,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10.95</w:t>
            </w:r>
          </w:p>
        </w:tc>
        <w:tc>
          <w:tcPr>
            <w:tcW w:w="10580" w:type="dxa"/>
            <w:vAlign w:val="bottom"/>
          </w:tcPr>
          <w:p>
            <w:pPr>
              <w:ind w:left="200"/>
              <w:spacing w:after="0" w:line="201" w:lineRule="exact"/>
              <w:rPr>
                <w:sz w:val="20"/>
                <w:szCs w:val="20"/>
                <w:color w:val="auto"/>
              </w:rPr>
            </w:pPr>
            <w:r>
              <w:rPr>
                <w:rFonts w:ascii="Arial" w:cs="Arial" w:eastAsia="Arial" w:hAnsi="Arial"/>
                <w:sz w:val="18"/>
                <w:szCs w:val="18"/>
                <w:color w:val="auto"/>
                <w:w w:val="95"/>
              </w:rPr>
              <w:t>Form of Common Stock Purchase Warrant between the Company and investors in the Fall 2013 Unit Private Placement, incorporated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reference from Exhibit 10.95 to the Company’s Annual Report on Form 10-K filed on June 24,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10.96</w:t>
            </w:r>
          </w:p>
        </w:tc>
        <w:tc>
          <w:tcPr>
            <w:tcW w:w="10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Form of Amendment to Convertible Promissory Note and Warrant between the Company and investors in the Fall 2013 Unit Private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Placement, effective May 31, 2014, incorporated by reference from Exhibit 10.96 to the Company’s Annual Report on Form 10-K filed on June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24, 2014.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10.97</w:t>
            </w:r>
          </w:p>
        </w:tc>
        <w:tc>
          <w:tcPr>
            <w:tcW w:w="10580" w:type="dxa"/>
            <w:vAlign w:val="bottom"/>
          </w:tcPr>
          <w:p>
            <w:pPr>
              <w:ind w:left="200"/>
              <w:spacing w:after="0" w:line="201" w:lineRule="exact"/>
              <w:rPr>
                <w:sz w:val="20"/>
                <w:szCs w:val="20"/>
                <w:color w:val="auto"/>
              </w:rPr>
            </w:pPr>
            <w:r>
              <w:rPr>
                <w:rFonts w:ascii="Arial" w:cs="Arial" w:eastAsia="Arial" w:hAnsi="Arial"/>
                <w:sz w:val="18"/>
                <w:szCs w:val="18"/>
                <w:color w:val="auto"/>
                <w:w w:val="94"/>
              </w:rPr>
              <w:t>Form of Unit Subscription Agreement between the Company and investors in the Spring 2014 Unit Private Placement dated April 1, 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incorporated by reference from Exhibit 10.1 to the Company’s Current Report on Form 8-K filed on April 8,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10.98</w:t>
            </w:r>
          </w:p>
        </w:tc>
        <w:tc>
          <w:tcPr>
            <w:tcW w:w="10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Form of Subordinate Convertible Promissory Note between the Company and investors in the Spring 2014 Unit Private Placement dated April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 2014, incorporated by reference from Exhibit 10.2 to the Company’s Current Report on Form 8-K filed on April 8,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10.99</w:t>
            </w:r>
          </w:p>
        </w:tc>
        <w:tc>
          <w:tcPr>
            <w:tcW w:w="10580" w:type="dxa"/>
            <w:vAlign w:val="bottom"/>
          </w:tcPr>
          <w:p>
            <w:pPr>
              <w:ind w:left="200"/>
              <w:spacing w:after="0" w:line="201" w:lineRule="exact"/>
              <w:rPr>
                <w:sz w:val="20"/>
                <w:szCs w:val="20"/>
                <w:color w:val="auto"/>
              </w:rPr>
            </w:pPr>
            <w:r>
              <w:rPr>
                <w:rFonts w:ascii="Arial" w:cs="Arial" w:eastAsia="Arial" w:hAnsi="Arial"/>
                <w:sz w:val="18"/>
                <w:szCs w:val="18"/>
                <w:color w:val="auto"/>
                <w:w w:val="91"/>
              </w:rPr>
              <w:t>Form of Common Stock Purchase Warrant between the Company and investors in the Spring 2014 Unit Private Placement dated April 1, 2014,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incorporated by reference from Exhibit 10.3 to the Company’s Current Report on Form 8-K filed on April 8,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10.100</w:t>
            </w:r>
          </w:p>
        </w:tc>
        <w:tc>
          <w:tcPr>
            <w:tcW w:w="10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Common Stock Purchase Warrant between the Company and Platinum Long Term Growth Fund VII dated May 14, 2014, incorporated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reference from Exhibit 10.1 to the Company’s Current Report on Form 8-K filed on May 19,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10.103</w:t>
            </w:r>
          </w:p>
        </w:tc>
        <w:tc>
          <w:tcPr>
            <w:tcW w:w="10580" w:type="dxa"/>
            <w:vAlign w:val="bottom"/>
          </w:tcPr>
          <w:p>
            <w:pPr>
              <w:ind w:left="200"/>
              <w:spacing w:after="0" w:line="201" w:lineRule="exact"/>
              <w:rPr>
                <w:sz w:val="20"/>
                <w:szCs w:val="20"/>
                <w:color w:val="auto"/>
              </w:rPr>
            </w:pPr>
            <w:r>
              <w:rPr>
                <w:rFonts w:ascii="Arial" w:cs="Arial" w:eastAsia="Arial" w:hAnsi="Arial"/>
                <w:sz w:val="18"/>
                <w:szCs w:val="18"/>
                <w:color w:val="auto"/>
                <w:w w:val="93"/>
              </w:rPr>
              <w:t>Amendment No. 3 to Sponsored Research Collaboration Agreement, dated April 25, 2011, by and between VistaGen and University Health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Network, incorporated by reference from Exhibit 10.103 to the Company’s Annual Report on Form 10-K filed on June 24,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10.104</w:t>
            </w:r>
          </w:p>
        </w:tc>
        <w:tc>
          <w:tcPr>
            <w:tcW w:w="10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Amendment No. 5 to Sponsored Research Collaboration Agreement, dated October 10, 2012, by and between VistaGen and University Health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Network, incorporated by reference from Exhibit 10.104 to the Company’s Annual Report on Form 10-K filed on June 24,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10.105</w:t>
            </w:r>
          </w:p>
        </w:tc>
        <w:tc>
          <w:tcPr>
            <w:tcW w:w="10580" w:type="dxa"/>
            <w:vAlign w:val="bottom"/>
          </w:tcPr>
          <w:p>
            <w:pPr>
              <w:ind w:left="200"/>
              <w:spacing w:after="0" w:line="201" w:lineRule="exact"/>
              <w:rPr>
                <w:sz w:val="20"/>
                <w:szCs w:val="20"/>
                <w:color w:val="auto"/>
              </w:rPr>
            </w:pPr>
            <w:r>
              <w:rPr>
                <w:rFonts w:ascii="Arial" w:cs="Arial" w:eastAsia="Arial" w:hAnsi="Arial"/>
                <w:sz w:val="18"/>
                <w:szCs w:val="18"/>
                <w:color w:val="auto"/>
                <w:w w:val="90"/>
              </w:rPr>
              <w:t>Amended and Restated Note Conversion Agreement and Warrant Amendment, by and between VistaGen Therapeutics, Inc. and Platinum Long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3"/>
              </w:rPr>
              <w:t>Term Growth VII, LLC, dated July 18, 2014, incorporated by reference from Exhibit 10.1 to the Company’s Current Report on Form 8-K filed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on July 22,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10.106</w:t>
            </w:r>
          </w:p>
        </w:tc>
        <w:tc>
          <w:tcPr>
            <w:tcW w:w="10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Amendment No. 1 to Amended and Restated Note Conversion Agreement and Warrant Amendment, by and between VistaGen Therapeutics,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Inc. and Platinum Long Term Growth VII, LLC, dated September 2, 2014, incorporated by reference from Exhibit 10.1 to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Report on Form 8-K filed on September 4,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10.107</w:t>
            </w:r>
          </w:p>
        </w:tc>
        <w:tc>
          <w:tcPr>
            <w:tcW w:w="10580" w:type="dxa"/>
            <w:vAlign w:val="bottom"/>
          </w:tcPr>
          <w:p>
            <w:pPr>
              <w:ind w:left="200"/>
              <w:spacing w:after="0" w:line="201" w:lineRule="exact"/>
              <w:rPr>
                <w:sz w:val="20"/>
                <w:szCs w:val="20"/>
                <w:color w:val="auto"/>
              </w:rPr>
            </w:pPr>
            <w:r>
              <w:rPr>
                <w:rFonts w:ascii="Arial" w:cs="Arial" w:eastAsia="Arial" w:hAnsi="Arial"/>
                <w:sz w:val="18"/>
                <w:szCs w:val="18"/>
                <w:color w:val="auto"/>
                <w:w w:val="91"/>
              </w:rPr>
              <w:t>Amendment No. 2 to Amended and Restated Note Conversion Agreement and Warrant Amendment, by and between VistaGen Therapeutics,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w w:val="95"/>
              </w:rPr>
              <w:t>Inc. and Platinum Long Term Growth VII, LLC, dated September 30, 2014, incorporated by reference from Exhibit 10.1 to the Company’s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Current Report on Form 8-K filed on October 3,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10.108</w:t>
            </w:r>
          </w:p>
        </w:tc>
        <w:tc>
          <w:tcPr>
            <w:tcW w:w="10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Agreement, by and between VistaGen Therapeutics, Inc. and Platinum Long Term Growth VII, LLC, dated May 5, 2015, incorporated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reference from Exhibit 10.1 to the Company’s Current Report on Form 8-K filed on May 13, 2015.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10.109</w:t>
            </w:r>
          </w:p>
        </w:tc>
        <w:tc>
          <w:tcPr>
            <w:tcW w:w="10580" w:type="dxa"/>
            <w:vAlign w:val="bottom"/>
          </w:tcPr>
          <w:p>
            <w:pPr>
              <w:ind w:left="200"/>
              <w:spacing w:after="0" w:line="201" w:lineRule="exact"/>
              <w:rPr>
                <w:sz w:val="20"/>
                <w:szCs w:val="20"/>
                <w:color w:val="auto"/>
              </w:rPr>
            </w:pPr>
            <w:r>
              <w:rPr>
                <w:rFonts w:ascii="Arial" w:cs="Arial" w:eastAsia="Arial" w:hAnsi="Arial"/>
                <w:sz w:val="18"/>
                <w:szCs w:val="18"/>
                <w:color w:val="auto"/>
                <w:w w:val="94"/>
              </w:rPr>
              <w:t>Acknowledgement and Agreement, by and between VistaGen Therapeutics, Inc. and Platinum Long Term Growth VII, LLC, dated May 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tcPr>
          <w:p>
            <w:pPr>
              <w:ind w:left="200"/>
              <w:spacing w:after="0"/>
              <w:rPr>
                <w:sz w:val="20"/>
                <w:szCs w:val="20"/>
                <w:color w:val="auto"/>
              </w:rPr>
            </w:pPr>
            <w:r>
              <w:rPr>
                <w:rFonts w:ascii="Arial" w:cs="Arial" w:eastAsia="Arial" w:hAnsi="Arial"/>
                <w:sz w:val="18"/>
                <w:szCs w:val="18"/>
                <w:color w:val="auto"/>
              </w:rPr>
              <w:t>2015, incorporated by reference from Exhibit 10.2 to the Company’s Current Report on Form 8-K filed on May 13, 2015.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0" w:type="dxa"/>
            <w:vAlign w:val="bottom"/>
          </w:tcPr>
          <w:p>
            <w:pPr>
              <w:spacing w:after="0"/>
              <w:rPr>
                <w:sz w:val="18"/>
                <w:szCs w:val="18"/>
                <w:color w:val="auto"/>
              </w:rPr>
            </w:pPr>
          </w:p>
        </w:tc>
        <w:tc>
          <w:tcPr>
            <w:tcW w:w="10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10.110</w:t>
            </w:r>
          </w:p>
        </w:tc>
        <w:tc>
          <w:tcPr>
            <w:tcW w:w="10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Form of Securities Purchase Agreement by and between VistaGen Therapeutics, Inc. and Platinum Long Term Growth VII, LLC, dated May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12, 2015, incorporated by reference from Exhibit 10.3 to the Company’s Current Report on Form 8-K filed on May 13,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21.1*</w:t>
            </w:r>
          </w:p>
        </w:tc>
        <w:tc>
          <w:tcPr>
            <w:tcW w:w="10580" w:type="dxa"/>
            <w:vAlign w:val="bottom"/>
          </w:tcPr>
          <w:p>
            <w:pPr>
              <w:ind w:left="20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Consent of Disclosure Law Group (included in Exhibit 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23.2</w:t>
            </w:r>
          </w:p>
        </w:tc>
        <w:tc>
          <w:tcPr>
            <w:tcW w:w="10580" w:type="dxa"/>
            <w:vAlign w:val="bottom"/>
          </w:tcPr>
          <w:p>
            <w:pPr>
              <w:ind w:left="200"/>
              <w:spacing w:after="0"/>
              <w:rPr>
                <w:sz w:val="20"/>
                <w:szCs w:val="20"/>
                <w:color w:val="auto"/>
              </w:rPr>
            </w:pPr>
            <w:r>
              <w:rPr>
                <w:rFonts w:ascii="Arial" w:cs="Arial" w:eastAsia="Arial" w:hAnsi="Arial"/>
                <w:sz w:val="18"/>
                <w:szCs w:val="18"/>
                <w:color w:val="auto"/>
              </w:rPr>
              <w:t>Consent of OUM &amp; Co., LLP, independent registered public accounting firm (filed herewith).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24.1</w:t>
            </w:r>
          </w:p>
        </w:tc>
        <w:tc>
          <w:tcPr>
            <w:tcW w:w="10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Power of Attorney (included on signature page to this registration statement).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10580" w:type="dxa"/>
            <w:vAlign w:val="bottom"/>
          </w:tcPr>
          <w:p>
            <w:pPr>
              <w:ind w:left="2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0" w:right="239" w:bottom="0" w:gutter="0" w:footer="0" w:header="0"/>
        </w:sectPr>
      </w:pPr>
    </w:p>
    <w:bookmarkStart w:id="183" w:name="page184"/>
    <w:bookmarkEnd w:id="1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Schema</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Incorporated by reference from the like-numbered exhibit filed with our Current Report on Form 8-K on May 16, 2011.</w:t>
      </w:r>
    </w:p>
    <w:p>
      <w:pPr>
        <w:sectPr>
          <w:pgSz w:w="11900" w:h="16838" w:orient="portrait"/>
          <w:cols w:equalWidth="0" w:num="1">
            <w:col w:w="11420"/>
          </w:cols>
          <w:pgMar w:left="240" w:top="140"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hereby consent to the use, in the Prospectus constituting a part of this Registration Statement on Form S-1, of our report dated June 29, 2015 (which report expresses an unqualified opinion and includes an emphasis of matter paragraph concerning the ability of VistaGen Therapeutics, Inc. to continue as a going concern) relating to the consolidated financial statements of VistaGen Therapeutics, Inc., which is contained in that Prospectus.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OUM &amp; CO.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July 20,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
      <w:numFmt w:val="bullet"/>
      <w:start w:val="1"/>
    </w:lvl>
  </w:abstractNum>
  <w:abstractNum w:abstractNumId="6">
    <w:nsid w:val="684A481A"/>
    <w:multiLevelType w:val="hybridMultilevel"/>
    <w:lvl w:ilvl="0">
      <w:lvlJc w:val="left"/>
      <w:lvlText w:val="·"/>
      <w:numFmt w:val="bullet"/>
      <w:start w:val="1"/>
    </w:lvl>
  </w:abstractNum>
  <w:abstractNum w:abstractNumId="7">
    <w:nsid w:val="579478FE"/>
    <w:multiLevelType w:val="hybridMultilevel"/>
    <w:lvl w:ilvl="0">
      <w:lvlJc w:val="left"/>
      <w:lvlText w:val="·"/>
      <w:numFmt w:val="bullet"/>
      <w:start w:val="1"/>
    </w:lvl>
  </w:abstractNum>
  <w:abstractNum w:abstractNumId="8">
    <w:nsid w:val="749ABB43"/>
    <w:multiLevelType w:val="hybridMultilevel"/>
    <w:lvl w:ilvl="0">
      <w:lvlJc w:val="left"/>
      <w:lvlText w:val="·"/>
      <w:numFmt w:val="bullet"/>
      <w:start w:val="1"/>
    </w:lvl>
  </w:abstractNum>
  <w:abstractNum w:abstractNumId="9">
    <w:nsid w:val="3DC240FB"/>
    <w:multiLevelType w:val="hybridMultilevel"/>
    <w:lvl w:ilvl="0">
      <w:lvlJc w:val="left"/>
      <w:lvlText w:val="·"/>
      <w:numFmt w:val="bullet"/>
      <w:start w:val="1"/>
    </w:lvl>
    <w:lvl w:ilvl="1">
      <w:lvlJc w:val="left"/>
      <w:lvlText w:val="·"/>
      <w:numFmt w:val="bullet"/>
      <w:start w:val="1"/>
    </w:lvl>
  </w:abstractNum>
  <w:abstractNum w:abstractNumId="10">
    <w:nsid w:val="1BA026FA"/>
    <w:multiLevelType w:val="hybridMultilevel"/>
    <w:lvl w:ilvl="0">
      <w:lvlJc w:val="left"/>
      <w:lvlText w:val="·"/>
      <w:numFmt w:val="bullet"/>
      <w:start w:val="1"/>
    </w:lvl>
    <w:lvl w:ilvl="1">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abstractNum>
  <w:abstractNum w:abstractNumId="14">
    <w:nsid w:val="70C6A529"/>
    <w:multiLevelType w:val="hybridMultilevel"/>
    <w:lvl w:ilvl="0">
      <w:lvlJc w:val="left"/>
      <w:lvlText w:val="·"/>
      <w:numFmt w:val="bullet"/>
      <w:start w:val="1"/>
    </w:lvl>
  </w:abstractNum>
  <w:abstractNum w:abstractNumId="15">
    <w:nsid w:val="520EEDD1"/>
    <w:multiLevelType w:val="hybridMultilevel"/>
    <w:lvl w:ilvl="0">
      <w:lvlJc w:val="left"/>
      <w:lvlText w:val="·"/>
      <w:numFmt w:val="bullet"/>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
      <w:numFmt w:val="bullet"/>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1."/>
      <w:numFmt w:val="decimal"/>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
      <w:numFmt w:val="bullet"/>
      <w:start w:val="1"/>
    </w:lvl>
  </w:abstractNum>
  <w:abstractNum w:abstractNumId="28">
    <w:nsid w:val="741226BB"/>
    <w:multiLevelType w:val="hybridMultilevel"/>
    <w:lvl w:ilvl="0">
      <w:lvlJc w:val="left"/>
      <w:lvlText w:val="%1"/>
      <w:numFmt w:val="decimal"/>
      <w:start w:val="1"/>
    </w:lvl>
    <w:lvl w:ilvl="1">
      <w:lvlJc w:val="left"/>
      <w:lvlText w:val="%2."/>
      <w:numFmt w:val="decimal"/>
      <w:start w:val="1"/>
    </w:lvl>
  </w:abstractNum>
  <w:abstractNum w:abstractNumId="29">
    <w:nsid w:val="D34B6A8"/>
    <w:multiLevelType w:val="hybridMultilevel"/>
    <w:lvl w:ilvl="0">
      <w:lvlJc w:val="left"/>
      <w:lvlText w:val="%1."/>
      <w:numFmt w:val="decimal"/>
      <w:start w:val="3"/>
    </w:lvl>
    <w:lvl w:ilvl="1">
      <w:lvlJc w:val="left"/>
      <w:lvlText w:val="%2"/>
      <w:numFmt w:val="decimal"/>
      <w:start w:val="1"/>
    </w:lvl>
  </w:abstractNum>
  <w:abstractNum w:abstractNumId="30">
    <w:nsid w:val="10233C99"/>
    <w:multiLevelType w:val="hybridMultilevel"/>
    <w:lvl w:ilvl="0">
      <w:lvlJc w:val="left"/>
      <w:lvlText w:val="%1."/>
      <w:numFmt w:val="decimal"/>
      <w:start w:val="1"/>
    </w:lvl>
  </w:abstractNum>
  <w:abstractNum w:abstractNumId="31">
    <w:nsid w:val="3F6AB60F"/>
    <w:multiLevelType w:val="hybridMultilevel"/>
    <w:lvl w:ilvl="0">
      <w:lvlJc w:val="left"/>
      <w:lvlText w:val="%1."/>
      <w:numFmt w:val="decimal"/>
      <w:start w:val="1"/>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
      <w:numFmt w:val="bullet"/>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
      <w:numFmt w:val="bullet"/>
      <w:start w:val="1"/>
    </w:lvl>
  </w:abstractNum>
  <w:abstractNum w:abstractNumId="37">
    <w:nsid w:val="5FF87E05"/>
    <w:multiLevelType w:val="hybridMultilevel"/>
    <w:lvl w:ilvl="0">
      <w:lvlJc w:val="left"/>
      <w:lvlText w:val="·"/>
      <w:numFmt w:val="bullet"/>
      <w:start w:val="1"/>
    </w:lvl>
  </w:abstractNum>
  <w:abstractNum w:abstractNumId="38">
    <w:nsid w:val="2F305DEF"/>
    <w:multiLevelType w:val="hybridMultilevel"/>
    <w:lvl w:ilvl="0">
      <w:lvlJc w:val="left"/>
      <w:lvlText w:val="·"/>
      <w:numFmt w:val="bullet"/>
      <w:start w:val="1"/>
    </w:lvl>
  </w:abstractNum>
  <w:abstractNum w:abstractNumId="39">
    <w:nsid w:val="25A70BF7"/>
    <w:multiLevelType w:val="hybridMultilevel"/>
    <w:lvl w:ilvl="0">
      <w:lvlJc w:val="left"/>
      <w:lvlText w:val="(%1)"/>
      <w:numFmt w:val="lowerRoman"/>
      <w:start w:val="1"/>
    </w:lvl>
  </w:abstractNum>
  <w:abstractNum w:abstractNumId="40">
    <w:nsid w:val="1DBABF00"/>
    <w:multiLevelType w:val="hybridMultilevel"/>
    <w:lvl w:ilvl="0">
      <w:lvlJc w:val="left"/>
      <w:lvlText w:val="(%1)"/>
      <w:numFmt w:val="lowerRoman"/>
      <w:start w:val="4"/>
    </w:lvl>
  </w:abstractNum>
  <w:abstractNum w:abstractNumId="41">
    <w:nsid w:val="4AD084E9"/>
    <w:multiLevelType w:val="hybridMultilevel"/>
    <w:lvl w:ilvl="0">
      <w:lvlJc w:val="left"/>
      <w:lvlText w:val="·"/>
      <w:numFmt w:val="bullet"/>
      <w:start w:val="1"/>
    </w:lvl>
  </w:abstractNum>
  <w:abstractNum w:abstractNumId="42">
    <w:nsid w:val="1F48EAA1"/>
    <w:multiLevelType w:val="hybridMultilevel"/>
    <w:lvl w:ilvl="0">
      <w:lvlJc w:val="left"/>
      <w:lvlText w:val="·"/>
      <w:numFmt w:val="bullet"/>
      <w:start w:val="1"/>
    </w:lvl>
  </w:abstractNum>
  <w:abstractNum w:abstractNumId="43">
    <w:nsid w:val="1381823A"/>
    <w:multiLevelType w:val="hybridMultilevel"/>
    <w:lvl w:ilvl="0">
      <w:lvlJc w:val="left"/>
      <w:lvlText w:val="·"/>
      <w:numFmt w:val="bullet"/>
      <w:start w:val="1"/>
    </w:lvl>
    <w:lvl w:ilvl="1">
      <w:lvlJc w:val="left"/>
      <w:lvlText w:val="·"/>
      <w:numFmt w:val="bullet"/>
      <w:start w:val="1"/>
    </w:lvl>
  </w:abstractNum>
  <w:abstractNum w:abstractNumId="44">
    <w:nsid w:val="5DB70AE5"/>
    <w:multiLevelType w:val="hybridMultilevel"/>
    <w:lvl w:ilvl="0">
      <w:lvlJc w:val="left"/>
      <w:lvlText w:val="(%1)"/>
      <w:numFmt w:val="decimal"/>
      <w:start w:val="1"/>
    </w:lvl>
  </w:abstractNum>
  <w:abstractNum w:abstractNumId="45">
    <w:nsid w:val="100F8FCA"/>
    <w:multiLevelType w:val="hybridMultilevel"/>
    <w:lvl w:ilvl="0">
      <w:lvlJc w:val="left"/>
      <w:lvlText w:val="·"/>
      <w:numFmt w:val="bullet"/>
      <w:start w:val="1"/>
    </w:lvl>
  </w:abstractNum>
  <w:abstractNum w:abstractNumId="46">
    <w:nsid w:val="6590700B"/>
    <w:multiLevelType w:val="hybridMultilevel"/>
    <w:lvl w:ilvl="0">
      <w:lvlJc w:val="left"/>
      <w:lvlText w:val="·"/>
      <w:numFmt w:val="bullet"/>
      <w:start w:val="1"/>
    </w:lvl>
  </w:abstractNum>
  <w:abstractNum w:abstractNumId="47">
    <w:nsid w:val="15014ACB"/>
    <w:multiLevelType w:val="hybridMultilevel"/>
    <w:lvl w:ilvl="0">
      <w:lvlJc w:val="left"/>
      <w:lvlText w:val="·"/>
      <w:numFmt w:val="bullet"/>
      <w:start w:val="1"/>
    </w:lvl>
  </w:abstractNum>
  <w:abstractNum w:abstractNumId="48">
    <w:nsid w:val="5F5E7FD0"/>
    <w:multiLevelType w:val="hybridMultilevel"/>
    <w:lvl w:ilvl="0">
      <w:lvlJc w:val="left"/>
      <w:lvlText w:val="(%1)"/>
      <w:numFmt w:val="lowerLetter"/>
      <w:start w:val="1"/>
    </w:lvl>
  </w:abstractNum>
  <w:abstractNum w:abstractNumId="49">
    <w:nsid w:val="98A3148"/>
    <w:multiLevelType w:val="hybridMultilevel"/>
    <w:lvl w:ilvl="0">
      <w:lvlJc w:val="left"/>
      <w:lvlText w:val="(%1)"/>
      <w:numFmt w:val="lowerLetter"/>
      <w:start w:val="3"/>
    </w:lvl>
    <w:lvl w:ilvl="1">
      <w:lvlJc w:val="left"/>
      <w:lvlText w:val="·"/>
      <w:numFmt w:val="bullet"/>
      <w:start w:val="1"/>
    </w:lvl>
  </w:abstractNum>
  <w:abstractNum w:abstractNumId="50">
    <w:nsid w:val="799D0247"/>
    <w:multiLevelType w:val="hybridMultilevel"/>
    <w:lvl w:ilvl="0">
      <w:lvlJc w:val="left"/>
      <w:lvlText w:val="(%1)"/>
      <w:numFmt w:val="lowerLetter"/>
      <w:start w:val="6"/>
    </w:lvl>
  </w:abstractNum>
  <w:abstractNum w:abstractNumId="51">
    <w:nsid w:val="6B94764"/>
    <w:multiLevelType w:val="hybridMultilevel"/>
    <w:lvl w:ilvl="0">
      <w:lvlJc w:val="left"/>
      <w:lvlText w:val="·"/>
      <w:numFmt w:val="bullet"/>
      <w:start w:val="1"/>
    </w:lvl>
  </w:abstractNum>
  <w:abstractNum w:abstractNumId="52">
    <w:nsid w:val="42C296BD"/>
    <w:multiLevelType w:val="hybridMultilevel"/>
    <w:lvl w:ilvl="0">
      <w:lvlJc w:val="left"/>
      <w:lvlText w:val="(%1)"/>
      <w:numFmt w:val="decimal"/>
      <w:start w:val="1"/>
    </w:lvl>
  </w:abstractNum>
  <w:abstractNum w:abstractNumId="53">
    <w:nsid w:val="168E121F"/>
    <w:multiLevelType w:val="hybridMultilevel"/>
    <w:lvl w:ilvl="0">
      <w:lvlJc w:val="left"/>
      <w:lvlText w:val="(%1)"/>
      <w:numFmt w:val="decimal"/>
      <w:start w:val="4"/>
    </w:lvl>
  </w:abstractNum>
  <w:abstractNum w:abstractNumId="54">
    <w:nsid w:val="1EBA5D23"/>
    <w:multiLevelType w:val="hybridMultilevel"/>
    <w:lvl w:ilvl="0">
      <w:lvlJc w:val="left"/>
      <w:lvlText w:val="(%1)"/>
      <w:numFmt w:val="decimal"/>
      <w:start w:val="12"/>
    </w:lvl>
  </w:abstractNum>
  <w:abstractNum w:abstractNumId="55">
    <w:nsid w:val="661E3F1E"/>
    <w:multiLevelType w:val="hybridMultilevel"/>
    <w:lvl w:ilvl="0">
      <w:lvlJc w:val="left"/>
      <w:lvlText w:val="(%1)"/>
      <w:numFmt w:val="lowerLetter"/>
      <w:start w:val="1"/>
    </w:lvl>
  </w:abstractNum>
  <w:abstractNum w:abstractNumId="56">
    <w:nsid w:val="5DC79EA8"/>
    <w:multiLevelType w:val="hybridMultilevel"/>
    <w:lvl w:ilvl="0">
      <w:lvlJc w:val="left"/>
      <w:lvlText w:val="(%1)"/>
      <w:numFmt w:val="decimal"/>
      <w:start w:val="1"/>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
      <w:numFmt w:val="bullet"/>
      <w:start w:val="1"/>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1)"/>
      <w:numFmt w:val="decimal"/>
      <w:start w:val="8"/>
    </w:lvl>
  </w:abstractNum>
  <w:abstractNum w:abstractNumId="64">
    <w:nsid w:val="A0382C5"/>
    <w:multiLevelType w:val="hybridMultilevel"/>
    <w:lvl w:ilvl="0">
      <w:lvlJc w:val="left"/>
      <w:lvlText w:val="(%1)"/>
      <w:numFmt w:val="decimal"/>
      <w:start w:val="10"/>
    </w:lvl>
  </w:abstractNum>
  <w:abstractNum w:abstractNumId="65">
    <w:nsid w:val="8F2B15E"/>
    <w:multiLevelType w:val="hybridMultilevel"/>
    <w:lvl w:ilvl="0">
      <w:lvlJc w:val="left"/>
      <w:lvlText w:val="·"/>
      <w:numFmt w:val="bullet"/>
      <w:start w:val="1"/>
    </w:lvl>
  </w:abstractNum>
  <w:abstractNum w:abstractNumId="66">
    <w:nsid w:val="1A32234B"/>
    <w:multiLevelType w:val="hybridMultilevel"/>
    <w:lvl w:ilvl="0">
      <w:lvlJc w:val="left"/>
      <w:lvlText w:val="·"/>
      <w:numFmt w:val="bullet"/>
      <w:start w:val="1"/>
    </w:lvl>
  </w:abstractNum>
  <w:abstractNum w:abstractNumId="67">
    <w:nsid w:val="3B0FD379"/>
    <w:multiLevelType w:val="hybridMultilevel"/>
    <w:lvl w:ilvl="0">
      <w:lvlJc w:val="left"/>
      <w:lvlText w:val="·"/>
      <w:numFmt w:val="bullet"/>
      <w:start w:val="1"/>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o"/>
      <w:numFmt w:val="bullet"/>
      <w:start w:val="1"/>
    </w:lvl>
  </w:abstractNum>
  <w:abstractNum w:abstractNumId="70">
    <w:nsid w:val="60B6DF70"/>
    <w:multiLevelType w:val="hybridMultilevel"/>
    <w:lvl w:ilvl="0">
      <w:lvlJc w:val="left"/>
      <w:lvlText w:val="·"/>
      <w:numFmt w:val="bullet"/>
      <w:start w:val="1"/>
    </w:lvl>
    <w:lvl w:ilvl="1">
      <w:lvlJc w:val="left"/>
      <w:lvlText w:val="o"/>
      <w:numFmt w:val="bullet"/>
      <w:start w:val="1"/>
    </w:lvl>
  </w:abstractNum>
  <w:abstractNum w:abstractNumId="71">
    <w:nsid w:val="6A5EE64"/>
    <w:multiLevelType w:val="hybridMultilevel"/>
    <w:lvl w:ilvl="0">
      <w:lvlJc w:val="left"/>
      <w:lvlText w:val="·"/>
      <w:numFmt w:val="bullet"/>
      <w:start w:val="1"/>
    </w:lvl>
  </w:abstractNum>
  <w:abstractNum w:abstractNumId="72">
    <w:nsid w:val="14330624"/>
    <w:multiLevelType w:val="hybridMultilevel"/>
    <w:lvl w:ilvl="0">
      <w:lvlJc w:val="left"/>
      <w:lvlText w:val="(%1)"/>
      <w:numFmt w:val="decimal"/>
      <w:start w:val="1"/>
    </w:lvl>
  </w:abstractNum>
  <w:abstractNum w:abstractNumId="73">
    <w:nsid w:val="7FFFCA11"/>
    <w:multiLevelType w:val="hybridMultilevel"/>
    <w:lvl w:ilvl="0">
      <w:lvlJc w:val="left"/>
      <w:lvlText w:val="(%1)"/>
      <w:numFmt w:val="decimal"/>
      <w:start w:val="6"/>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1)"/>
      <w:numFmt w:val="lowerRoman"/>
      <w:start w:val="3"/>
    </w:lvl>
    <w:lvl w:ilvl="1">
      <w:lvlJc w:val="left"/>
      <w:lvlText w:val="·"/>
      <w:numFmt w:val="bullet"/>
      <w:start w:val="1"/>
    </w:lvl>
  </w:abstractNum>
  <w:abstractNum w:abstractNumId="77">
    <w:nsid w:val="7FB7E0AA"/>
    <w:multiLevelType w:val="hybridMultilevel"/>
    <w:lvl w:ilvl="0">
      <w:lvlJc w:val="left"/>
      <w:lvlText w:val="·"/>
      <w:numFmt w:val="bullet"/>
      <w:start w:val="1"/>
    </w:lvl>
  </w:abstractNum>
  <w:abstractNum w:abstractNumId="78">
    <w:nsid w:val="6EB5BD4"/>
    <w:multiLevelType w:val="hybridMultilevel"/>
    <w:lvl w:ilvl="0">
      <w:lvlJc w:val="left"/>
      <w:lvlText w:val="·"/>
      <w:numFmt w:val="bullet"/>
      <w:start w:val="1"/>
    </w:lvl>
  </w:abstractNum>
  <w:abstractNum w:abstractNumId="79">
    <w:nsid w:val="6F6DD9AC"/>
    <w:multiLevelType w:val="hybridMultilevel"/>
    <w:lvl w:ilvl="0">
      <w:lvlJc w:val="left"/>
      <w:lvlText w:val="(%1)"/>
      <w:numFmt w:val="decimal"/>
      <w:start w:val="1"/>
    </w:lvl>
  </w:abstractNum>
  <w:abstractNum w:abstractNumId="80">
    <w:nsid w:val="94211F2"/>
    <w:multiLevelType w:val="hybridMultilevel"/>
    <w:lvl w:ilvl="0">
      <w:lvlJc w:val="left"/>
      <w:lvlText w:val="·"/>
      <w:numFmt w:val="bullet"/>
      <w:start w:val="1"/>
    </w:lvl>
  </w:abstractNum>
  <w:abstractNum w:abstractNumId="81">
    <w:nsid w:val="885E1B"/>
    <w:multiLevelType w:val="hybridMultilevel"/>
    <w:lvl w:ilvl="0">
      <w:lvlJc w:val="left"/>
      <w:lvlText w:val="(%1)"/>
      <w:numFmt w:val="decimal"/>
      <w:start w:val="1"/>
    </w:lvl>
  </w:abstractNum>
  <w:abstractNum w:abstractNumId="82">
    <w:nsid w:val="76272110"/>
    <w:multiLevelType w:val="hybridMultilevel"/>
    <w:lvl w:ilvl="0">
      <w:lvlJc w:val="left"/>
      <w:lvlText w:val="&amp;"/>
      <w:numFmt w:val="bullet"/>
      <w:start w:val="1"/>
    </w:lvl>
  </w:abstractNum>
  <w:abstractNum w:abstractNumId="83">
    <w:nsid w:val="4C04A8AF"/>
    <w:multiLevelType w:val="hybridMultilevel"/>
    <w:lvl w:ilvl="0">
      <w:lvlJc w:val="left"/>
      <w:lvlText w:val="·"/>
      <w:numFmt w:val="bullet"/>
      <w:start w:val="1"/>
    </w:lvl>
  </w:abstractNum>
  <w:abstractNum w:abstractNumId="84">
    <w:nsid w:val="1716703B"/>
    <w:multiLevelType w:val="hybridMultilevel"/>
    <w:lvl w:ilvl="0">
      <w:lvlJc w:val="left"/>
      <w:lvlText w:val="·"/>
      <w:numFmt w:val="bullet"/>
      <w:start w:val="1"/>
    </w:lvl>
  </w:abstractNum>
  <w:abstractNum w:abstractNumId="85">
    <w:nsid w:val="14E17E33"/>
    <w:multiLevelType w:val="hybridMultilevel"/>
    <w:lvl w:ilvl="0">
      <w:lvlJc w:val="left"/>
      <w:lvlText w:val="(%1)"/>
      <w:numFmt w:val="lowerRoman"/>
      <w:start w:val="3"/>
    </w:lvl>
  </w:abstractNum>
  <w:abstractNum w:abstractNumId="86">
    <w:nsid w:val="3222E7CD"/>
    <w:multiLevelType w:val="hybridMultilevel"/>
    <w:lvl w:ilvl="0">
      <w:lvlJc w:val="left"/>
      <w:lvlText w:val="(%1)"/>
      <w:numFmt w:val="decimal"/>
      <w:start w:val="1"/>
    </w:lvl>
  </w:abstractNum>
  <w:abstractNum w:abstractNumId="87">
    <w:nsid w:val="74DE0EE3"/>
    <w:multiLevelType w:val="hybridMultilevel"/>
    <w:lvl w:ilvl="0">
      <w:lvlJc w:val="left"/>
      <w:lvlText w:val="·"/>
      <w:numFmt w:val="bullet"/>
      <w:start w:val="1"/>
    </w:lvl>
  </w:abstractNum>
  <w:abstractNum w:abstractNumId="88">
    <w:nsid w:val="68EBC550"/>
    <w:multiLevelType w:val="hybridMultilevel"/>
    <w:lvl w:ilvl="0">
      <w:lvlJc w:val="left"/>
      <w:lvlText w:val="·"/>
      <w:numFmt w:val="bullet"/>
      <w:start w:val="1"/>
    </w:lvl>
    <w:lvl w:ilvl="1">
      <w:lvlJc w:val="left"/>
      <w:lvlText w:val="o"/>
      <w:numFmt w:val="bullet"/>
      <w:start w:val="1"/>
    </w:lvl>
  </w:abstractNum>
  <w:abstractNum w:abstractNumId="89">
    <w:nsid w:val="2DF6D648"/>
    <w:multiLevelType w:val="hybridMultilevel"/>
    <w:lvl w:ilvl="0">
      <w:lvlJc w:val="left"/>
      <w:lvlText w:val="(%1)"/>
      <w:numFmt w:val="lowerLetter"/>
      <w:start w:val="1"/>
    </w:lvl>
  </w:abstractNum>
  <w:abstractNum w:abstractNumId="90">
    <w:nsid w:val="46B7D447"/>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lvl w:ilvl="3">
      <w:lvlJc w:val="left"/>
      <w:lvlText w:val="(%4)"/>
      <w:numFmt w:val="decimal"/>
      <w:start w:val="4"/>
    </w:lvl>
    <w:lvl w:ilvl="4">
      <w:lvlJc w:val="left"/>
      <w:lvlText w:val="(%5)"/>
      <w:numFmt w:val="decimal"/>
      <w:start w:val="1"/>
    </w:lvl>
    <w:lvl w:ilvl="5">
      <w:lvlJc w:val="left"/>
      <w:lvlText w:val="(%6)"/>
      <w:numFmt w:val="lowerRoman"/>
      <w:start w:val="1"/>
    </w:lvl>
    <w:lvl w:ilvl="6">
      <w:lvlJc w:val="left"/>
      <w:lvlText w:val="(%7)"/>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2020-01-24T00:04:51Z</dcterms:created>
  <dcterms:modified xsi:type="dcterms:W3CDTF">2020-01-24T00:04:51Z</dcterms:modified>
</cp:coreProperties>
</file>