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60" w:right="1920" w:hanging="325"/>
        <w:spacing w:after="0" w:line="261"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360" w:right="1900" w:hanging="289"/>
        <w:spacing w:after="0" w:line="26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 .</w:t>
      </w:r>
    </w:p>
    <w:p>
      <w:pPr>
        <w:spacing w:after="0" w:line="207"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91"/>
              </w:rPr>
              <w:t>Commission File Number: 000-54014</w:t>
            </w:r>
          </w:p>
        </w:tc>
      </w:tr>
      <w:tr>
        <w:trPr>
          <w:trHeight w:val="419"/>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4"/>
          </w:tcPr>
          <w:p>
            <w:pPr>
              <w:jc w:val="center"/>
              <w:ind w:right="2440"/>
              <w:spacing w:after="0"/>
              <w:rPr>
                <w:sz w:val="20"/>
                <w:szCs w:val="20"/>
                <w:color w:val="auto"/>
              </w:rPr>
            </w:pPr>
            <w:r>
              <w:rPr>
                <w:rFonts w:ascii="Arial" w:cs="Arial" w:eastAsia="Arial" w:hAnsi="Arial"/>
                <w:sz w:val="22"/>
                <w:szCs w:val="22"/>
                <w:b w:val="1"/>
                <w:bCs w:val="1"/>
                <w:color w:val="auto"/>
                <w:w w:val="89"/>
              </w:rPr>
              <w:t>VistaGen Therapeutics, Inc.</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60" w:type="dxa"/>
            <w:vAlign w:val="bottom"/>
            <w:gridSpan w:val="5"/>
          </w:tcPr>
          <w:p>
            <w:pPr>
              <w:jc w:val="center"/>
              <w:ind w:right="178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194"/>
        </w:trPr>
        <w:tc>
          <w:tcPr>
            <w:tcW w:w="840" w:type="dxa"/>
            <w:vAlign w:val="bottom"/>
          </w:tcPr>
          <w:p>
            <w:pPr>
              <w:spacing w:after="0"/>
              <w:rPr>
                <w:sz w:val="16"/>
                <w:szCs w:val="16"/>
                <w:color w:val="auto"/>
              </w:rPr>
            </w:pPr>
          </w:p>
        </w:tc>
        <w:tc>
          <w:tcPr>
            <w:tcW w:w="5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Nevada</w:t>
            </w:r>
          </w:p>
        </w:tc>
        <w:tc>
          <w:tcPr>
            <w:tcW w:w="860" w:type="dxa"/>
            <w:vAlign w:val="bottom"/>
          </w:tcPr>
          <w:p>
            <w:pPr>
              <w:spacing w:after="0"/>
              <w:rPr>
                <w:sz w:val="16"/>
                <w:szCs w:val="16"/>
                <w:color w:val="auto"/>
              </w:rPr>
            </w:pPr>
          </w:p>
        </w:tc>
        <w:tc>
          <w:tcPr>
            <w:tcW w:w="4560" w:type="dxa"/>
            <w:vAlign w:val="bottom"/>
            <w:gridSpan w:val="3"/>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20-5093315</w:t>
            </w:r>
          </w:p>
        </w:tc>
        <w:tc>
          <w:tcPr>
            <w:tcW w:w="220" w:type="dxa"/>
            <w:vAlign w:val="bottom"/>
          </w:tcPr>
          <w:p>
            <w:pPr>
              <w:spacing w:after="0"/>
              <w:rPr>
                <w:sz w:val="16"/>
                <w:szCs w:val="16"/>
                <w:color w:val="auto"/>
              </w:rPr>
            </w:pPr>
          </w:p>
        </w:tc>
      </w:tr>
      <w:tr>
        <w:trPr>
          <w:trHeight w:val="222"/>
        </w:trPr>
        <w:tc>
          <w:tcPr>
            <w:tcW w:w="228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4"/>
              </w:rPr>
              <w:t>(State or other jurisdiction of</w:t>
            </w:r>
          </w:p>
        </w:tc>
        <w:tc>
          <w:tcPr>
            <w:tcW w:w="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4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8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5"/>
              </w:rPr>
              <w:t>incorporation or organization)</w:t>
            </w:r>
          </w:p>
        </w:tc>
        <w:tc>
          <w:tcPr>
            <w:tcW w:w="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4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760" w:space="720"/>
            <w:col w:w="2660" w:space="720"/>
            <w:col w:w="2700" w:space="720"/>
            <w:col w:w="1140"/>
          </w:cols>
          <w:pgMar w:left="240" w:top="31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310"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10, 2014, 23,361,877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6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31, 2013 and March 31, 2013</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for the three and nine months ended December 31, 2013 and</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gridSpan w:val="4"/>
            <w:shd w:val="clear" w:color="auto" w:fill="CCEEFF"/>
          </w:tcPr>
          <w:p>
            <w:pPr>
              <w:ind w:left="3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2012</w:t>
              </w:r>
            </w:hyperlink>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2013 and 2012</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gridSpan w:val="1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6800" w:type="dxa"/>
            <w:vAlign w:val="bottom"/>
            <w:tcBorders>
              <w:top w:val="single" w:sz="8" w:color="CCEEFF"/>
            </w:tcBorders>
            <w:gridSpan w:val="8"/>
          </w:tcPr>
          <w:p>
            <w:pPr>
              <w:jc w:val="center"/>
              <w:ind w:right="3540"/>
              <w:spacing w:after="0"/>
              <w:rPr>
                <w:sz w:val="20"/>
                <w:szCs w:val="20"/>
                <w:color w:val="auto"/>
              </w:rPr>
            </w:pPr>
            <w:r>
              <w:rPr>
                <w:rFonts w:ascii="Arial" w:cs="Arial" w:eastAsia="Arial" w:hAnsi="Arial"/>
                <w:sz w:val="18"/>
                <w:szCs w:val="18"/>
                <w:b w:val="1"/>
                <w:bCs w:val="1"/>
                <w:color w:val="auto"/>
              </w:rPr>
              <w:t>PART II. OTHER INFORMATION</w:t>
            </w:r>
          </w:p>
        </w:tc>
        <w:tc>
          <w:tcPr>
            <w:tcW w:w="10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1.</w:t>
              </w:r>
            </w:hyperlink>
          </w:p>
        </w:tc>
        <w:tc>
          <w:tcPr>
            <w:tcW w:w="9800" w:type="dxa"/>
            <w:vAlign w:val="bottom"/>
            <w:gridSpan w:val="15"/>
            <w:shd w:val="clear" w:color="auto" w:fill="CCEEFF"/>
          </w:tcPr>
          <w:p>
            <w:pPr>
              <w:ind w:left="4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2.</w:t>
              </w:r>
            </w:hyperlink>
          </w:p>
        </w:tc>
        <w:tc>
          <w:tcPr>
            <w:tcW w:w="9800" w:type="dxa"/>
            <w:vAlign w:val="bottom"/>
            <w:gridSpan w:val="15"/>
            <w:shd w:val="clear" w:color="auto" w:fill="CCEEFF"/>
          </w:tcPr>
          <w:p>
            <w:pPr>
              <w:ind w:left="4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9800" w:type="dxa"/>
            <w:vAlign w:val="bottom"/>
            <w:gridSpan w:val="15"/>
            <w:shd w:val="clear" w:color="auto" w:fill="CCEEFF"/>
          </w:tcPr>
          <w:p>
            <w:pPr>
              <w:ind w:left="4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Secured Securities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6.</w:t>
              </w:r>
            </w:hyperlink>
          </w:p>
        </w:tc>
        <w:tc>
          <w:tcPr>
            <w:tcW w:w="9800" w:type="dxa"/>
            <w:vAlign w:val="bottom"/>
            <w:gridSpan w:val="15"/>
            <w:shd w:val="clear" w:color="auto" w:fill="CCEEFF"/>
          </w:tcPr>
          <w:p>
            <w:pPr>
              <w:ind w:left="4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40" w:type="dxa"/>
            <w:vAlign w:val="bottom"/>
            <w:gridSpan w:val="17"/>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0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40" w:type="dxa"/>
            <w:vAlign w:val="bottom"/>
          </w:tcPr>
          <w:p>
            <w:pPr>
              <w:jc w:val="center"/>
              <w:ind w:left="2890"/>
              <w:spacing w:after="0"/>
              <w:rPr>
                <w:sz w:val="20"/>
                <w:szCs w:val="20"/>
                <w:color w:val="auto"/>
              </w:rPr>
            </w:pPr>
            <w:r>
              <w:rPr>
                <w:rFonts w:ascii="Arial" w:cs="Arial" w:eastAsia="Arial" w:hAnsi="Arial"/>
                <w:sz w:val="18"/>
                <w:szCs w:val="18"/>
                <w:b w:val="1"/>
                <w:bCs w:val="1"/>
                <w:color w:val="auto"/>
              </w:rPr>
              <w:t>VISTAGEN THERAPEUTICS, INC.</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(a development stage company)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tcPr>
          <w:p>
            <w:pPr>
              <w:jc w:val="center"/>
              <w:ind w:left="291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40" w:type="dxa"/>
            <w:vAlign w:val="bottom"/>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(Note 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638,100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70,600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Borders>
              <w:right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671,800</w:t>
            </w:r>
          </w:p>
        </w:tc>
        <w:tc>
          <w:tcPr>
            <w:tcW w:w="0" w:type="dxa"/>
            <w:vAlign w:val="bottom"/>
          </w:tcPr>
          <w:p>
            <w:pPr>
              <w:spacing w:after="0"/>
              <w:rPr>
                <w:sz w:val="1"/>
                <w:szCs w:val="1"/>
                <w:color w:val="auto"/>
              </w:rPr>
            </w:pPr>
          </w:p>
        </w:tc>
      </w:tr>
      <w:tr>
        <w:trPr>
          <w:trHeight w:val="216"/>
        </w:trPr>
        <w:tc>
          <w:tcPr>
            <w:tcW w:w="844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190,700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180,700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
        </w:trPr>
        <w:tc>
          <w:tcPr>
            <w:tcW w:w="84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328,900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881,500</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Borders>
              <w:right w:val="single" w:sz="8" w:color="CCEEFF"/>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2,256,600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1,353,600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342,900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Advance from officer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638,600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617,200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portion of notes payable to related parties and accrued interest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w w:val="97"/>
              </w:rPr>
              <w:t>Convertible promissory notes and accrued interest, net of discount of $423,900 at December 31, 2013</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169,200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7"/>
        </w:trPr>
        <w:tc>
          <w:tcPr>
            <w:tcW w:w="84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3,712,300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2,414,300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540"/>
              <w:spacing w:after="0" w:line="201" w:lineRule="exact"/>
              <w:rPr>
                <w:sz w:val="20"/>
                <w:szCs w:val="20"/>
                <w:color w:val="auto"/>
              </w:rPr>
            </w:pPr>
            <w:r>
              <w:rPr>
                <w:rFonts w:ascii="Arial" w:cs="Arial" w:eastAsia="Arial" w:hAnsi="Arial"/>
                <w:sz w:val="18"/>
                <w:szCs w:val="18"/>
                <w:color w:val="auto"/>
                <w:w w:val="96"/>
              </w:rPr>
              <w:t>Senior secured convertible promissory notes, net of discount of $2,135,800 at December 31, 2013 and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660"/>
              <w:spacing w:after="0"/>
              <w:rPr>
                <w:sz w:val="20"/>
                <w:szCs w:val="20"/>
                <w:color w:val="auto"/>
              </w:rPr>
            </w:pPr>
            <w:r>
              <w:rPr>
                <w:rFonts w:ascii="Arial" w:cs="Arial" w:eastAsia="Arial" w:hAnsi="Arial"/>
                <w:sz w:val="18"/>
                <w:szCs w:val="18"/>
                <w:color w:val="auto"/>
              </w:rPr>
              <w:t>$1,963,100 at March 31, 2013 and accrued interest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1,781,200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1,425,700</w:t>
            </w:r>
          </w:p>
        </w:tc>
        <w:tc>
          <w:tcPr>
            <w:tcW w:w="0" w:type="dxa"/>
            <w:vAlign w:val="bottom"/>
          </w:tcPr>
          <w:p>
            <w:pPr>
              <w:spacing w:after="0"/>
              <w:rPr>
                <w:sz w:val="1"/>
                <w:szCs w:val="1"/>
                <w:color w:val="auto"/>
              </w:rPr>
            </w:pPr>
          </w:p>
        </w:tc>
      </w:tr>
      <w:tr>
        <w:trPr>
          <w:trHeight w:val="202"/>
        </w:trPr>
        <w:tc>
          <w:tcPr>
            <w:tcW w:w="8440" w:type="dxa"/>
            <w:vAlign w:val="bottom"/>
            <w:tcBorders>
              <w:right w:val="single" w:sz="8" w:color="CCEEFF"/>
            </w:tcBorders>
            <w:shd w:val="clear" w:color="auto" w:fill="CCEEFF"/>
          </w:tcPr>
          <w:p>
            <w:pPr>
              <w:ind w:left="500"/>
              <w:spacing w:after="0" w:line="201" w:lineRule="exact"/>
              <w:rPr>
                <w:sz w:val="20"/>
                <w:szCs w:val="20"/>
                <w:color w:val="auto"/>
              </w:rPr>
            </w:pPr>
            <w:r>
              <w:rPr>
                <w:rFonts w:ascii="Arial" w:cs="Arial" w:eastAsia="Arial" w:hAnsi="Arial"/>
                <w:sz w:val="18"/>
                <w:szCs w:val="18"/>
                <w:color w:val="auto"/>
                <w:w w:val="93"/>
              </w:rPr>
              <w:t>Notes payable, net of discount of $929,000 at December 31, 2013 and $1,142,600 at March 31, 2013 and</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2,479,200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2,091,800</w:t>
            </w:r>
          </w:p>
        </w:tc>
        <w:tc>
          <w:tcPr>
            <w:tcW w:w="0" w:type="dxa"/>
            <w:vAlign w:val="bottom"/>
          </w:tcPr>
          <w:p>
            <w:pPr>
              <w:spacing w:after="0"/>
              <w:rPr>
                <w:sz w:val="1"/>
                <w:szCs w:val="1"/>
                <w:color w:val="auto"/>
              </w:rPr>
            </w:pPr>
          </w:p>
        </w:tc>
      </w:tr>
      <w:tr>
        <w:trPr>
          <w:trHeight w:val="202"/>
        </w:trPr>
        <w:tc>
          <w:tcPr>
            <w:tcW w:w="8440" w:type="dxa"/>
            <w:vAlign w:val="bottom"/>
          </w:tcPr>
          <w:p>
            <w:pPr>
              <w:ind w:left="500"/>
              <w:spacing w:after="0" w:line="201" w:lineRule="exact"/>
              <w:rPr>
                <w:sz w:val="20"/>
                <w:szCs w:val="20"/>
                <w:color w:val="auto"/>
              </w:rPr>
            </w:pPr>
            <w:r>
              <w:rPr>
                <w:rFonts w:ascii="Arial" w:cs="Arial" w:eastAsia="Arial" w:hAnsi="Arial"/>
                <w:sz w:val="18"/>
                <w:szCs w:val="18"/>
                <w:color w:val="auto"/>
                <w:w w:val="92"/>
              </w:rPr>
              <w:t>Notes payable to related parties, net of discount of $115,000 at December 31, 2013 and $147,200 at March</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660"/>
              <w:spacing w:after="0"/>
              <w:rPr>
                <w:sz w:val="20"/>
                <w:szCs w:val="20"/>
                <w:color w:val="auto"/>
              </w:rPr>
            </w:pPr>
            <w:r>
              <w:rPr>
                <w:rFonts w:ascii="Arial" w:cs="Arial" w:eastAsia="Arial" w:hAnsi="Arial"/>
                <w:sz w:val="18"/>
                <w:szCs w:val="18"/>
                <w:color w:val="auto"/>
              </w:rPr>
              <w:t>31, 2013 and accrued interest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1,209,700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1,106,000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2,717,100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6,394,000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97,300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84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Pr>
          <w:p>
            <w:pPr>
              <w:ind w:left="82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8,286,900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11,023,600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tcBorders>
              <w:right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11,999,200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13,437,900</w:t>
            </w:r>
          </w:p>
        </w:tc>
        <w:tc>
          <w:tcPr>
            <w:tcW w:w="0" w:type="dxa"/>
            <w:vAlign w:val="bottom"/>
          </w:tcPr>
          <w:p>
            <w:pPr>
              <w:spacing w:after="0"/>
              <w:rPr>
                <w:sz w:val="1"/>
                <w:szCs w:val="1"/>
                <w:color w:val="auto"/>
              </w:rPr>
            </w:pPr>
          </w:p>
        </w:tc>
      </w:tr>
      <w:tr>
        <w:trPr>
          <w:trHeight w:val="216"/>
        </w:trPr>
        <w:tc>
          <w:tcPr>
            <w:tcW w:w="844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500"/>
              <w:spacing w:after="0" w:line="201" w:lineRule="exact"/>
              <w:rPr>
                <w:sz w:val="20"/>
                <w:szCs w:val="20"/>
                <w:color w:val="auto"/>
              </w:rPr>
            </w:pPr>
            <w:r>
              <w:rPr>
                <w:rFonts w:ascii="Arial" w:cs="Arial" w:eastAsia="Arial" w:hAnsi="Arial"/>
                <w:sz w:val="18"/>
                <w:szCs w:val="18"/>
                <w:color w:val="auto"/>
                <w:w w:val="96"/>
              </w:rPr>
              <w:t>Preferred stock, $0.001 par value; 10,000,000 shares, including 500,000 Series A shares, authorized at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w w:val="90"/>
              </w:rPr>
              <w:t>December 31, 2013 and March 31, 2013; 500,000 Series A shares issued and outstanding at December 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660"/>
              <w:spacing w:after="0"/>
              <w:rPr>
                <w:sz w:val="20"/>
                <w:szCs w:val="20"/>
                <w:color w:val="auto"/>
              </w:rPr>
            </w:pPr>
            <w:r>
              <w:rPr>
                <w:rFonts w:ascii="Arial" w:cs="Arial" w:eastAsia="Arial" w:hAnsi="Arial"/>
                <w:sz w:val="18"/>
                <w:szCs w:val="18"/>
                <w:color w:val="auto"/>
              </w:rPr>
              <w:t>2013 and March 31, 2013, respectively</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8440" w:type="dxa"/>
            <w:vAlign w:val="bottom"/>
            <w:tcBorders>
              <w:right w:val="single" w:sz="8" w:color="CCEEFF"/>
            </w:tcBorders>
            <w:shd w:val="clear" w:color="auto" w:fill="CCEEFF"/>
          </w:tcPr>
          <w:p>
            <w:pPr>
              <w:ind w:left="500"/>
              <w:spacing w:after="0" w:line="201" w:lineRule="exact"/>
              <w:rPr>
                <w:sz w:val="20"/>
                <w:szCs w:val="20"/>
                <w:color w:val="auto"/>
              </w:rPr>
            </w:pPr>
            <w:r>
              <w:rPr>
                <w:rFonts w:ascii="Arial" w:cs="Arial" w:eastAsia="Arial" w:hAnsi="Arial"/>
                <w:sz w:val="18"/>
                <w:szCs w:val="18"/>
                <w:color w:val="auto"/>
                <w:w w:val="90"/>
              </w:rPr>
              <w:t>Common stock, $0.001 par value; 200,000,000 shares authorized at December 31, 2013 and March 31, 2013;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8"/>
              </w:rPr>
              <w:t>25,295,185 and 23,480,169 shares issued at December 31, 2013 and March 31, 2013, respectively</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61,282,400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59,266,000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Treasury stock, at cost, 2,713,308 shares of common stock held at December 31, 2013 and March 31, 2013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Note receivable from sale of common stock</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(198,100)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(209,100)</w:t>
            </w: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Deficit accumulated during development stage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(68,812,300)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(67,669,200)</w:t>
            </w:r>
          </w:p>
        </w:tc>
        <w:tc>
          <w:tcPr>
            <w:tcW w:w="0" w:type="dxa"/>
            <w:vAlign w:val="bottom"/>
          </w:tcPr>
          <w:p>
            <w:pPr>
              <w:spacing w:after="0"/>
              <w:rPr>
                <w:sz w:val="1"/>
                <w:szCs w:val="1"/>
                <w:color w:val="auto"/>
              </w:rPr>
            </w:pPr>
          </w:p>
        </w:tc>
      </w:tr>
      <w:tr>
        <w:trPr>
          <w:trHeight w:val="216"/>
        </w:trPr>
        <w:tc>
          <w:tcPr>
            <w:tcW w:w="8440" w:type="dxa"/>
            <w:vAlign w:val="bottom"/>
          </w:tcPr>
          <w:p>
            <w:pPr>
              <w:ind w:left="820"/>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(11,670,300)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(12,556,400)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right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328,900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881,500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May 26, 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Grant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Collaboration revenue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16,370,200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1,119,600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3,092,200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31,471,800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799,000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2,430,200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32,728,600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1,918,600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3,963,600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(1,448,300)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(1,918,600)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(3,963,600)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(5,322,000)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(55,353,400)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(235,400)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(1,000,500)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(611,700)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(11,362,700)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7"/>
              </w:rPr>
              <w:t>Change in warrant and put and note extension option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357,800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3,823,700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357,800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(3,537,000)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(3,537,000)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(4,761,300)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(5,333,200)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(1,140,400)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(9,112,900)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(68,789,100)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(5,335,000)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(1,143,100)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(9,116,600)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(68,812,300)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A Preferred stock</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(10,193,200)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(10,193,200)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131,000</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(15,528,200)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(1,143,100)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(19,309,800)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(79,005,500)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Basic net income (loss) attributable to common stockholders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Diluted net loss attributable to common stockholders per</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(0.85)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7"/>
              </w:rPr>
              <w:t>Basic net income (loss) attributable to common stockholders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per common share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22,210,573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18,292,301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21,554,929</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17,411,993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Diluted net loss attributable to common stockholders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22,210,573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18,292,301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21,554,929</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17,411,993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131,000</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(5,335,000)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(1,143,100)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(9,116,600)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(68,812,300)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May 26, 1998</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Through</w:t>
            </w:r>
          </w:p>
        </w:tc>
      </w:t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31, 2013</w:t>
            </w:r>
          </w:p>
        </w:tc>
        <w:tc>
          <w:tcPr>
            <w:tcW w:w="100" w:type="dxa"/>
            <w:vAlign w:val="bottom"/>
          </w:tcPr>
          <w:p>
            <w:pPr>
              <w:spacing w:after="0"/>
              <w:rPr>
                <w:sz w:val="19"/>
                <w:szCs w:val="19"/>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(1,143,100)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(9,116,600)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(68,812,200)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817,700</w:t>
            </w:r>
          </w:p>
        </w:tc>
      </w:tr>
      <w:tr>
        <w:trPr>
          <w:trHeight w:val="216"/>
        </w:trPr>
        <w:tc>
          <w:tcPr>
            <w:tcW w:w="7440" w:type="dxa"/>
            <w:vAlign w:val="bottom"/>
          </w:tcPr>
          <w:p>
            <w:pPr>
              <w:ind w:left="940"/>
              <w:spacing w:after="0"/>
              <w:rPr>
                <w:sz w:val="20"/>
                <w:szCs w:val="20"/>
                <w:color w:val="auto"/>
              </w:rPr>
            </w:pPr>
            <w:r>
              <w:rPr>
                <w:rFonts w:ascii="Arial" w:cs="Arial" w:eastAsia="Arial" w:hAnsi="Arial"/>
                <w:sz w:val="18"/>
                <w:szCs w:val="18"/>
                <w:color w:val="auto"/>
              </w:rPr>
              <w:t>Amortization of discounts on convertible and promissory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356,100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352,200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5,031,700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 in warrant liability and put and note term extension option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(3,823,700)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(2,606,500)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6,489,200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Expense related to modification of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Non-cash rent and relocation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56,700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Interest income on note receivable for stock 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Fair value of common stock granted for services following the Merger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846,000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Fair value of warrants granted for services and interest following the Merger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Gain on currency fluctuation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(30,100)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(83,100)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7"/>
              </w:rPr>
              <w:t>Fair value of additional warrants granted pursuant to exercises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Loss on settlements of accounts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78,300</w:t>
            </w:r>
          </w:p>
        </w:tc>
      </w:tr>
      <w:tr>
        <w:trPr>
          <w:trHeight w:val="216"/>
        </w:trPr>
        <w:tc>
          <w:tcPr>
            <w:tcW w:w="74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7,523,200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3,537,000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4,761,300</w:t>
            </w:r>
          </w:p>
        </w:tc>
      </w:tr>
      <w:tr>
        <w:trPr>
          <w:trHeight w:val="202"/>
        </w:trPr>
        <w:tc>
          <w:tcPr>
            <w:tcW w:w="744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w w:val="93"/>
              </w:rPr>
              <w:t>Fair value of Series C preferred stock, common stock, and warrant granted for services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prior to the Merger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3,150,900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Fair value of common stock issued for note term modification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Consulting services by related parties settled by issuing promissory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44,600</w:t>
            </w:r>
          </w:p>
        </w:tc>
      </w:tr>
      <w:tr>
        <w:trPr>
          <w:trHeight w:val="216"/>
        </w:trPr>
        <w:tc>
          <w:tcPr>
            <w:tcW w:w="7440" w:type="dxa"/>
            <w:vAlign w:val="bottom"/>
          </w:tcPr>
          <w:p>
            <w:pPr>
              <w:ind w:left="960"/>
              <w:spacing w:after="0"/>
              <w:rPr>
                <w:sz w:val="20"/>
                <w:szCs w:val="20"/>
                <w:color w:val="auto"/>
              </w:rPr>
            </w:pPr>
            <w:r>
              <w:rPr>
                <w:rFonts w:ascii="Arial" w:cs="Arial" w:eastAsia="Arial" w:hAnsi="Arial"/>
                <w:sz w:val="18"/>
                <w:szCs w:val="18"/>
                <w:color w:val="auto"/>
              </w:rPr>
              <w:t>Gain on sale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(16,700)</w:t>
            </w:r>
          </w:p>
        </w:tc>
      </w:tr>
      <w:tr>
        <w:trPr>
          <w:trHeight w:val="216"/>
        </w:trPr>
        <w:tc>
          <w:tcPr>
            <w:tcW w:w="7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320"/>
              <w:spacing w:after="0"/>
              <w:rPr>
                <w:sz w:val="20"/>
                <w:szCs w:val="20"/>
                <w:color w:val="auto"/>
              </w:rPr>
            </w:pPr>
            <w:r>
              <w:rPr>
                <w:rFonts w:ascii="Arial" w:cs="Arial" w:eastAsia="Arial" w:hAnsi="Arial"/>
                <w:sz w:val="18"/>
                <w:szCs w:val="18"/>
                <w:color w:val="auto"/>
              </w:rPr>
              <w:t>Unbilled contract payments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97,800</w:t>
            </w:r>
          </w:p>
        </w:tc>
      </w:tr>
      <w:tr>
        <w:trPr>
          <w:trHeight w:val="216"/>
        </w:trPr>
        <w:tc>
          <w:tcPr>
            <w:tcW w:w="7440" w:type="dxa"/>
            <w:vAlign w:val="bottom"/>
          </w:tcPr>
          <w:p>
            <w:pPr>
              <w:ind w:left="1320"/>
              <w:spacing w:after="0"/>
              <w:rPr>
                <w:sz w:val="20"/>
                <w:szCs w:val="20"/>
                <w:color w:val="auto"/>
              </w:rPr>
            </w:pPr>
            <w:r>
              <w:rPr>
                <w:rFonts w:ascii="Arial" w:cs="Arial" w:eastAsia="Arial" w:hAnsi="Arial"/>
                <w:sz w:val="18"/>
                <w:szCs w:val="18"/>
                <w:color w:val="auto"/>
              </w:rPr>
              <w:t>Security deposits and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(17,900)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(46,900)</w:t>
            </w:r>
          </w:p>
        </w:tc>
      </w:tr>
      <w:tr>
        <w:trPr>
          <w:trHeight w:val="216"/>
        </w:trPr>
        <w:tc>
          <w:tcPr>
            <w:tcW w:w="74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17,696,400</w:t>
            </w:r>
          </w:p>
        </w:tc>
      </w:tr>
      <w:tr>
        <w:trPr>
          <w:trHeight w:val="216"/>
        </w:trPr>
        <w:tc>
          <w:tcPr>
            <w:tcW w:w="7440" w:type="dxa"/>
            <w:vAlign w:val="bottom"/>
          </w:tcPr>
          <w:p>
            <w:pPr>
              <w:ind w:left="132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(1,658,900)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(2,493,200)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(22,630,600)</w:t>
            </w:r>
          </w:p>
        </w:tc>
      </w:tr>
      <w:tr>
        <w:trPr>
          <w:trHeight w:val="216"/>
        </w:trPr>
        <w:tc>
          <w:tcPr>
            <w:tcW w:w="744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Purchases of equipment,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(825,800)</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10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(131,100)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(825,800)</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597,900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480,600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4,583,000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Proceeds from exercise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1,692,600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Net proceeds from issuance of Platinum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2,222,100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7,172,100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Advance from officer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Proceeds from issuance of notes under line of credit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Proceeds from issuance of 7% note payable to founding stockholder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Net proceeds from issuance of 7% convertible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proceeds from issuance of 10% convertible notes and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1,655,000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Net proceeds from issuance of preferred stock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4,198,600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proceeds from issuance of notes and warrants from 2006 to 2010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4,851,800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Net proceeds from issuance of February 2012 12% convertible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466,500</w:t>
            </w:r>
          </w:p>
        </w:tc>
      </w:tr>
      <w:tr>
        <w:trPr>
          <w:trHeight w:val="216"/>
        </w:trPr>
        <w:tc>
          <w:tcPr>
            <w:tcW w:w="7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Repayment of capital lease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(123,100)</w:t>
            </w: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Repayment of notes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(119,300)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(1,948,400)</w:t>
            </w:r>
          </w:p>
        </w:tc>
      </w:tr>
      <w:tr>
        <w:trPr>
          <w:trHeight w:val="27"/>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23,477,100</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(617,400)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20,700</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20,700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20,700</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History and Organization</w:t>
      </w:r>
    </w:p>
    <w:p>
      <w:pPr>
        <w:spacing w:after="0" w:line="256" w:lineRule="exact"/>
        <w:rPr>
          <w:sz w:val="20"/>
          <w:szCs w:val="20"/>
          <w:color w:val="auto"/>
        </w:rPr>
      </w:pPr>
    </w:p>
    <w:p>
      <w:pPr>
        <w:jc w:val="both"/>
        <w:ind w:firstLine="663"/>
        <w:spacing w:after="0" w:line="270" w:lineRule="auto"/>
        <w:rPr>
          <w:sz w:val="20"/>
          <w:szCs w:val="20"/>
          <w:color w:val="auto"/>
        </w:rPr>
      </w:pPr>
      <w:r>
        <w:rPr>
          <w:rFonts w:ascii="Arial" w:cs="Arial" w:eastAsia="Arial" w:hAnsi="Arial"/>
          <w:sz w:val="17"/>
          <w:szCs w:val="17"/>
          <w:color w:val="auto"/>
        </w:rPr>
        <w:t>VistaGen Therapeutics, Inc., a Nevada corporation (“</w:t>
      </w:r>
      <w:r>
        <w:rPr>
          <w:rFonts w:ascii="Arial" w:cs="Arial" w:eastAsia="Arial" w:hAnsi="Arial"/>
          <w:sz w:val="17"/>
          <w:szCs w:val="17"/>
          <w:i w:val="1"/>
          <w:iCs w:val="1"/>
          <w:color w:val="auto"/>
        </w:rPr>
        <w:t>VistaGen</w:t>
      </w:r>
      <w:r>
        <w:rPr>
          <w:rFonts w:ascii="Arial" w:cs="Arial" w:eastAsia="Arial" w:hAnsi="Arial"/>
          <w:sz w:val="17"/>
          <w:szCs w:val="17"/>
          <w:color w:val="auto"/>
        </w:rPr>
        <w:t>” or the “</w:t>
      </w:r>
      <w:r>
        <w:rPr>
          <w:rFonts w:ascii="Arial" w:cs="Arial" w:eastAsia="Arial" w:hAnsi="Arial"/>
          <w:sz w:val="17"/>
          <w:szCs w:val="17"/>
          <w:i w:val="1"/>
          <w:iCs w:val="1"/>
          <w:color w:val="auto"/>
        </w:rPr>
        <w:t>Compan</w:t>
      </w:r>
      <w:r>
        <w:rPr>
          <w:rFonts w:ascii="Arial" w:cs="Arial" w:eastAsia="Arial" w:hAnsi="Arial"/>
          <w:sz w:val="17"/>
          <w:szCs w:val="17"/>
          <w:color w:val="auto"/>
        </w:rPr>
        <w:t xml:space="preserve">y”), is a biotechnology company with expertise in human pluripotent stem cell technology. The Company is applying and developing its stem cell technology for drug rescue, drug discovery and regenerative medicine. The Company’s primary goal is to use its stem cell technology platform,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and its network of strategic relationships, to design and generate novel, proprietary, safer variants, which the Company refers to as </w:t>
      </w:r>
      <w:r>
        <w:rPr>
          <w:rFonts w:ascii="Arial" w:cs="Arial" w:eastAsia="Arial" w:hAnsi="Arial"/>
          <w:sz w:val="17"/>
          <w:szCs w:val="17"/>
          <w:i w:val="1"/>
          <w:iCs w:val="1"/>
          <w:color w:val="auto"/>
        </w:rPr>
        <w:t>Drug Rescue Variants</w:t>
      </w:r>
      <w:r>
        <w:rPr>
          <w:rFonts w:ascii="Arial" w:cs="Arial" w:eastAsia="Arial" w:hAnsi="Arial"/>
          <w:sz w:val="17"/>
          <w:szCs w:val="17"/>
          <w:color w:val="auto"/>
        </w:rPr>
        <w:t xml:space="preserve">™, of once-promising small molecule drug candidates discovered, developed and ultimately discontinued by pharmaceutical companies and others prior to market approval due to unexpected heart or liver safety concerns. The Company refers to these once-promising drug candidates that are now potentially suitable for drug rescue as </w:t>
      </w:r>
      <w:r>
        <w:rPr>
          <w:rFonts w:ascii="Arial" w:cs="Arial" w:eastAsia="Arial" w:hAnsi="Arial"/>
          <w:sz w:val="17"/>
          <w:szCs w:val="17"/>
          <w:i w:val="1"/>
          <w:iCs w:val="1"/>
          <w:color w:val="auto"/>
        </w:rPr>
        <w:t>Drug Rescue</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w:t>
      </w:r>
      <w:r>
        <w:rPr>
          <w:rFonts w:ascii="Arial" w:cs="Arial" w:eastAsia="Arial" w:hAnsi="Arial"/>
          <w:sz w:val="17"/>
          <w:szCs w:val="17"/>
          <w:color w:val="auto"/>
        </w:rPr>
        <w:t>™. The Company’s drug rescue strategy is to leverage (i) substantial prior investment in discovery and development of</w:t>
      </w:r>
      <w:r>
        <w:rPr>
          <w:rFonts w:ascii="Arial" w:cs="Arial" w:eastAsia="Arial" w:hAnsi="Arial"/>
          <w:sz w:val="17"/>
          <w:szCs w:val="17"/>
          <w:i w:val="1"/>
          <w:iCs w:val="1"/>
          <w:color w:val="auto"/>
        </w:rPr>
        <w:t xml:space="preserve"> Drug Rescue Candidates </w:t>
      </w:r>
      <w:r>
        <w:rPr>
          <w:rFonts w:ascii="Arial" w:cs="Arial" w:eastAsia="Arial" w:hAnsi="Arial"/>
          <w:sz w:val="17"/>
          <w:szCs w:val="17"/>
          <w:color w:val="auto"/>
        </w:rPr>
        <w:t xml:space="preserve">by others, (ii) its unique insight into heart and liver biology from its stem cell-derived bioassay systems, and (iii) medicinal chemistry to generate proprietary </w:t>
      </w:r>
      <w:r>
        <w:rPr>
          <w:rFonts w:ascii="Arial" w:cs="Arial" w:eastAsia="Arial" w:hAnsi="Arial"/>
          <w:sz w:val="17"/>
          <w:szCs w:val="17"/>
          <w:i w:val="1"/>
          <w:iCs w:val="1"/>
          <w:color w:val="auto"/>
        </w:rPr>
        <w:t xml:space="preserve">Drug Rescue Variants </w:t>
      </w:r>
      <w:r>
        <w:rPr>
          <w:rFonts w:ascii="Arial" w:cs="Arial" w:eastAsia="Arial" w:hAnsi="Arial"/>
          <w:sz w:val="17"/>
          <w:szCs w:val="17"/>
          <w:color w:val="auto"/>
        </w:rPr>
        <w:t>for license and sale to pharmaceutical companies and others.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parallel with its drug rescue activities, VistaGen plans to explore, internally and/or through sponsored external programs, pilot nonclinical development opportunities relating to small molecule drug discovery and/or regenerative medicine focused on blood, bone, cartilage, heart, liver and pancreas (insulin-producing beta islet) cells. Each of these drug discovery and regenerative medicine programs would be based on the proprietary differentiation and production capabilities of the Company’s </w:t>
      </w:r>
      <w:r>
        <w:rPr>
          <w:rFonts w:ascii="Arial" w:cs="Arial" w:eastAsia="Arial" w:hAnsi="Arial"/>
          <w:sz w:val="18"/>
          <w:szCs w:val="18"/>
          <w:i w:val="1"/>
          <w:iCs w:val="1"/>
          <w:color w:val="auto"/>
        </w:rPr>
        <w:t>Human Clinical Trials in a Test Tube</w:t>
      </w:r>
      <w:r>
        <w:rPr>
          <w:rFonts w:ascii="Arial" w:cs="Arial" w:eastAsia="Arial" w:hAnsi="Arial"/>
          <w:sz w:val="9"/>
          <w:szCs w:val="9"/>
          <w:color w:val="auto"/>
        </w:rPr>
        <w:t>TM</w:t>
      </w:r>
      <w:r>
        <w:rPr>
          <w:rFonts w:ascii="Arial" w:cs="Arial" w:eastAsia="Arial" w:hAnsi="Arial"/>
          <w:sz w:val="18"/>
          <w:szCs w:val="18"/>
          <w:color w:val="auto"/>
        </w:rPr>
        <w:t xml:space="preserve"> platform.</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AV-101 is VistaGen's orally-available, small molecule prodrug candidate. AV-101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AV-101.</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VistaGen Therapeutics, Inc., a California corporation incorporated on May 26, 1998 (“</w:t>
      </w:r>
      <w:r>
        <w:rPr>
          <w:rFonts w:ascii="Arial" w:cs="Arial" w:eastAsia="Arial" w:hAnsi="Arial"/>
          <w:sz w:val="17"/>
          <w:szCs w:val="17"/>
          <w:i w:val="1"/>
          <w:iCs w:val="1"/>
          <w:color w:val="auto"/>
        </w:rPr>
        <w:t>VistaGen California</w:t>
      </w:r>
      <w:r>
        <w:rPr>
          <w:rFonts w:ascii="Arial" w:cs="Arial" w:eastAsia="Arial" w:hAnsi="Arial"/>
          <w:sz w:val="17"/>
          <w:szCs w:val="17"/>
          <w:color w:val="auto"/>
        </w:rPr>
        <w:t>”), is a wholly-owned subsidiary of the Company. As described more completely in the Company’s Annual Report on Form 10-K for the fiscal year ended March 31, 2013, pursuant to a strategic merger transaction on May 11, 2011, the Company acquired all outstanding shares of VistaGen California in exchange for 6,836,452 shares of the Company’s common stock (the “</w:t>
      </w:r>
      <w:r>
        <w:rPr>
          <w:rFonts w:ascii="Arial" w:cs="Arial" w:eastAsia="Arial" w:hAnsi="Arial"/>
          <w:sz w:val="17"/>
          <w:szCs w:val="17"/>
          <w:i w:val="1"/>
          <w:iCs w:val="1"/>
          <w:color w:val="auto"/>
        </w:rPr>
        <w:t>Merger</w:t>
      </w:r>
      <w:r>
        <w:rPr>
          <w:rFonts w:ascii="Arial" w:cs="Arial" w:eastAsia="Arial" w:hAnsi="Arial"/>
          <w:sz w:val="17"/>
          <w:szCs w:val="17"/>
          <w:color w:val="auto"/>
        </w:rPr>
        <w:t>”), and assumed all of VistaGen California’s pre-Merger obligations. The Condensed Consolidated Financial Statements of the Company included in this report also include the accounts of VistaGen California’s two wholly-owned subsidiaries, Artemis Neuroscience, Inc., a Maryland corporation, and VistaStem Canada, Inc., a corporation organized under the laws of Ontario, Canada.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Going Concern</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w:t>
      </w:r>
    </w:p>
    <w:p>
      <w:pPr>
        <w:jc w:val="both"/>
        <w:ind w:firstLine="8"/>
        <w:spacing w:after="0" w:line="270"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2013 has been derived from the Company's audited consolidated financial statements at that date but does not include all disclosures required by U.S. GAAP. The operating results for the three and nine months ended December 31, 2013 are not necessarily indicative of the operating results to be expected for the Company's fiscal year ending March 31, 2014 or for any other interim period or any other future period.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the Company’s audited Consolidated Financial Statements for the fiscal year ended March 31, 2013 contained in its Annual Report on Form 10-K, as filed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December 31, 2013, the Company has a deficit accumulated during its development stage of $68.8 million. The Company expects these conditions to continue for the foreseeable future as it expands its </w:t>
      </w:r>
      <w:r>
        <w:rPr>
          <w:rFonts w:ascii="Arial" w:cs="Arial" w:eastAsia="Arial" w:hAnsi="Arial"/>
          <w:sz w:val="18"/>
          <w:szCs w:val="18"/>
          <w:i w:val="1"/>
          <w:iCs w:val="1"/>
          <w:color w:val="auto"/>
        </w:rPr>
        <w:t>Human Clinical Trials in a Test Tube</w:t>
      </w:r>
      <w:r>
        <w:rPr>
          <w:rFonts w:ascii="Arial" w:cs="Arial" w:eastAsia="Arial" w:hAnsi="Arial"/>
          <w:sz w:val="18"/>
          <w:szCs w:val="18"/>
          <w:color w:val="auto"/>
        </w:rPr>
        <w:t>™ platform and executes its drug rescue programs and, potentially, regenerative medicine programs.</w:t>
      </w:r>
    </w:p>
    <w:p>
      <w:pPr>
        <w:spacing w:after="0" w:line="188"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6"/>
          <w:szCs w:val="16"/>
          <w:color w:val="auto"/>
        </w:rPr>
        <w:t>Since its inception in May 1998, the Company has financed its operations and technology acquisitions primarily through the issuance and sale of equity and debt securities, including convertible promissory notes and short-term promissory notes, for cash proceeds of approximately $25.4 million, as well as from an aggregate of approximately $16.4 million of government research grant awards, strategic collaboration payments and other revenues. Additionally, the Company has issued equity securities with an approximate value at issuance of $12.6 million in non-cash settlements of certain liabilities, including liabilities for professional services rendered to the Company or as compensation for such services. At December 31, 2013, the Company had approximately $20,700 in cash and cash equivalents. Such cash and cash equivalents are not sufficient to enable the Company to fund its planned operations, including expected cash expenditures of approximately $5 million through the next twelve months. However, on April 8, 2013, the Company entered into a Securities Purchase Agreement (as amended, the “Securities Purchase Agreement”) with Autilion AG, a company organized and existing under the laws of Switzerland (“Autilion”). Under the terms of the Securities Purchase Agreement, Autilion is contractually obligated to purchase an aggregate of 72.0 million restricted shares of the Company’s common stock at a purchase price of $0.50 per share for aggregate cash consideration of $36.0 million (the “Autilion Financing”). At December 31, 2013, the Company had completed a nominal initial closing of $25,000 and issued 50,000 restricted shares of its common stock under the Securities Purchase Agreement.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To provide working capital for operations prior to any closing of the Autilion Financing, from December 31, 2013 through the date of this report, the Company completed private placements of its securities resulting in aggregate cash proceeds of $390,000, as described in Note 11, Subsequent Events.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necessary, the Company may also seek to meet its cash needs and fund its working capital requirements through a combination of additional private placements of its securities, which may include both debt and equity securities issued to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currently the Company’s largest institutional investor, and/or other investors, research and development collaborations, license fees and government grant awards. Additionally, the Company believes that its participation in strategic collaborations, including licensing transactions, may provide additional cash in support of its future working capital requirements. If the Company is unable to complete the Autilion Financing in a timely manner or to obtain sufficient financing from other sources, if required, it may be required to reduce, defer, or discontinue certain of its research and development activities or it may not be able to continue as a going concern.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the Company does not currently have any such arrangements, it has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8" w:lineRule="exact"/>
        <w:rPr>
          <w:sz w:val="20"/>
          <w:szCs w:val="20"/>
          <w:color w:val="auto"/>
        </w:rPr>
      </w:pPr>
    </w:p>
    <w:p>
      <w:pPr>
        <w:jc w:val="both"/>
        <w:ind w:left="840" w:hanging="319"/>
        <w:spacing w:after="0" w:line="269"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840" w:hanging="319"/>
        <w:spacing w:after="0" w:line="302"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p>
      <w:pPr>
        <w:spacing w:after="0" w:line="181" w:lineRule="exact"/>
        <w:rPr>
          <w:rFonts w:ascii="Arial" w:cs="Arial" w:eastAsia="Arial" w:hAnsi="Arial"/>
          <w:sz w:val="16"/>
          <w:szCs w:val="16"/>
          <w:color w:val="auto"/>
        </w:rPr>
      </w:pPr>
    </w:p>
    <w:p>
      <w:pPr>
        <w:ind w:left="840" w:hanging="319"/>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Research and development expenses are composed of both internal and external costs. Internal costs include salaries and employment-related expenses of scientific personnel and direct project costs. External research and development expenses consist primarily of sponsored stem cell research and development costs, costs associated with clinical and non-clinical development of AV-101, the Company’s small molecule prodrug candidate for neuropathic pain, depression and potentially other neurological conditions, and costs related to the application and prosecution of patents related to the Company’s stem cell technology platform,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and AV-101. All such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compensation cost for all stock-based awards to employees based on the grant date fair value of the award. Stock-based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spacing w:after="0" w:line="188" w:lineRule="exact"/>
        <w:rPr>
          <w:sz w:val="20"/>
          <w:szCs w:val="20"/>
          <w:color w:val="auto"/>
        </w:rPr>
      </w:pPr>
    </w:p>
    <w:p>
      <w:pPr>
        <w:jc w:val="both"/>
        <w:ind w:firstLine="701"/>
        <w:spacing w:after="0" w:line="277"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quarter and nine months ended December 31,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Stock option grants, including expense related to modifications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16"/>
        </w:trPr>
        <w:tc>
          <w:tcPr>
            <w:tcW w:w="5220" w:type="dxa"/>
            <w:vAlign w:val="bottom"/>
          </w:tcPr>
          <w:p>
            <w:pPr>
              <w:ind w:left="280"/>
              <w:spacing w:after="0"/>
              <w:rPr>
                <w:sz w:val="20"/>
                <w:szCs w:val="20"/>
                <w:color w:val="auto"/>
              </w:rPr>
            </w:pPr>
            <w:r>
              <w:rPr>
                <w:rFonts w:ascii="Arial" w:cs="Arial" w:eastAsia="Arial" w:hAnsi="Arial"/>
                <w:sz w:val="18"/>
                <w:szCs w:val="18"/>
                <w:color w:val="auto"/>
              </w:rPr>
              <w:t>Warrants granted to officer in March 2013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General and administrative expense:</w:t>
            </w: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Stock option grants, including expense related to modifications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295,200</w:t>
            </w:r>
          </w:p>
        </w:tc>
        <w:tc>
          <w:tcPr>
            <w:tcW w:w="0" w:type="dxa"/>
            <w:vAlign w:val="bottom"/>
          </w:tcPr>
          <w:p>
            <w:pPr>
              <w:spacing w:after="0"/>
              <w:rPr>
                <w:sz w:val="1"/>
                <w:szCs w:val="1"/>
                <w:color w:val="auto"/>
              </w:rPr>
            </w:pPr>
          </w:p>
        </w:tc>
      </w:tr>
      <w:tr>
        <w:trPr>
          <w:trHeight w:val="216"/>
        </w:trPr>
        <w:tc>
          <w:tcPr>
            <w:tcW w:w="5220" w:type="dxa"/>
            <w:vAlign w:val="bottom"/>
          </w:tcPr>
          <w:p>
            <w:pPr>
              <w:ind w:left="280"/>
              <w:spacing w:after="0"/>
              <w:rPr>
                <w:sz w:val="20"/>
                <w:szCs w:val="20"/>
                <w:color w:val="auto"/>
              </w:rPr>
            </w:pPr>
            <w:r>
              <w:rPr>
                <w:rFonts w:ascii="Arial" w:cs="Arial" w:eastAsia="Arial" w:hAnsi="Arial"/>
                <w:sz w:val="18"/>
                <w:szCs w:val="18"/>
                <w:color w:val="auto"/>
              </w:rPr>
              <w:t>Warrants granted to officers and directors in March 2013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295,200</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469,300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813,700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893,700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962,000</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nine months ended December 31, 2013, the Company granted options to purchase an aggregate of 156,000 shares of its common stock at exercise prices from $0.40 per share to $0.82 per share (the quoted market price on the grant dates) to certain employees and consultants. During the quarter ended December 31, 2013, the Company modified certain outstanding options granted from its 2008 Stock Incentive Plan to reduce the exercise price to $0.40 per share or $0.50 per share and modified certain options granted from its 1999 Stock Incentive Plan to reduce the exercise price to $0.50 per share. The expense indicated in the table above for the three and nine months ended December 31, 2013 includes an aggregate of $252,000 attributable to these modifications. The Company modified certain options during the quarter ended December 31, 2012 and recognized an aggregate of $788,800 attributable to such modifications in the three and nine month periods ended December 31, 2012. At December 31, 2013, there were options outstanding to purchase 4,705,270 shares of the Company’s common stock at a weighted average exercise price of $0.59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Company has issued certain warrants to Platinum and, subject to Platinum’s exercise of its rights to exchange shares of the Company’s Series A preferred stock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Note 7, </w:t>
      </w:r>
      <w:r>
        <w:rPr>
          <w:rFonts w:ascii="Arial" w:cs="Arial" w:eastAsia="Arial" w:hAnsi="Arial"/>
          <w:sz w:val="16"/>
          <w:szCs w:val="16"/>
          <w:i w:val="1"/>
          <w:iCs w:val="1"/>
          <w:color w:val="auto"/>
        </w:rPr>
        <w:t>Convertible Promissory Notes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Notes Payable</w:t>
      </w:r>
      <w:r>
        <w:rPr>
          <w:rFonts w:ascii="Arial" w:cs="Arial" w:eastAsia="Arial" w:hAnsi="Arial"/>
          <w:sz w:val="16"/>
          <w:szCs w:val="16"/>
          <w:color w:val="auto"/>
        </w:rPr>
        <w:t>, and Note 9</w:t>
      </w:r>
      <w:r>
        <w:rPr>
          <w:rFonts w:ascii="Arial" w:cs="Arial" w:eastAsia="Arial" w:hAnsi="Arial"/>
          <w:sz w:val="16"/>
          <w:szCs w:val="16"/>
          <w:i w:val="1"/>
          <w:iCs w:val="1"/>
          <w:color w:val="auto"/>
        </w:rPr>
        <w:t>, Capital Stock</w:t>
      </w:r>
      <w:r>
        <w:rPr>
          <w:rFonts w:ascii="Arial" w:cs="Arial" w:eastAsia="Arial" w:hAnsi="Arial"/>
          <w:sz w:val="16"/>
          <w:szCs w:val="16"/>
          <w:color w:val="auto"/>
        </w:rPr>
        <w:t>. The Company computes the fair value of the warrant liability at each reporting period and the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 components of other comprehensive loss other than net loss, and accordingly the Company’s comprehensive loss is equivalent to its net loss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the numerator is adjusted for the change in the fair value of the warrant liability attributable to outstanding warrants, only if dilutive, and the denominator is increased to include the number of potentially dilutive common shares assumed to be outstanding during the period using the treasury stock method. Based on the market price of the Company’s common stock for the quarter ended December 31, 2013, no potentially dilutive securities were assumed to be converted into common shares and outstanding during the period for purposes of calculating diluted earnings per share. For all loss periods presented, potentially dilutive securities have been excluded from the computation as their effect would be antidilutive.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net income (loss) and diluted net loss attributable to common stockholders per share was computed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Net income (loss) attributable to common stockholders for basic earnings per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(15,528,200)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(1,143,100)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(19,309,800)</w:t>
            </w:r>
          </w:p>
        </w:tc>
      </w:tr>
      <w:tr>
        <w:trPr>
          <w:trHeight w:val="202"/>
        </w:trPr>
        <w:tc>
          <w:tcPr>
            <w:tcW w:w="5980" w:type="dxa"/>
            <w:vAlign w:val="bottom"/>
          </w:tcPr>
          <w:p>
            <w:pPr>
              <w:ind w:left="260"/>
              <w:spacing w:after="0" w:line="201" w:lineRule="exact"/>
              <w:rPr>
                <w:sz w:val="20"/>
                <w:szCs w:val="20"/>
                <w:color w:val="auto"/>
              </w:rPr>
            </w:pPr>
            <w:r>
              <w:rPr>
                <w:rFonts w:ascii="Arial" w:cs="Arial" w:eastAsia="Arial" w:hAnsi="Arial"/>
                <w:sz w:val="18"/>
                <w:szCs w:val="18"/>
                <w:color w:val="auto"/>
              </w:rPr>
              <w:t>less: change in fair value of warrant liability attributable to Exchange,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Investment and Bridge Warrants issued to Platinum</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(620,900)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w w:val="94"/>
              </w:rPr>
              <w:t>Net loss for diluted earnings per share attributable to common stockholders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(489,800)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(15,528,200)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(1,143,100)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(19,309,800)</w:t>
            </w:r>
          </w:p>
        </w:tc>
      </w:tr>
      <w:tr>
        <w:trPr>
          <w:trHeight w:val="21"/>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basic common shares outstanding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22,210,573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18,292,301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21,554,929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17,411,993</w:t>
            </w:r>
          </w:p>
        </w:tc>
      </w:tr>
      <w:tr>
        <w:trPr>
          <w:trHeight w:val="216"/>
        </w:trPr>
        <w:tc>
          <w:tcPr>
            <w:tcW w:w="5980" w:type="dxa"/>
            <w:vAlign w:val="bottom"/>
          </w:tcPr>
          <w:p>
            <w:pPr>
              <w:ind w:left="580"/>
              <w:spacing w:after="0"/>
              <w:rPr>
                <w:sz w:val="20"/>
                <w:szCs w:val="20"/>
                <w:color w:val="auto"/>
              </w:rPr>
            </w:pPr>
            <w:r>
              <w:rPr>
                <w:rFonts w:ascii="Arial" w:cs="Arial" w:eastAsia="Arial" w:hAnsi="Arial"/>
                <w:sz w:val="18"/>
                <w:szCs w:val="18"/>
                <w:color w:val="auto"/>
              </w:rPr>
              <w:t>Assumed conversion of dilutive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Warrants to purchase common stock</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620"/>
              <w:spacing w:after="0"/>
              <w:rPr>
                <w:sz w:val="20"/>
                <w:szCs w:val="20"/>
                <w:color w:val="auto"/>
              </w:rPr>
            </w:pPr>
            <w:r>
              <w:rPr>
                <w:rFonts w:ascii="Arial" w:cs="Arial" w:eastAsia="Arial" w:hAnsi="Arial"/>
                <w:sz w:val="18"/>
                <w:szCs w:val="18"/>
                <w:color w:val="auto"/>
              </w:rPr>
              <w:t>Potentially dilutive common shares assumed converted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Denominator for diluted earnings per share - adjusted weighted average shares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22,210,573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18,292,301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21,554,929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17,411,993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ind w:left="60"/>
              <w:spacing w:after="0"/>
              <w:rPr>
                <w:sz w:val="20"/>
                <w:szCs w:val="20"/>
                <w:color w:val="auto"/>
              </w:rPr>
            </w:pPr>
            <w:r>
              <w:rPr>
                <w:rFonts w:ascii="Arial" w:cs="Arial" w:eastAsia="Arial" w:hAnsi="Arial"/>
                <w:sz w:val="18"/>
                <w:szCs w:val="18"/>
                <w:color w:val="auto"/>
                <w:w w:val="92"/>
              </w:rPr>
              <w:t>Basic net income (loss) attributable to common stockholders per common share</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sectPr>
          <w:pgSz w:w="11900" w:h="16838" w:orient="portrait"/>
          <w:cols w:equalWidth="0" w:num="1">
            <w:col w:w="11420"/>
          </w:cols>
          <w:pgMar w:left="240" w:top="130"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w w:val="99"/>
              </w:rPr>
              <w:t>Potentially dilutive securities excluded in determining diluted net loss per common share are as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3"/>
              </w:rPr>
              <w:t>Warrant shares issuable to Platinum upon exercise of common stock warrants by Platinum upon exchange of Series A</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preferred stock under the terms of the October 11, 2012 Note Purchase and Exchange Agreement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4,705,270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Outstanding warrants to purchase common stock</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15,710,885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9,873,034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10% convertible Exchange Note and Investment Notes issued to Platinum in October 2012, February 2013 and March</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2013, including accrued interest through December 31, 2013 </w:t>
            </w:r>
            <w:r>
              <w:rPr>
                <w:rFonts w:ascii="Arial" w:cs="Arial" w:eastAsia="Arial" w:hAnsi="Arial"/>
                <w:sz w:val="25"/>
                <w:szCs w:val="25"/>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7,271,640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7"/>
              </w:rPr>
              <w:t>10% Convertible note issued to Platinum on July 26, 2013, including accrued interest through December 31, 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522,339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10% Convertible notes issued as a component of Unit Offering, including accrued interest through December 31, 2013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1,186,097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51,896,231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41,985,003</w:t>
            </w:r>
          </w:p>
        </w:tc>
        <w:tc>
          <w:tcPr>
            <w:tcW w:w="0" w:type="dxa"/>
            <w:vAlign w:val="bottom"/>
          </w:tcPr>
          <w:p>
            <w:pPr>
              <w:spacing w:after="0"/>
              <w:rPr>
                <w:sz w:val="1"/>
                <w:szCs w:val="1"/>
                <w:color w:val="auto"/>
              </w:rPr>
            </w:pPr>
          </w:p>
        </w:tc>
      </w:tr>
      <w:tr>
        <w:trPr>
          <w:trHeight w:val="21"/>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93"/>
              </w:rPr>
              <w:t>____________</w:t>
            </w:r>
          </w:p>
        </w:tc>
        <w:tc>
          <w:tcPr>
            <w:tcW w:w="768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140" w:type="dxa"/>
            <w:vAlign w:val="bottom"/>
            <w:gridSpan w:val="2"/>
            <w:vMerge w:val="continue"/>
          </w:tcPr>
          <w:p>
            <w:pPr>
              <w:spacing w:after="0"/>
              <w:rPr>
                <w:sz w:val="17"/>
                <w:szCs w:val="17"/>
                <w:color w:val="auto"/>
              </w:rPr>
            </w:pPr>
          </w:p>
        </w:tc>
        <w:tc>
          <w:tcPr>
            <w:tcW w:w="76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with Platinum</w:t>
      </w:r>
    </w:p>
    <w:p>
      <w:pPr>
        <w:spacing w:after="0" w:line="2" w:lineRule="exact"/>
        <w:rPr>
          <w:rFonts w:ascii="Arial" w:cs="Arial" w:eastAsia="Arial" w:hAnsi="Arial"/>
          <w:sz w:val="23"/>
          <w:szCs w:val="23"/>
          <w:color w:val="auto"/>
          <w:vertAlign w:val="superscript"/>
        </w:rPr>
      </w:pPr>
    </w:p>
    <w:p>
      <w:pPr>
        <w:ind w:left="200" w:hanging="192"/>
        <w:spacing w:after="0" w:line="203" w:lineRule="auto"/>
        <w:tabs>
          <w:tab w:leader="none" w:pos="20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assumes conversion under the terms of the October 11, 2012 Note Exchange and Purchase Agreement with Platinum and the terms of the individual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nine months ended December 31, 2013, as compared to the recent accounting pronouncements described in the Company’s Form 10-K for the fiscal year ended March 31, 2013, that are of significance or potential significance to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2" w:lineRule="exact"/>
        <w:rPr>
          <w:sz w:val="20"/>
          <w:szCs w:val="20"/>
          <w:color w:val="auto"/>
        </w:rPr>
      </w:pPr>
    </w:p>
    <w:p>
      <w:pPr>
        <w:ind w:left="840" w:hanging="319"/>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gives the highest priority to Level 1 inputs.</w:t>
      </w:r>
    </w:p>
    <w:p>
      <w:pPr>
        <w:spacing w:after="0" w:line="197" w:lineRule="exact"/>
        <w:rPr>
          <w:rFonts w:ascii="Arial" w:cs="Arial" w:eastAsia="Arial" w:hAnsi="Arial"/>
          <w:sz w:val="18"/>
          <w:szCs w:val="18"/>
          <w:color w:val="auto"/>
        </w:rPr>
      </w:pPr>
    </w:p>
    <w:p>
      <w:pPr>
        <w:jc w:val="both"/>
        <w:ind w:left="840" w:hanging="319"/>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jc w:val="both"/>
        <w:ind w:left="840" w:hanging="319"/>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 The fair value hierarchy gives the lowest priority to Level 3 inputs.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1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all pursuant to the Note Exchange and Purchase Agreement of October 2012 between the Company and Platinum (see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and the issuance of the warrant related to the Senior Secured Convertible Promissory Note issued to Platinum in July 2013, the Company determined that the warrants included certain exercise price adjustment features requiring the warrants to be treated as liabilities, which were recorded at their estimated fair value. The Company determined the initial fair value of the warrant liability using a Monte Carlo simulation model with Level 3 inputs or the Black-Scholes Option Pricing model.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stock it holds into shares of common stock. Changes in the fair value of these warrant liabilities since March 31, 2013 have been recognized as a non-cash component of other expense, net in the Condensed Consolidated Statements of Operations and Comprehensive Loss for the quarter and nine months ended December 31, 2013.</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hierarchy for the warrant liability measured at fair value on a recurring basis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Using</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Prices 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2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Warrant liability</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2,717,100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2,717,100</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March 31, 2013:</w:t>
            </w:r>
          </w:p>
        </w:tc>
        <w:tc>
          <w:tcPr>
            <w:tcW w:w="2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Warrant liability</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6,394,000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6,394,000</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85"/>
        <w:spacing w:after="0" w:line="312" w:lineRule="auto"/>
        <w:rPr>
          <w:sz w:val="20"/>
          <w:szCs w:val="20"/>
          <w:color w:val="auto"/>
        </w:rPr>
      </w:pPr>
      <w:r>
        <w:rPr>
          <w:rFonts w:ascii="Arial" w:cs="Arial" w:eastAsia="Arial" w:hAnsi="Arial"/>
          <w:sz w:val="16"/>
          <w:szCs w:val="16"/>
          <w:color w:val="auto"/>
        </w:rPr>
        <w:t xml:space="preserve">During the nine month period ended December 31, 2013, there was no significant change to the valuation models used for purposes of determining the fair value of the Level 3 warrant liability. The decline in the market price of the Company’s common stock since March 31, 2013 and the reduction in the exercise price of the warrants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are the primary factors resulting in the reduction in the warrant liability.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28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3"/>
          </w:tcPr>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6"/>
              </w:rPr>
              <w:t>Measurements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w w:val="93"/>
              </w:rPr>
              <w:t>Recognition of warrant liability upon issuance of Senior Secured Convertible Promissory Note and warrant to Platinum on July 26, 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to market gain included in net loss</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(3,823,700)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2,717,100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gridSpan w:val="2"/>
            <w:vMerge w:val="restart"/>
          </w:tcPr>
          <w:p>
            <w:pPr>
              <w:ind w:left="820"/>
              <w:spacing w:after="0"/>
              <w:rPr>
                <w:sz w:val="20"/>
                <w:szCs w:val="20"/>
                <w:color w:val="auto"/>
              </w:rPr>
            </w:pPr>
            <w:r>
              <w:rPr>
                <w:rFonts w:ascii="Arial" w:cs="Arial" w:eastAsia="Arial" w:hAnsi="Arial"/>
                <w:sz w:val="18"/>
                <w:szCs w:val="18"/>
                <w:color w:val="auto"/>
                <w:w w:val="97"/>
              </w:rPr>
              <w:t>No assets or other liabilities were carried at fair value at December 31, 2013 or March 31, 2013.</w:t>
            </w: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160" w:type="dxa"/>
            <w:vAlign w:val="bottom"/>
            <w:gridSpan w:val="4"/>
          </w:tcPr>
          <w:p>
            <w:pPr>
              <w:ind w:left="820"/>
              <w:spacing w:after="0"/>
              <w:rPr>
                <w:sz w:val="20"/>
                <w:szCs w:val="20"/>
                <w:color w:val="auto"/>
              </w:rPr>
            </w:pPr>
            <w:r>
              <w:rPr>
                <w:rFonts w:ascii="Arial" w:cs="Arial" w:eastAsia="Arial" w:hAnsi="Arial"/>
                <w:sz w:val="18"/>
                <w:szCs w:val="18"/>
                <w:color w:val="auto"/>
                <w:w w:val="89"/>
              </w:rPr>
              <w:t>Prepaid expenses and other current assets is composed of the following at December 31, 2013 and March 31, 2013: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0"/>
              <w:spacing w:after="0"/>
              <w:rPr>
                <w:sz w:val="20"/>
                <w:szCs w:val="20"/>
                <w:color w:val="auto"/>
              </w:rPr>
            </w:pPr>
            <w:r>
              <w:rPr>
                <w:rFonts w:ascii="Arial" w:cs="Arial" w:eastAsia="Arial" w:hAnsi="Arial"/>
                <w:sz w:val="18"/>
                <w:szCs w:val="18"/>
                <w:color w:val="auto"/>
              </w:rPr>
              <w:t>Legal fees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receivable on note receivable from sale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license fees and all other</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70,600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1"/>
        </w:trPr>
        <w:tc>
          <w:tcPr>
            <w:tcW w:w="8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Accrued Expenses</w:t>
            </w: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60" w:type="dxa"/>
            <w:vAlign w:val="bottom"/>
            <w:gridSpan w:val="2"/>
          </w:tcPr>
          <w:p>
            <w:pPr>
              <w:ind w:left="640"/>
              <w:spacing w:after="0"/>
              <w:rPr>
                <w:sz w:val="20"/>
                <w:szCs w:val="20"/>
                <w:color w:val="auto"/>
              </w:rPr>
            </w:pPr>
            <w:r>
              <w:rPr>
                <w:rFonts w:ascii="Arial" w:cs="Arial" w:eastAsia="Arial" w:hAnsi="Arial"/>
                <w:sz w:val="18"/>
                <w:szCs w:val="18"/>
                <w:color w:val="auto"/>
              </w:rPr>
              <w:t>Accrued expenses is composed of the following at December 31, 2013 and March 31, 2013:</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royalties and license fees</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All other</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8260" w:type="dxa"/>
            <w:vAlign w:val="bottom"/>
            <w:tcBorders>
              <w:top w:val="single" w:sz="8" w:color="CCEEFF"/>
            </w:tcBorders>
            <w:gridSpan w:val="2"/>
          </w:tcPr>
          <w:p>
            <w:pPr>
              <w:ind w:left="5540"/>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line="87"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Promissory Notes and Other Notes Payable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Company’s secured and unsecured promissory notes and other notes payable at December 31, 2013 and March 31,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December 31, 2013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March 31, 2013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8"/>
              </w:rPr>
              <w:t>Principal</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6"/>
              </w:rPr>
              <w:t>Accrued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20"/>
              <w:spacing w:after="0" w:line="201" w:lineRule="exact"/>
              <w:rPr>
                <w:sz w:val="20"/>
                <w:szCs w:val="20"/>
                <w:color w:val="auto"/>
              </w:rPr>
            </w:pPr>
            <w:r>
              <w:rPr>
                <w:rFonts w:ascii="Arial" w:cs="Arial" w:eastAsia="Arial" w:hAnsi="Arial"/>
                <w:sz w:val="18"/>
                <w:szCs w:val="18"/>
                <w:color w:val="auto"/>
                <w:w w:val="98"/>
              </w:rPr>
              <w:t>Principal</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6"/>
              </w:rPr>
              <w:t>Accrued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Balance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Interest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90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Senior Secured 10% Convertible Promissory</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 issued to Platinum:</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Exchange Note issued on October 11, 2012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1,272,600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1,439,700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1,272,600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Investment Note issued on October 11, 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565,700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Note issued on October 19, 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Investment Note issued on February 22,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Note issued on March 12,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3,272,600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383,200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3,655,800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3,272,600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3,388,800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60"/>
              <w:spacing w:after="0" w:line="201" w:lineRule="exact"/>
              <w:rPr>
                <w:sz w:val="20"/>
                <w:szCs w:val="20"/>
                <w:color w:val="auto"/>
              </w:rPr>
            </w:pPr>
            <w:r>
              <w:rPr>
                <w:rFonts w:ascii="Arial" w:cs="Arial" w:eastAsia="Arial" w:hAnsi="Arial"/>
                <w:sz w:val="18"/>
                <w:szCs w:val="18"/>
                <w:color w:val="auto"/>
                <w:w w:val="99"/>
              </w:rPr>
              <w:t>Convertible promissory note issued on July 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jc w:val="right"/>
              <w:ind w:right="29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261,200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Senior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3,917,000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3,272,600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Aggregate 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(2,135,800)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(1,963,100)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(1,963,100)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Net Senior notes (non-current)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1,386,800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394,400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1,781,200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1,309,500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116,200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1,425,700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8"/>
              </w:rPr>
              <w:t>10% Convertible Promissory Notes (2013 Unit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Notes)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580,000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593,100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Net convertible notes (all current)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156,100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169,200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 Notes payable to service providers for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converted to notes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Burr, Pilger, Mayer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90,400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95,500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90,400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Desjardins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McCarthy Tetrault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373,300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392,100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403,100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August 2012 Morrison &amp; Foerster Note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60"/>
              <w:spacing w:after="0" w:line="216" w:lineRule="exact"/>
              <w:rPr>
                <w:sz w:val="20"/>
                <w:szCs w:val="20"/>
                <w:color w:val="auto"/>
              </w:rPr>
            </w:pPr>
            <w:r>
              <w:rPr>
                <w:rFonts w:ascii="Arial" w:cs="Arial" w:eastAsia="Arial" w:hAnsi="Arial"/>
                <w:sz w:val="18"/>
                <w:szCs w:val="18"/>
                <w:color w:val="auto"/>
                <w:w w:val="99"/>
              </w:rPr>
              <w:t xml:space="preserve">August 2012 Morrison &amp; Foerster Note B </w:t>
            </w:r>
            <w:r>
              <w:rPr>
                <w:rFonts w:ascii="Arial" w:cs="Arial" w:eastAsia="Arial" w:hAnsi="Arial"/>
                <w:sz w:val="25"/>
                <w:szCs w:val="25"/>
                <w:color w:val="auto"/>
                <w:w w:val="99"/>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1,379,400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161,100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1,540,500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1,379,400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3,495,600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3,805,800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3,553,900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3,635,900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(1,142,600)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2,566,600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2,876,800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2,411,300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2,493,300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non-current portion and discount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2,213,800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211,600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2,425,400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1,961,000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79,500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2,040,500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8"/>
              </w:rPr>
              <w:t>5.75% and 10.25% Notes payable to 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 financing company (current)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10% Notes payable to vendors for accounts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 converted to notes payable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151,100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(151,100)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(128,800)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non-current portion</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 Note payable (August 2012)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 Notes payable - non-current portion</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notes payable to unrelated parties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3,702,200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4,046,800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3,746,300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(638,600)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(591,400)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(617,200)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3,408,200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3,154,900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less: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(929,000)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(1,142,600)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2,267,600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2,479,200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2,012,300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2,091,800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October 2012 7.5% Note to Cato Holding Co.</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318,400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line="216" w:lineRule="exact"/>
              <w:rPr>
                <w:sz w:val="20"/>
                <w:szCs w:val="20"/>
                <w:color w:val="auto"/>
              </w:rPr>
            </w:pPr>
            <w:r>
              <w:rPr>
                <w:rFonts w:ascii="Arial" w:cs="Arial" w:eastAsia="Arial" w:hAnsi="Arial"/>
                <w:sz w:val="18"/>
                <w:szCs w:val="18"/>
                <w:color w:val="auto"/>
                <w:w w:val="93"/>
              </w:rPr>
              <w:t xml:space="preserve">October 2012 7.5% Note to Cato Research Ltd. </w:t>
            </w:r>
            <w:r>
              <w:rPr>
                <w:rFonts w:ascii="Arial" w:cs="Arial" w:eastAsia="Arial" w:hAnsi="Arial"/>
                <w:sz w:val="25"/>
                <w:szCs w:val="25"/>
                <w:color w:val="auto"/>
                <w:w w:val="93"/>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1,105,800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1,009,000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1,045,200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520"/>
              <w:spacing w:after="0"/>
              <w:rPr>
                <w:sz w:val="20"/>
                <w:szCs w:val="20"/>
                <w:color w:val="auto"/>
              </w:rPr>
            </w:pPr>
            <w:r>
              <w:rPr>
                <w:rFonts w:ascii="Arial" w:cs="Arial" w:eastAsia="Arial" w:hAnsi="Arial"/>
                <w:sz w:val="18"/>
                <w:szCs w:val="18"/>
                <w:color w:val="auto"/>
              </w:rPr>
              <w:t>Note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(147,200)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notes payable to related parties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(85,600)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portion and discount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1,112,900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1,209,700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1,069,800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25" w:orient="portrait"/>
          <w:cols w:equalWidth="0" w:num="1">
            <w:col w:w="11420"/>
          </w:cols>
          <w:pgMar w:left="240" w:top="130" w:right="239" w:bottom="0" w:gutter="0" w:footer="0" w:header="0"/>
        </w:sectPr>
      </w:pPr>
    </w:p>
    <w:bookmarkStart w:id="13" w:name="page14"/>
    <w:bookmarkEnd w:id="13"/>
    <w:p>
      <w:pPr>
        <w:ind w:left="192" w:hanging="192"/>
        <w:spacing w:after="0"/>
        <w:tabs>
          <w:tab w:leader="none" w:pos="192"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Note and interest payable solely in restricted shares of the Company's common stock.</w:t>
      </w:r>
    </w:p>
    <w:p>
      <w:pPr>
        <w:sectPr>
          <w:pgSz w:w="11900" w:h="16838" w:orient="portrait"/>
          <w:cols w:equalWidth="0" w:num="1">
            <w:col w:w="10211"/>
          </w:cols>
          <w:pgMar w:left="248" w:top="103" w:right="1440" w:bottom="1440" w:gutter="0" w:footer="0" w:header="0"/>
        </w:sectPr>
      </w:pPr>
    </w:p>
    <w:p>
      <w:pPr>
        <w:spacing w:after="0" w:line="350" w:lineRule="exact"/>
        <w:rPr>
          <w:sz w:val="20"/>
          <w:szCs w:val="20"/>
          <w:color w:val="auto"/>
        </w:rPr>
      </w:pPr>
    </w:p>
    <w:p>
      <w:pPr>
        <w:ind w:left="555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03" w:right="1440" w:bottom="1440" w:gutter="0" w:footer="0" w:header="0"/>
          <w:type w:val="continuous"/>
        </w:sectPr>
      </w:pPr>
    </w:p>
    <w:bookmarkStart w:id="14" w:name="page15"/>
    <w:bookmarkEnd w:id="1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Convertible Promissory Notes Issued to Platinum</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July 2, 2012 and on August 31, 2012, the Company issued to Platinum senior secured convertible promissory notes in the principal amount of $500,000 (the </w:t>
      </w:r>
      <w:r>
        <w:rPr>
          <w:rFonts w:ascii="Arial" w:cs="Arial" w:eastAsia="Arial" w:hAnsi="Arial"/>
          <w:sz w:val="18"/>
          <w:szCs w:val="18"/>
          <w:i w:val="1"/>
          <w:iCs w:val="1"/>
          <w:color w:val="auto"/>
        </w:rPr>
        <w:t>“July 2012 Platinum Note</w:t>
      </w:r>
      <w:r>
        <w:rPr>
          <w:rFonts w:ascii="Arial" w:cs="Arial" w:eastAsia="Arial" w:hAnsi="Arial"/>
          <w:sz w:val="18"/>
          <w:szCs w:val="18"/>
          <w:color w:val="auto"/>
        </w:rPr>
        <w:t>”) and $750,000 (the "</w:t>
      </w:r>
      <w:r>
        <w:rPr>
          <w:rFonts w:ascii="Arial" w:cs="Arial" w:eastAsia="Arial" w:hAnsi="Arial"/>
          <w:sz w:val="18"/>
          <w:szCs w:val="18"/>
          <w:i w:val="1"/>
          <w:iCs w:val="1"/>
          <w:color w:val="auto"/>
        </w:rPr>
        <w:t>August 2012 Platinum Note</w:t>
      </w:r>
      <w:r>
        <w:rPr>
          <w:rFonts w:ascii="Arial" w:cs="Arial" w:eastAsia="Arial" w:hAnsi="Arial"/>
          <w:sz w:val="18"/>
          <w:szCs w:val="18"/>
          <w:color w:val="auto"/>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11, 2012, the Company and Platinum entered into a Note Exchange and Purchase Agreement (the “</w:t>
      </w:r>
      <w:r>
        <w:rPr>
          <w:rFonts w:ascii="Arial" w:cs="Arial" w:eastAsia="Arial" w:hAnsi="Arial"/>
          <w:sz w:val="17"/>
          <w:szCs w:val="17"/>
          <w:i w:val="1"/>
          <w:iCs w:val="1"/>
          <w:color w:val="auto"/>
        </w:rPr>
        <w:t>October 2012 Agreement</w:t>
      </w:r>
      <w:r>
        <w:rPr>
          <w:rFonts w:ascii="Arial" w:cs="Arial" w:eastAsia="Arial" w:hAnsi="Arial"/>
          <w:sz w:val="17"/>
          <w:szCs w:val="17"/>
          <w:color w:val="auto"/>
        </w:rPr>
        <w:t>”) in which the July 2012 Platinum Note and the August 2012 Platinum Note (together, the “</w:t>
      </w:r>
      <w:r>
        <w:rPr>
          <w:rFonts w:ascii="Arial" w:cs="Arial" w:eastAsia="Arial" w:hAnsi="Arial"/>
          <w:sz w:val="17"/>
          <w:szCs w:val="17"/>
          <w:i w:val="1"/>
          <w:iCs w:val="1"/>
          <w:color w:val="auto"/>
        </w:rPr>
        <w:t>Existing Notes</w:t>
      </w:r>
      <w:r>
        <w:rPr>
          <w:rFonts w:ascii="Arial" w:cs="Arial" w:eastAsia="Arial" w:hAnsi="Arial"/>
          <w:sz w:val="17"/>
          <w:szCs w:val="17"/>
          <w:color w:val="auto"/>
        </w:rPr>
        <w:t>”), as well as the related accrued interest, were consolidated into and exchanged for a single senior secured convertible note in the amount of $1,272,600 (the “</w:t>
      </w:r>
      <w:r>
        <w:rPr>
          <w:rFonts w:ascii="Arial" w:cs="Arial" w:eastAsia="Arial" w:hAnsi="Arial"/>
          <w:sz w:val="17"/>
          <w:szCs w:val="17"/>
          <w:i w:val="1"/>
          <w:iCs w:val="1"/>
          <w:color w:val="auto"/>
        </w:rPr>
        <w:t>Exchange Note</w:t>
      </w:r>
      <w:r>
        <w:rPr>
          <w:rFonts w:ascii="Arial" w:cs="Arial" w:eastAsia="Arial" w:hAnsi="Arial"/>
          <w:sz w:val="17"/>
          <w:szCs w:val="17"/>
          <w:color w:val="auto"/>
        </w:rPr>
        <w:t>”) and Platinum agreed to purchase four additional 10% senior secured convertible promissory notes in the aggregate principal amount of $2.0 million (the “</w:t>
      </w:r>
      <w:r>
        <w:rPr>
          <w:rFonts w:ascii="Arial" w:cs="Arial" w:eastAsia="Arial" w:hAnsi="Arial"/>
          <w:sz w:val="17"/>
          <w:szCs w:val="17"/>
          <w:i w:val="1"/>
          <w:iCs w:val="1"/>
          <w:color w:val="auto"/>
        </w:rPr>
        <w:t>Investment Notes</w:t>
      </w:r>
      <w:r>
        <w:rPr>
          <w:rFonts w:ascii="Arial" w:cs="Arial" w:eastAsia="Arial" w:hAnsi="Arial"/>
          <w:sz w:val="17"/>
          <w:szCs w:val="17"/>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14, 2012 and January 31, 2013, the Company and Platinum entered into amendments to the October 2012 Agreement (the “</w:t>
      </w:r>
      <w:r>
        <w:rPr>
          <w:rFonts w:ascii="Arial" w:cs="Arial" w:eastAsia="Arial" w:hAnsi="Arial"/>
          <w:sz w:val="17"/>
          <w:szCs w:val="17"/>
          <w:i w:val="1"/>
          <w:iCs w:val="1"/>
          <w:color w:val="auto"/>
        </w:rPr>
        <w:t>NEPA</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w:t>
      </w:r>
      <w:r>
        <w:rPr>
          <w:rFonts w:ascii="Arial" w:cs="Arial" w:eastAsia="Arial" w:hAnsi="Arial"/>
          <w:sz w:val="17"/>
          <w:szCs w:val="17"/>
          <w:color w:val="auto"/>
        </w:rPr>
        <w:t>”), pursuant to which the final two $500,000 tranches contemplated by the October 2012 Agreement were combined into a single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 in the aggregate principal amount of $1.0 million (the </w:t>
      </w:r>
      <w:r>
        <w:rPr>
          <w:rFonts w:ascii="Arial" w:cs="Arial" w:eastAsia="Arial" w:hAnsi="Arial"/>
          <w:sz w:val="17"/>
          <w:szCs w:val="17"/>
          <w:i w:val="1"/>
          <w:iCs w:val="1"/>
          <w:color w:val="auto"/>
        </w:rPr>
        <w:t>“$1.0 Million Note</w:t>
      </w:r>
      <w:r>
        <w:rPr>
          <w:rFonts w:ascii="Arial" w:cs="Arial" w:eastAsia="Arial" w:hAnsi="Arial"/>
          <w:sz w:val="17"/>
          <w:szCs w:val="17"/>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7"/>
          <w:szCs w:val="17"/>
          <w:i w:val="1"/>
          <w:iCs w:val="1"/>
          <w:color w:val="auto"/>
        </w:rPr>
        <w:t>Additional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w:t>
      </w:r>
      <w:r>
        <w:rPr>
          <w:rFonts w:ascii="Arial" w:cs="Arial" w:eastAsia="Arial" w:hAnsi="Arial"/>
          <w:sz w:val="17"/>
          <w:szCs w:val="17"/>
          <w:color w:val="auto"/>
        </w:rPr>
        <w:t>”). The Company satisfied the Additional Financing Requirement on February 12, 2013. Effective February 22, 2013,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Exchange Note and each Investment Note (together, the “</w:t>
      </w:r>
      <w:r>
        <w:rPr>
          <w:rFonts w:ascii="Arial" w:cs="Arial" w:eastAsia="Arial" w:hAnsi="Arial"/>
          <w:sz w:val="17"/>
          <w:szCs w:val="17"/>
          <w:i w:val="1"/>
          <w:iCs w:val="1"/>
          <w:color w:val="auto"/>
        </w:rPr>
        <w:t>Notes</w:t>
      </w:r>
      <w:r>
        <w:rPr>
          <w:rFonts w:ascii="Arial" w:cs="Arial" w:eastAsia="Arial" w:hAnsi="Arial"/>
          <w:sz w:val="17"/>
          <w:szCs w:val="17"/>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respective Investment Notes. At maturity, all principal and accrued interest under the Notes will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6"/>
          <w:szCs w:val="16"/>
          <w:i w:val="1"/>
          <w:iCs w:val="1"/>
          <w:color w:val="auto"/>
        </w:rPr>
        <w:t>Investment Warrant</w:t>
      </w:r>
      <w:r>
        <w:rPr>
          <w:rFonts w:ascii="Arial" w:cs="Arial" w:eastAsia="Arial" w:hAnsi="Arial"/>
          <w:sz w:val="16"/>
          <w:szCs w:val="16"/>
          <w:color w:val="auto"/>
        </w:rPr>
        <w:t>”). In addition, the Company issued Platinum a warrant to purchase 1,272,577 shares of the Company’s common stock in connection with the issuance of the Exchange Note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Warrant</w:t>
      </w:r>
      <w:r>
        <w:rPr>
          <w:rFonts w:ascii="Arial" w:cs="Arial" w:eastAsia="Arial" w:hAnsi="Arial"/>
          <w:sz w:val="16"/>
          <w:szCs w:val="16"/>
          <w:color w:val="auto"/>
        </w:rPr>
        <w:t>”). At issuance, the Platinum Exchange Warrant and each Investment Warrant had a term of 5 years and an exercise price of $1.50 per share,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certain adjustments. See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regarding a modification of the exercise price of the Exchange Warrant and the Investment Warrants made in May 2013. In connection with the October 2012 Agreement, the Company and Platinum also executed and subsequently amended a security agreement to secure repayment of all obligations due and payable under the terms of the Exchange Note and all of the Investment Notes.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July 26, 2013, the Company issued an additional senior secured convertible promissory note in the principal amount of $250,000 to Platinum (the “</w:t>
      </w:r>
      <w:r>
        <w:rPr>
          <w:rFonts w:ascii="Arial" w:cs="Arial" w:eastAsia="Arial" w:hAnsi="Arial"/>
          <w:sz w:val="16"/>
          <w:szCs w:val="16"/>
          <w:i w:val="1"/>
          <w:iCs w:val="1"/>
          <w:color w:val="auto"/>
        </w:rPr>
        <w:t>July 2013 Note</w:t>
      </w:r>
      <w:r>
        <w:rPr>
          <w:rFonts w:ascii="Arial" w:cs="Arial" w:eastAsia="Arial" w:hAnsi="Arial"/>
          <w:sz w:val="16"/>
          <w:szCs w:val="16"/>
          <w:color w:val="auto"/>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earlier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6"/>
          <w:szCs w:val="16"/>
          <w:i w:val="1"/>
          <w:iCs w:val="1"/>
          <w:color w:val="auto"/>
        </w:rPr>
        <w:t>July 2013 Warrant</w:t>
      </w:r>
      <w:r>
        <w:rPr>
          <w:rFonts w:ascii="Arial" w:cs="Arial" w:eastAsia="Arial" w:hAnsi="Arial"/>
          <w:sz w:val="16"/>
          <w:szCs w:val="16"/>
          <w:color w:val="auto"/>
        </w:rPr>
        <w:t xml:space="preserve">”). In addition, the Company granted Platinum the right to exchange all amounts due under the terms of the July 2013 Note into the 2013 Unit Private Placement securities (see Note 9, </w:t>
      </w:r>
      <w:r>
        <w:rPr>
          <w:rFonts w:ascii="Arial" w:cs="Arial" w:eastAsia="Arial" w:hAnsi="Arial"/>
          <w:sz w:val="16"/>
          <w:szCs w:val="16"/>
          <w:i w:val="1"/>
          <w:iCs w:val="1"/>
          <w:color w:val="auto"/>
        </w:rPr>
        <w:t>Capital Stock</w:t>
      </w:r>
      <w:r>
        <w:rPr>
          <w:rFonts w:ascii="Arial" w:cs="Arial" w:eastAsia="Arial" w:hAnsi="Arial"/>
          <w:sz w:val="16"/>
          <w:szCs w:val="16"/>
          <w:color w:val="auto"/>
        </w:rPr>
        <w:t>) offered by the Company to third party investors to finance its short-term working capital needs (the “</w:t>
      </w:r>
      <w:r>
        <w:rPr>
          <w:rFonts w:ascii="Arial" w:cs="Arial" w:eastAsia="Arial" w:hAnsi="Arial"/>
          <w:sz w:val="16"/>
          <w:szCs w:val="16"/>
          <w:i w:val="1"/>
          <w:iCs w:val="1"/>
          <w:color w:val="auto"/>
        </w:rPr>
        <w:t>Exchange Securities</w:t>
      </w:r>
      <w:r>
        <w:rPr>
          <w:rFonts w:ascii="Arial" w:cs="Arial" w:eastAsia="Arial" w:hAnsi="Arial"/>
          <w:sz w:val="16"/>
          <w:szCs w:val="16"/>
          <w:color w:val="auto"/>
        </w:rPr>
        <w:t>”). Upon the Company’s receipt of gross proceeds of at least $10.0 million from the Autilion Financing, the Company expects the July 2013 Note to be converted into the Exchange Securities.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Subject to limited exceptions,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exercise price (subsequently modified to $0.50 per share exercise price as described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or $0.50 per share exercise price in the case of the July 2013 Warrant. As a result of these provisions, the Exchange Warrant, the Investment Warrants and the July 2013 Warrant do not meet the criteria set forth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to be considered indexed to the Company’s own stock and treated as equity instruments. Consequently, the Company recorded the Exchange Warrant, each of the Investment Warrants and the July 2013 Warrant as liabilities at their fair value, which was estimated at the issuance date using a Monte Carlo simulation model or the Black-Scholes Option Pricing model. The fair value of the Exchange Warrant at the date of issuance was recorded as a liability and as a corresponding charge to loss on early extinguishment of debt in the Statement of Operations and Comprehensive Income in the third quarter of the fiscal year ended March 31, 2013. The fair value of each Investment Warrant at the date of issuance was recorded as a liability and as a corresponding discount to the respective Investment Note. Subject to limitations of the absolute amount of discount attributable to each Investment Note and the July 2013 Note, the Company treated the issuance-date intrinsic value of the beneficial conversion feature embedded in each note as an additional component of the discount attributable to each note and recorded a discount attributable to the beneficial conversion feature for each note.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July 2013 Warrant at inception was determined to be $146,800 using the Black-Scholes Option Pricing Model and the following assumptions: market price per share: $0.75; exercise price per share: $0.50; risk-free interest rate: 1.36%; contractual term: 5.0 years; volatility: 96.9%; expected dividend rate: 0%. The fair value was recorded as a liability and as a corresponding discount to the July 2013 Note. The table below summarizes the components of the discount and the effective interest rate at inception for the July 2013 Note.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Face value</w:t>
            </w:r>
          </w:p>
        </w:tc>
        <w:tc>
          <w:tcPr>
            <w:tcW w:w="3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r>
      <w:tr>
        <w:trPr>
          <w:trHeight w:val="216"/>
        </w:trPr>
        <w:tc>
          <w:tcPr>
            <w:tcW w:w="6480" w:type="dxa"/>
            <w:vAlign w:val="bottom"/>
          </w:tcPr>
          <w:p>
            <w:pPr>
              <w:ind w:left="60"/>
              <w:spacing w:after="0"/>
              <w:rPr>
                <w:sz w:val="20"/>
                <w:szCs w:val="20"/>
                <w:color w:val="auto"/>
              </w:rPr>
            </w:pPr>
            <w:r>
              <w:rPr>
                <w:rFonts w:ascii="Arial" w:cs="Arial" w:eastAsia="Arial" w:hAnsi="Arial"/>
                <w:sz w:val="18"/>
                <w:szCs w:val="18"/>
                <w:color w:val="auto"/>
              </w:rPr>
              <w:t>Discount attributable to:</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warrant</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(146,800)</w:t>
            </w:r>
          </w:p>
        </w:tc>
      </w:tr>
      <w:tr>
        <w:trPr>
          <w:trHeight w:val="223"/>
        </w:trPr>
        <w:tc>
          <w:tcPr>
            <w:tcW w:w="6480" w:type="dxa"/>
            <w:vAlign w:val="bottom"/>
          </w:tcPr>
          <w:p>
            <w:pPr>
              <w:ind w:left="720"/>
              <w:spacing w:after="0"/>
              <w:rPr>
                <w:sz w:val="20"/>
                <w:szCs w:val="20"/>
                <w:color w:val="auto"/>
              </w:rPr>
            </w:pPr>
            <w:r>
              <w:rPr>
                <w:rFonts w:ascii="Arial" w:cs="Arial" w:eastAsia="Arial" w:hAnsi="Arial"/>
                <w:sz w:val="18"/>
                <w:szCs w:val="18"/>
                <w:color w:val="auto"/>
              </w:rPr>
              <w:t>Beneficial conversion feature</w:t>
            </w:r>
          </w:p>
        </w:tc>
        <w:tc>
          <w:tcPr>
            <w:tcW w:w="3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(100,700)</w:t>
            </w:r>
          </w:p>
        </w:tc>
      </w:tr>
      <w:tr>
        <w:trPr>
          <w:trHeight w:val="257"/>
        </w:trPr>
        <w:tc>
          <w:tcPr>
            <w:tcW w:w="6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Inception date carrying value</w:t>
            </w:r>
          </w:p>
        </w:tc>
        <w:tc>
          <w:tcPr>
            <w:tcW w:w="3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6480" w:type="dxa"/>
            <w:vAlign w:val="bottom"/>
          </w:tcPr>
          <w:p>
            <w:pPr>
              <w:ind w:left="60"/>
              <w:spacing w:after="0"/>
              <w:rPr>
                <w:sz w:val="20"/>
                <w:szCs w:val="20"/>
                <w:color w:val="auto"/>
              </w:rPr>
            </w:pPr>
            <w:r>
              <w:rPr>
                <w:rFonts w:ascii="Arial" w:cs="Arial" w:eastAsia="Arial" w:hAnsi="Arial"/>
                <w:sz w:val="18"/>
                <w:szCs w:val="18"/>
                <w:color w:val="auto"/>
              </w:rPr>
              <w:t>Effective Interest Rate</w:t>
            </w:r>
          </w:p>
        </w:tc>
        <w:tc>
          <w:tcPr>
            <w:tcW w:w="3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159.05%</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amortizes the aggregate discount attributable to each of the Investment Notes and the July 2013 Note using the interest method over the respective term of each note. The effective interest rate attributable to the July 2013 Note is 159.05%</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the Exchange Warrant, Investment Warrants and the July 2013 Warrant was re-measured as of December 31, 2013 at an aggregate fair value of $780,400. The accompanying Condensed Consolidated Statement of Operations and Comprehensive Loss reflects the $620,900 and $1,354,400 decrease in fair value of these warrants for the quarter and nine months ended December 31, 2013,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2013 Unit Private Placement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described more completely in the section entitled 2013 Unit Private Placement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between August and December 2013, the Company issued to accredited investors 10% convertible notes (the “</w:t>
      </w:r>
      <w:r>
        <w:rPr>
          <w:rFonts w:ascii="Arial" w:cs="Arial" w:eastAsia="Arial" w:hAnsi="Arial"/>
          <w:sz w:val="18"/>
          <w:szCs w:val="18"/>
          <w:i w:val="1"/>
          <w:iCs w:val="1"/>
          <w:color w:val="auto"/>
        </w:rPr>
        <w:t>Unit Notes</w:t>
      </w:r>
      <w:r>
        <w:rPr>
          <w:rFonts w:ascii="Arial" w:cs="Arial" w:eastAsia="Arial" w:hAnsi="Arial"/>
          <w:sz w:val="18"/>
          <w:szCs w:val="18"/>
          <w:color w:val="auto"/>
        </w:rPr>
        <w:t>”) in an aggregate face amount of $580,000 in connection with its private placement offering of Units. The Unit Notes mature on July 30, 2014 and each Unit Note and its related accrued interest is convertible into shares of the Company’s common stock at a fixed conversion price of $0.50 per share at or prior to maturity, at the option of the investor. The Company has the right to prepay the Unit Notes and accrued interest in cash prior to maturity without penalty.</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allocated the proceeds from the sale of the Units to the Unit Notes, the common stock and the warrants comprising the Units based on the relative fair values of the individual securities on the dates of the Unit sales. Based on the short-duration of the Unit Notes and their other terms, the Company determined that the fair value of the Unit Notes at the date of issuance was equal to their face value. Accordingly, the Company recorded an initial discount attributable to each Unit Note for an amount representing the difference between the face value of the Unit Note and its relative value. Additionally, the Unit Notes contain an embedded conversion feature, certain of which have an intrinsic value at the issuance date, which value the Company treated as an additional discount attributable to those Unit Notes, subject to limitations on the absolute amount of discount attributable to each Unit Note. The Company recorded a corresponding credit to additional paid-in capital, an equity account in the Condensed Consolidated Balance Sheet, attributable to the beneficial conversion feature. The Company amortizes the aggregate discount attributable to each of the Unit Notes using the interest method over the respective term of each Unit Note. Based on their respective discounts, the effective interest rates attributable to the Unit Notes range from 72.8% to 701.9%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Morrison &amp; Foerster</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5, 2011, the Company and Morrison &amp; Foerster LLP (“</w:t>
      </w:r>
      <w:r>
        <w:rPr>
          <w:rFonts w:ascii="Arial" w:cs="Arial" w:eastAsia="Arial" w:hAnsi="Arial"/>
          <w:sz w:val="18"/>
          <w:szCs w:val="18"/>
          <w:i w:val="1"/>
          <w:iCs w:val="1"/>
          <w:color w:val="auto"/>
        </w:rPr>
        <w:t>Morrison &amp; Foerster</w:t>
      </w:r>
      <w:r>
        <w:rPr>
          <w:rFonts w:ascii="Arial" w:cs="Arial" w:eastAsia="Arial" w:hAnsi="Arial"/>
          <w:sz w:val="18"/>
          <w:szCs w:val="18"/>
          <w:color w:val="auto"/>
        </w:rPr>
        <w:t>”), the Company’s legal and intellectual property counsel, amended a previously outstanding note (the “</w:t>
      </w:r>
      <w:r>
        <w:rPr>
          <w:rFonts w:ascii="Arial" w:cs="Arial" w:eastAsia="Arial" w:hAnsi="Arial"/>
          <w:sz w:val="18"/>
          <w:szCs w:val="18"/>
          <w:i w:val="1"/>
          <w:iCs w:val="1"/>
          <w:color w:val="auto"/>
        </w:rPr>
        <w:t>Original Note</w:t>
      </w:r>
      <w:r>
        <w:rPr>
          <w:rFonts w:ascii="Arial" w:cs="Arial" w:eastAsia="Arial" w:hAnsi="Arial"/>
          <w:sz w:val="18"/>
          <w:szCs w:val="18"/>
          <w:color w:val="auto"/>
        </w:rPr>
        <w:t>”) issued by the Company in payment of legal services (the “</w:t>
      </w:r>
      <w:r>
        <w:rPr>
          <w:rFonts w:ascii="Arial" w:cs="Arial" w:eastAsia="Arial" w:hAnsi="Arial"/>
          <w:sz w:val="18"/>
          <w:szCs w:val="18"/>
          <w:i w:val="1"/>
          <w:iCs w:val="1"/>
          <w:color w:val="auto"/>
        </w:rPr>
        <w:t>Amended Note</w:t>
      </w:r>
      <w:r>
        <w:rPr>
          <w:rFonts w:ascii="Arial" w:cs="Arial" w:eastAsia="Arial" w:hAnsi="Arial"/>
          <w:sz w:val="18"/>
          <w:szCs w:val="18"/>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which the Company made in a timely manner.</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August 31, 2012, the Company restructured the Amended Note (the “</w:t>
      </w:r>
      <w:r>
        <w:rPr>
          <w:rFonts w:ascii="Arial" w:cs="Arial" w:eastAsia="Arial" w:hAnsi="Arial"/>
          <w:sz w:val="16"/>
          <w:szCs w:val="16"/>
          <w:i w:val="1"/>
          <w:iCs w:val="1"/>
          <w:color w:val="auto"/>
        </w:rPr>
        <w:t>Restructuring Agreement</w:t>
      </w:r>
      <w:r>
        <w:rPr>
          <w:rFonts w:ascii="Arial" w:cs="Arial" w:eastAsia="Arial" w:hAnsi="Arial"/>
          <w:sz w:val="16"/>
          <w:szCs w:val="16"/>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6"/>
          <w:szCs w:val="16"/>
          <w:i w:val="1"/>
          <w:iCs w:val="1"/>
          <w:color w:val="auto"/>
        </w:rPr>
        <w:t>Replacement Note A</w:t>
      </w:r>
      <w:r>
        <w:rPr>
          <w:rFonts w:ascii="Arial" w:cs="Arial" w:eastAsia="Arial" w:hAnsi="Arial"/>
          <w:sz w:val="16"/>
          <w:szCs w:val="16"/>
          <w:color w:val="auto"/>
        </w:rPr>
        <w:t>") and the other in the principal amount of $1,379,400 ("</w:t>
      </w:r>
      <w:r>
        <w:rPr>
          <w:rFonts w:ascii="Arial" w:cs="Arial" w:eastAsia="Arial" w:hAnsi="Arial"/>
          <w:sz w:val="16"/>
          <w:szCs w:val="16"/>
          <w:i w:val="1"/>
          <w:iCs w:val="1"/>
          <w:color w:val="auto"/>
        </w:rPr>
        <w:t>Replacement Note B</w:t>
      </w:r>
      <w:r>
        <w:rPr>
          <w:rFonts w:ascii="Arial" w:cs="Arial" w:eastAsia="Arial" w:hAnsi="Arial"/>
          <w:sz w:val="16"/>
          <w:szCs w:val="16"/>
          <w:color w:val="auto"/>
        </w:rPr>
        <w:t>") (together, the "</w:t>
      </w:r>
      <w:r>
        <w:rPr>
          <w:rFonts w:ascii="Arial" w:cs="Arial" w:eastAsia="Arial" w:hAnsi="Arial"/>
          <w:sz w:val="16"/>
          <w:szCs w:val="16"/>
          <w:i w:val="1"/>
          <w:iCs w:val="1"/>
          <w:color w:val="auto"/>
        </w:rPr>
        <w:t>Replacement Notes</w:t>
      </w:r>
      <w:r>
        <w:rPr>
          <w:rFonts w:ascii="Arial" w:cs="Arial" w:eastAsia="Arial" w:hAnsi="Arial"/>
          <w:sz w:val="16"/>
          <w:szCs w:val="16"/>
          <w:color w:val="auto"/>
        </w:rPr>
        <w:t xml:space="preserve">"); amended an outstanding warrant to purchase 425,000 restricted shares of the Company’s common stock (the </w:t>
      </w:r>
      <w:r>
        <w:rPr>
          <w:rFonts w:ascii="Arial" w:cs="Arial" w:eastAsia="Arial" w:hAnsi="Arial"/>
          <w:sz w:val="16"/>
          <w:szCs w:val="16"/>
          <w:i w:val="1"/>
          <w:iCs w:val="1"/>
          <w:color w:val="auto"/>
        </w:rPr>
        <w:t>“Amended M&amp;F Warrant”)</w:t>
      </w:r>
      <w:r>
        <w:rPr>
          <w:rFonts w:ascii="Arial" w:cs="Arial" w:eastAsia="Arial" w:hAnsi="Arial"/>
          <w:sz w:val="16"/>
          <w:szCs w:val="16"/>
          <w:color w:val="auto"/>
        </w:rPr>
        <w:t>; and issued a new warrant to purchase 1,379,376 restricted shares of the Company’s common stock (the “</w:t>
      </w:r>
      <w:r>
        <w:rPr>
          <w:rFonts w:ascii="Arial" w:cs="Arial" w:eastAsia="Arial" w:hAnsi="Arial"/>
          <w:sz w:val="16"/>
          <w:szCs w:val="16"/>
          <w:i w:val="1"/>
          <w:iCs w:val="1"/>
          <w:color w:val="auto"/>
        </w:rPr>
        <w:t>New M&amp;F Warrant”).</w:t>
      </w:r>
      <w:r>
        <w:rPr>
          <w:rFonts w:ascii="Arial" w:cs="Arial" w:eastAsia="Arial" w:hAnsi="Arial"/>
          <w:sz w:val="16"/>
          <w:szCs w:val="16"/>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the Company has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treated the aggregate of the incremental value of the Amended M&amp;F Warrant and the fair value of the New M&amp;F Warrant as a discount to the Replacement Notes. Through December 31, 2013, the Company has adjusted the New M&amp;F Warrant to increase the number of restricted shares available for purchase by 161,179 shares, based on interest accrued on Replacement Note B through that date. The Company has recorded the fair value of the additional warrant shares as a charge to interest expense and a corresponding credit to additional paid-in capital.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University Health Network (“</w:t>
      </w:r>
      <w:r>
        <w:rPr>
          <w:rFonts w:ascii="Arial" w:cs="Arial" w:eastAsia="Arial" w:hAnsi="Arial"/>
          <w:sz w:val="18"/>
          <w:szCs w:val="18"/>
          <w:b w:val="1"/>
          <w:bCs w:val="1"/>
          <w:i w:val="1"/>
          <w:iCs w:val="1"/>
          <w:color w:val="auto"/>
        </w:rPr>
        <w:t>UHN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Sponsored Research Collaboration Agreement (“</w:t>
      </w:r>
      <w:r>
        <w:rPr>
          <w:rFonts w:ascii="Arial" w:cs="Arial" w:eastAsia="Arial" w:hAnsi="Arial"/>
          <w:sz w:val="17"/>
          <w:szCs w:val="17"/>
          <w:i w:val="1"/>
          <w:iCs w:val="1"/>
          <w:color w:val="auto"/>
        </w:rPr>
        <w:t>SRCA</w:t>
      </w:r>
      <w:r>
        <w:rPr>
          <w:rFonts w:ascii="Arial" w:cs="Arial" w:eastAsia="Arial" w:hAnsi="Arial"/>
          <w:sz w:val="17"/>
          <w:szCs w:val="17"/>
          <w:color w:val="auto"/>
        </w:rPr>
        <w:t xml:space="preserve">”, described in Note 8, </w:t>
      </w:r>
      <w:r>
        <w:rPr>
          <w:rFonts w:ascii="Arial" w:cs="Arial" w:eastAsia="Arial" w:hAnsi="Arial"/>
          <w:sz w:val="17"/>
          <w:szCs w:val="17"/>
          <w:i w:val="1"/>
          <w:iCs w:val="1"/>
          <w:color w:val="auto"/>
        </w:rPr>
        <w:t>Licensing and Collaborative Agreements</w:t>
      </w:r>
      <w:r>
        <w:rPr>
          <w:rFonts w:ascii="Arial" w:cs="Arial" w:eastAsia="Arial" w:hAnsi="Arial"/>
          <w:sz w:val="17"/>
          <w:szCs w:val="17"/>
          <w:color w:val="auto"/>
        </w:rPr>
        <w:t>) through September 30, 2012 (the “</w:t>
      </w:r>
      <w:r>
        <w:rPr>
          <w:rFonts w:ascii="Arial" w:cs="Arial" w:eastAsia="Arial" w:hAnsi="Arial"/>
          <w:sz w:val="17"/>
          <w:szCs w:val="17"/>
          <w:i w:val="1"/>
          <w:iCs w:val="1"/>
          <w:color w:val="auto"/>
        </w:rPr>
        <w:t>UHN Note</w:t>
      </w:r>
      <w:r>
        <w:rPr>
          <w:rFonts w:ascii="Arial" w:cs="Arial" w:eastAsia="Arial" w:hAnsi="Arial"/>
          <w:sz w:val="17"/>
          <w:szCs w:val="17"/>
          <w:color w:val="auto"/>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Arial" w:cs="Arial" w:eastAsia="Arial" w:hAnsi="Arial"/>
          <w:sz w:val="17"/>
          <w:szCs w:val="17"/>
          <w:i w:val="1"/>
          <w:iCs w:val="1"/>
          <w:color w:val="auto"/>
        </w:rPr>
        <w:t>UHN Warrant</w:t>
      </w:r>
      <w:r>
        <w:rPr>
          <w:rFonts w:ascii="Arial" w:cs="Arial" w:eastAsia="Arial" w:hAnsi="Arial"/>
          <w:sz w:val="17"/>
          <w:szCs w:val="17"/>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difference between the face value of the UHN Note and its issuance-date fair value has been treated as a discount to the note and is being amortized over the term of the note using the interest method. Through December 31, 2013, the Company has adjusted the UHN Warrant to increase the number of shares available for purchase by 50,471 shares, based on interest accrued on the UHN Note through that date. The Company has recorded the fair value of the additional warrant shares as a charge to interest expense and a corresponding credit to additional paid-in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for Cancellation of Amounts Payable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25, 2011, the Company issued to Burr, Pilger, and Mayer, LLC (“</w:t>
      </w:r>
      <w:r>
        <w:rPr>
          <w:rFonts w:ascii="Arial" w:cs="Arial" w:eastAsia="Arial" w:hAnsi="Arial"/>
          <w:sz w:val="18"/>
          <w:szCs w:val="18"/>
          <w:i w:val="1"/>
          <w:iCs w:val="1"/>
          <w:color w:val="auto"/>
        </w:rPr>
        <w:t>BPM</w:t>
      </w:r>
      <w:r>
        <w:rPr>
          <w:rFonts w:ascii="Arial" w:cs="Arial" w:eastAsia="Arial" w:hAnsi="Arial"/>
          <w:sz w:val="18"/>
          <w:szCs w:val="18"/>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29, 2011, the Company issued to Desjardins Securities, Inc. (“</w:t>
      </w:r>
      <w:r>
        <w:rPr>
          <w:rFonts w:ascii="Arial" w:cs="Arial" w:eastAsia="Arial" w:hAnsi="Arial"/>
          <w:sz w:val="18"/>
          <w:szCs w:val="18"/>
          <w:i w:val="1"/>
          <w:iCs w:val="1"/>
          <w:color w:val="auto"/>
        </w:rPr>
        <w:t>Desjardins</w:t>
      </w:r>
      <w:r>
        <w:rPr>
          <w:rFonts w:ascii="Arial" w:cs="Arial" w:eastAsia="Arial" w:hAnsi="Arial"/>
          <w:sz w:val="18"/>
          <w:szCs w:val="18"/>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5, 2011, the Company issued to McCarthy Tetrault LLP (“</w:t>
      </w:r>
      <w:r>
        <w:rPr>
          <w:rFonts w:ascii="Arial" w:cs="Arial" w:eastAsia="Arial" w:hAnsi="Arial"/>
          <w:sz w:val="17"/>
          <w:szCs w:val="17"/>
          <w:i w:val="1"/>
          <w:iCs w:val="1"/>
          <w:color w:val="auto"/>
        </w:rPr>
        <w:t>McCarthy</w:t>
      </w:r>
      <w:r>
        <w:rPr>
          <w:rFonts w:ascii="Arial" w:cs="Arial" w:eastAsia="Arial" w:hAnsi="Arial"/>
          <w:sz w:val="17"/>
          <w:szCs w:val="17"/>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 during the second quarter of the fiscal year ended March 31,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Holding Company</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April 2011, all amounts owed by the Company to Cato Holding Company ("</w:t>
      </w:r>
      <w:r>
        <w:rPr>
          <w:rFonts w:ascii="Arial" w:cs="Arial" w:eastAsia="Arial" w:hAnsi="Arial"/>
          <w:sz w:val="16"/>
          <w:szCs w:val="16"/>
          <w:i w:val="1"/>
          <w:iCs w:val="1"/>
          <w:color w:val="auto"/>
        </w:rPr>
        <w:t>CHC</w:t>
      </w:r>
      <w:r>
        <w:rPr>
          <w:rFonts w:ascii="Arial" w:cs="Arial" w:eastAsia="Arial" w:hAnsi="Arial"/>
          <w:sz w:val="16"/>
          <w:szCs w:val="16"/>
          <w:color w:val="auto"/>
        </w:rPr>
        <w:t>"), a related party, and its affiliates, were consolidated into a single note, in the principal amount of $352,300 (the “</w:t>
      </w:r>
      <w:r>
        <w:rPr>
          <w:rFonts w:ascii="Arial" w:cs="Arial" w:eastAsia="Arial" w:hAnsi="Arial"/>
          <w:sz w:val="16"/>
          <w:szCs w:val="16"/>
          <w:i w:val="1"/>
          <w:iCs w:val="1"/>
          <w:color w:val="auto"/>
        </w:rPr>
        <w:t>2011 CHC Note</w:t>
      </w:r>
      <w:r>
        <w:rPr>
          <w:rFonts w:ascii="Arial" w:cs="Arial" w:eastAsia="Arial" w:hAnsi="Arial"/>
          <w:sz w:val="16"/>
          <w:szCs w:val="16"/>
          <w:color w:val="auto"/>
        </w:rPr>
        <w:t>”). Concurrently, CHC released all of its security interests in certain of the Company’s personal property. The 2011 CHC note was to bear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2012, the Company and CHC restructured the 2011 CHC Note by cancelling the 2011 CHC Note and exchanging it for a new unsecured promissory note in the principal amount of $310,400 (the “</w:t>
      </w:r>
      <w:r>
        <w:rPr>
          <w:rFonts w:ascii="Arial" w:cs="Arial" w:eastAsia="Arial" w:hAnsi="Arial"/>
          <w:sz w:val="17"/>
          <w:szCs w:val="17"/>
          <w:i w:val="1"/>
          <w:iCs w:val="1"/>
          <w:color w:val="auto"/>
        </w:rPr>
        <w:t>2012 CHC Note</w:t>
      </w:r>
      <w:r>
        <w:rPr>
          <w:rFonts w:ascii="Arial" w:cs="Arial" w:eastAsia="Arial" w:hAnsi="Arial"/>
          <w:sz w:val="17"/>
          <w:szCs w:val="17"/>
          <w:color w:val="auto"/>
        </w:rPr>
        <w:t>”) and a five-year warrant to purchase 250,000 shares of the Company’s common stock at a price of $1.50 per share (the “</w:t>
      </w:r>
      <w:r>
        <w:rPr>
          <w:rFonts w:ascii="Arial" w:cs="Arial" w:eastAsia="Arial" w:hAnsi="Arial"/>
          <w:sz w:val="17"/>
          <w:szCs w:val="17"/>
          <w:i w:val="1"/>
          <w:iCs w:val="1"/>
          <w:color w:val="auto"/>
        </w:rPr>
        <w:t>CHC Warrant</w:t>
      </w:r>
      <w:r>
        <w:rPr>
          <w:rFonts w:ascii="Arial" w:cs="Arial" w:eastAsia="Arial" w:hAnsi="Arial"/>
          <w:sz w:val="17"/>
          <w:szCs w:val="17"/>
          <w:color w:val="auto"/>
        </w:rPr>
        <w:t>”). The 2012 CHC Note accrues interest at a rate of 7.5% per annum and is due and payable in monthly installments of $10,000, beginning November 1, 2012 and continuing until the outstanding balance is paid in full.</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The Company recognized the difference between the sum of the fair values of the 2012 CHC Note and the CHC Warrant less the carrying value of the 2011 CHC Note, $119,100, as a non-cash loss on early extinguishment of debt in the Consolidated Statements of Operations and Comprehensive Income for the third quarter of the fiscal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Research Ltd.</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10, 2012, the Company issued to Cato Research Ltd. (“</w:t>
      </w:r>
      <w:r>
        <w:rPr>
          <w:rFonts w:ascii="Arial" w:cs="Arial" w:eastAsia="Arial" w:hAnsi="Arial"/>
          <w:sz w:val="17"/>
          <w:szCs w:val="17"/>
          <w:i w:val="1"/>
          <w:iCs w:val="1"/>
          <w:color w:val="auto"/>
        </w:rPr>
        <w:t>CRL</w:t>
      </w:r>
      <w:r>
        <w:rPr>
          <w:rFonts w:ascii="Arial" w:cs="Arial" w:eastAsia="Arial" w:hAnsi="Arial"/>
          <w:sz w:val="17"/>
          <w:szCs w:val="17"/>
          <w:color w:val="auto"/>
        </w:rPr>
        <w:t>”),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w:t>
      </w:r>
      <w:r>
        <w:rPr>
          <w:rFonts w:ascii="Arial" w:cs="Arial" w:eastAsia="Arial" w:hAnsi="Arial"/>
          <w:sz w:val="17"/>
          <w:szCs w:val="17"/>
          <w:i w:val="1"/>
          <w:iCs w:val="1"/>
          <w:color w:val="auto"/>
        </w:rPr>
        <w:t>CRO Services</w:t>
      </w:r>
      <w:r>
        <w:rPr>
          <w:rFonts w:ascii="Arial" w:cs="Arial" w:eastAsia="Arial" w:hAnsi="Arial"/>
          <w:sz w:val="17"/>
          <w:szCs w:val="17"/>
          <w:color w:val="auto"/>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7"/>
          <w:szCs w:val="17"/>
          <w:i w:val="1"/>
          <w:iCs w:val="1"/>
          <w:color w:val="auto"/>
        </w:rPr>
        <w:t>CRL Warrant</w:t>
      </w:r>
      <w:r>
        <w:rPr>
          <w:rFonts w:ascii="Arial" w:cs="Arial" w:eastAsia="Arial" w:hAnsi="Arial"/>
          <w:sz w:val="17"/>
          <w:szCs w:val="17"/>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$486,200. The Company recognized the difference between the sum of the fair values of the CRL Note and the CRL Warrant less the accounts payable balance due to CRL, $335,100, as a non-cash loss on early extinguishment of debt in the Consolidated Statements of Operations and Comprehensive Income for the third quarter of the fiscal year ended March 31, 2013. The fair value of the warrant, $486,200,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Through December 31, 2013, the Company has adjusted the CRL Warrant to increase the number of restricted shares available for purchase by 96,754 shares, based on interest accrued on the CRL Note through that date. The Company has recorded the fair value of the additional warrant shares as a charge to interest expense and a corresponding credit to additional paid-in capital.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Licensing and Collaborative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Health Network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17, 2007, the Company and UHN entered into a Sponsored Research Collaboration Agreement (“</w:t>
      </w:r>
      <w:r>
        <w:rPr>
          <w:rFonts w:ascii="Arial" w:cs="Arial" w:eastAsia="Arial" w:hAnsi="Arial"/>
          <w:sz w:val="17"/>
          <w:szCs w:val="17"/>
          <w:i w:val="1"/>
          <w:iCs w:val="1"/>
          <w:color w:val="auto"/>
        </w:rPr>
        <w:t>SRCA</w:t>
      </w:r>
      <w:r>
        <w:rPr>
          <w:rFonts w:ascii="Arial" w:cs="Arial" w:eastAsia="Arial" w:hAnsi="Arial"/>
          <w:sz w:val="17"/>
          <w:szCs w:val="17"/>
          <w:color w:val="auto"/>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Arial" w:cs="Arial" w:eastAsia="Arial" w:hAnsi="Arial"/>
          <w:sz w:val="17"/>
          <w:szCs w:val="17"/>
          <w:i w:val="1"/>
          <w:iCs w:val="1"/>
          <w:color w:val="auto"/>
        </w:rPr>
        <w:t>Convertible Notes and Other Notes Payable</w:t>
      </w:r>
      <w:r>
        <w:rPr>
          <w:rFonts w:ascii="Arial" w:cs="Arial" w:eastAsia="Arial" w:hAnsi="Arial"/>
          <w:sz w:val="17"/>
          <w:szCs w:val="17"/>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National Institutes of Health</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fiscal years 2006 through 2008,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Cato Research Ltd.</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built a strategic development relationship with Cato Research Ltd. (“</w:t>
      </w:r>
      <w:r>
        <w:rPr>
          <w:rFonts w:ascii="Arial" w:cs="Arial" w:eastAsia="Arial" w:hAnsi="Arial"/>
          <w:sz w:val="17"/>
          <w:szCs w:val="17"/>
          <w:i w:val="1"/>
          <w:iCs w:val="1"/>
          <w:color w:val="auto"/>
        </w:rPr>
        <w:t>CRL</w:t>
      </w:r>
      <w:r>
        <w:rPr>
          <w:rFonts w:ascii="Arial" w:cs="Arial" w:eastAsia="Arial" w:hAnsi="Arial"/>
          <w:sz w:val="17"/>
          <w:szCs w:val="17"/>
          <w:color w:val="auto"/>
        </w:rPr>
        <w:t xml:space="preserve">”), a global contract research and development organization, or CRO, and an affiliate of one of the Company’s largest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$7,500 and $45,000 for the three and nine month periods ended December 31, 2013, respectively, and $124,700 and $639,300 for the three and nine month periods ended December 31, 2012, respectively. As described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in October 2012, the Company issued an unsecured promissory note in the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$1,009,000, and a warrant exercisable for 1,009,000 shares of the Company’s common stock, as payment in full of all amounts owed to CRL for CRO services rendered to the Company through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Autilion AG Securities Purchase Agreement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April 8, 2013, the Company entered into a Securities Purchase Agreement (as amended, the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Autilion AG, a company organized and existing under the laws of Switzerland (“</w:t>
      </w:r>
      <w:r>
        <w:rPr>
          <w:rFonts w:ascii="Arial" w:cs="Arial" w:eastAsia="Arial" w:hAnsi="Arial"/>
          <w:sz w:val="16"/>
          <w:szCs w:val="16"/>
          <w:i w:val="1"/>
          <w:iCs w:val="1"/>
          <w:color w:val="auto"/>
        </w:rPr>
        <w:t>Autilion</w:t>
      </w:r>
      <w:r>
        <w:rPr>
          <w:rFonts w:ascii="Arial" w:cs="Arial" w:eastAsia="Arial" w:hAnsi="Arial"/>
          <w:sz w:val="16"/>
          <w:szCs w:val="16"/>
          <w:color w:val="auto"/>
        </w:rPr>
        <w:t>”). On April 12, 2013, Autilion assigned the Purchase Agreement to its affiliate, Bergamo Acquisition Corp. PTE LTD, a corporation organized and existing under the laws of Singapore (“</w:t>
      </w:r>
      <w:r>
        <w:rPr>
          <w:rFonts w:ascii="Arial" w:cs="Arial" w:eastAsia="Arial" w:hAnsi="Arial"/>
          <w:sz w:val="16"/>
          <w:szCs w:val="16"/>
          <w:i w:val="1"/>
          <w:iCs w:val="1"/>
          <w:color w:val="auto"/>
        </w:rPr>
        <w:t>Bergamo Singapore</w:t>
      </w:r>
      <w:r>
        <w:rPr>
          <w:rFonts w:ascii="Arial" w:cs="Arial" w:eastAsia="Arial" w:hAnsi="Arial"/>
          <w:sz w:val="16"/>
          <w:szCs w:val="16"/>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6"/>
          <w:szCs w:val="16"/>
          <w:i w:val="1"/>
          <w:iCs w:val="1"/>
          <w:color w:val="auto"/>
        </w:rPr>
        <w:t>Autilion Financing</w:t>
      </w:r>
      <w:r>
        <w:rPr>
          <w:rFonts w:ascii="Arial" w:cs="Arial" w:eastAsia="Arial" w:hAnsi="Arial"/>
          <w:sz w:val="16"/>
          <w:szCs w:val="16"/>
          <w:color w:val="auto"/>
        </w:rPr>
        <w:t>”). At December 31, 2013, the Company had completed a nominal initial closing of the Autilion Financing in the amount of $25,000 and issued 50,000 restricted shares of common stock.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The Securities Purchase Agreement also provides for the election to the Company’s Board of Directors of a designee of Autilion upon completion of the Autilion Financing.</w:t>
      </w:r>
    </w:p>
    <w:p>
      <w:pPr>
        <w:spacing w:after="0" w:line="1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Arial" w:cs="Arial" w:eastAsia="Arial" w:hAnsi="Arial"/>
          <w:sz w:val="18"/>
          <w:szCs w:val="18"/>
          <w:i w:val="1"/>
          <w:iCs w:val="1"/>
          <w:color w:val="auto"/>
        </w:rPr>
        <w:t>Approved Transaction</w:t>
      </w:r>
      <w:r>
        <w:rPr>
          <w:rFonts w:ascii="Arial" w:cs="Arial" w:eastAsia="Arial" w:hAnsi="Arial"/>
          <w:sz w:val="18"/>
          <w:szCs w:val="18"/>
          <w:color w:val="auto"/>
        </w:rPr>
        <w:t>”), Autilion is required to vote all shares of capital stock of the Company held by it for such Approved Transaction.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Unit Private Placement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Between August and December 2013, the Company entered into securities purchase agreements with accredited investors pursuant to which it sold to such investors 116 Units, each Unit consisting of (i) a 10% convertible note in the face amount of $5,000 maturing on July 30, 2014 (the “</w:t>
      </w:r>
      <w:r>
        <w:rPr>
          <w:rFonts w:ascii="Arial" w:cs="Arial" w:eastAsia="Arial" w:hAnsi="Arial"/>
          <w:sz w:val="17"/>
          <w:szCs w:val="17"/>
          <w:i w:val="1"/>
          <w:iCs w:val="1"/>
          <w:color w:val="auto"/>
        </w:rPr>
        <w:t>Unit Note</w:t>
      </w:r>
      <w:r>
        <w:rPr>
          <w:rFonts w:ascii="Arial" w:cs="Arial" w:eastAsia="Arial" w:hAnsi="Arial"/>
          <w:sz w:val="17"/>
          <w:szCs w:val="17"/>
          <w:color w:val="auto"/>
        </w:rPr>
        <w:t>”); (ii) 10,000 shares of the Company’s restricted common stock (the “</w:t>
      </w:r>
      <w:r>
        <w:rPr>
          <w:rFonts w:ascii="Arial" w:cs="Arial" w:eastAsia="Arial" w:hAnsi="Arial"/>
          <w:sz w:val="17"/>
          <w:szCs w:val="17"/>
          <w:i w:val="1"/>
          <w:iCs w:val="1"/>
          <w:color w:val="auto"/>
        </w:rPr>
        <w:t>Unit Stock</w:t>
      </w:r>
      <w:r>
        <w:rPr>
          <w:rFonts w:ascii="Arial" w:cs="Arial" w:eastAsia="Arial" w:hAnsi="Arial"/>
          <w:sz w:val="17"/>
          <w:szCs w:val="17"/>
          <w:color w:val="auto"/>
        </w:rPr>
        <w:t>”); and (iii) a warrant exercisable through July 30, 2016 to purchase 10,000 restricted shares of the Company’s common stock at an exercise price of $1.00 per share (the “</w:t>
      </w:r>
      <w:r>
        <w:rPr>
          <w:rFonts w:ascii="Arial" w:cs="Arial" w:eastAsia="Arial" w:hAnsi="Arial"/>
          <w:sz w:val="17"/>
          <w:szCs w:val="17"/>
          <w:i w:val="1"/>
          <w:iCs w:val="1"/>
          <w:color w:val="auto"/>
        </w:rPr>
        <w:t>Unit Warrant</w:t>
      </w:r>
      <w:r>
        <w:rPr>
          <w:rFonts w:ascii="Arial" w:cs="Arial" w:eastAsia="Arial" w:hAnsi="Arial"/>
          <w:sz w:val="17"/>
          <w:szCs w:val="17"/>
          <w:color w:val="auto"/>
        </w:rPr>
        <w:t>”). Accordingly, the Company issued Unit Notes in the aggregate face amount of $580,000; an aggregate of 1,160,000 shares of Unit Stock, and warrants to purchase an aggregate of 1,160,000 shares of the Company’s restricted common stock pursuant to the Unit Warrants, and received cash proceeds of $580,000, including $50,000 in lieu of repayment of previous advances to the Company made by one of its executive officers. The Unit Notes and related accrued interest are convertible into shares of the Company’s common stock at a conversion price of $0.50 per share at or prior to maturity, at the option of each investor. The Units also represent the Exchange Securities into which Platinum may convert the July 2013 Note.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allocated the proceeds from the sale of the Units to the various securities based on their relative fair values on the dates of the sales. As described in Note 7, </w:t>
      </w:r>
      <w:r>
        <w:rPr>
          <w:rFonts w:ascii="Arial" w:cs="Arial" w:eastAsia="Arial" w:hAnsi="Arial"/>
          <w:sz w:val="17"/>
          <w:szCs w:val="17"/>
          <w:i w:val="1"/>
          <w:iCs w:val="1"/>
          <w:color w:val="auto"/>
        </w:rPr>
        <w:t>Convertible PromissoryNotes and Other Notes Payable</w:t>
      </w:r>
      <w:r>
        <w:rPr>
          <w:rFonts w:ascii="Arial" w:cs="Arial" w:eastAsia="Arial" w:hAnsi="Arial"/>
          <w:sz w:val="17"/>
          <w:szCs w:val="17"/>
          <w:color w:val="auto"/>
        </w:rPr>
        <w:t>, based on the short-term nature of the Unit Notes, the Company determined that fair value of the Unit Notes was equal to their face value. The Company determined the fair value of the Unit Stock based on the quoted market price of its stock on the date of the Unit sale. The Company calculated the fair value of the Unit Warrants using the Black Scholes Option Pricing Model and the weighted average assumptions indicated in the table below. The table below also presents the aggregate allocation of the Unit sales proceeds based on the relative fair values of the Unit Stock, Unit Warrants and Unit Notes at the Unit sales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gridSpan w:val="2"/>
          </w:tcPr>
          <w:p>
            <w:pPr>
              <w:jc w:val="right"/>
              <w:ind w:right="590"/>
              <w:spacing w:after="0"/>
              <w:rPr>
                <w:sz w:val="20"/>
                <w:szCs w:val="20"/>
                <w:color w:val="auto"/>
              </w:rPr>
            </w:pPr>
            <w:r>
              <w:rPr>
                <w:rFonts w:ascii="Arial" w:cs="Arial" w:eastAsia="Arial" w:hAnsi="Arial"/>
                <w:sz w:val="18"/>
                <w:szCs w:val="18"/>
                <w:color w:val="auto"/>
                <w:w w:val="98"/>
              </w:rPr>
              <w:t>Unit Warrants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color w:val="auto"/>
                <w:w w:val="97"/>
              </w:rPr>
              <w:t>Weighted Average Issuance Date Valuation Assumptions</w:t>
            </w:r>
          </w:p>
        </w:tc>
        <w:tc>
          <w:tcPr>
            <w:tcW w:w="4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Per Share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c>
          <w:tcPr>
            <w:tcW w:w="29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223"/>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Warrant</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90"/>
              </w:rPr>
              <w:t>Risk free</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6"/>
              </w:rPr>
              <w:t>Fair</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Fair Value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Proceeds</w:t>
            </w:r>
          </w:p>
        </w:tc>
        <w:tc>
          <w:tcPr>
            <w:tcW w:w="29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Based on Relative Fair Value of:</w:t>
            </w:r>
          </w:p>
        </w:tc>
        <w:tc>
          <w:tcPr>
            <w:tcW w:w="0" w:type="dxa"/>
            <w:vAlign w:val="bottom"/>
          </w:tcPr>
          <w:p>
            <w:pPr>
              <w:spacing w:after="0"/>
              <w:rPr>
                <w:sz w:val="1"/>
                <w:szCs w:val="1"/>
                <w:color w:val="auto"/>
              </w:rPr>
            </w:pPr>
          </w:p>
        </w:tc>
      </w:tr>
      <w:tr>
        <w:trPr>
          <w:trHeight w:val="202"/>
        </w:trPr>
        <w:tc>
          <w:tcPr>
            <w:tcW w:w="9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Shares</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Exercise</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0"/>
              </w:rPr>
              <w:t>Term</w:t>
            </w:r>
          </w:p>
        </w:tc>
        <w:tc>
          <w:tcPr>
            <w:tcW w:w="8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6"/>
              </w:rPr>
              <w:t>Interest</w:t>
            </w:r>
          </w:p>
        </w:tc>
        <w:tc>
          <w:tcPr>
            <w:tcW w:w="900" w:type="dxa"/>
            <w:vAlign w:val="bottom"/>
          </w:tcPr>
          <w:p>
            <w:pPr>
              <w:spacing w:after="0"/>
              <w:rPr>
                <w:sz w:val="17"/>
                <w:szCs w:val="17"/>
                <w:color w:val="auto"/>
              </w:rPr>
            </w:pPr>
          </w:p>
        </w:tc>
        <w:tc>
          <w:tcPr>
            <w:tcW w:w="9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7"/>
              </w:rPr>
              <w:t>Dividend</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0"/>
              </w:rPr>
              <w:t>Value of</w:t>
            </w:r>
          </w:p>
        </w:tc>
        <w:tc>
          <w:tcPr>
            <w:tcW w:w="9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of Unit</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6"/>
              </w:rPr>
              <w:t>of Unit</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9"/>
              </w:rPr>
              <w:t>Unit</w:t>
            </w: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Issued</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(Years)</w:t>
            </w: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4"/>
              </w:rPr>
              <w:t>Rate</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Volatility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Rate</w:t>
            </w: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Warrant</w:t>
            </w: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7"/>
              </w:rPr>
              <w:t>Warrants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Sales</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9"/>
              </w:rPr>
              <w:t>Unit Stock</w:t>
            </w: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90"/>
              </w:rPr>
              <w:t>Warrant</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Unit Note</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1,160,000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Warrants held by Platinum</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on May 24, 2013, the Company and Platinum entered into an Amendment and Waiver Agreement (the “</w:t>
      </w:r>
      <w:r>
        <w:rPr>
          <w:rFonts w:ascii="Arial" w:cs="Arial" w:eastAsia="Arial" w:hAnsi="Arial"/>
          <w:sz w:val="17"/>
          <w:szCs w:val="17"/>
          <w:i w:val="1"/>
          <w:iCs w:val="1"/>
          <w:color w:val="auto"/>
        </w:rPr>
        <w:t>Amendment and Waiver</w:t>
      </w:r>
      <w:r>
        <w:rPr>
          <w:rFonts w:ascii="Arial" w:cs="Arial" w:eastAsia="Arial" w:hAnsi="Arial"/>
          <w:sz w:val="17"/>
          <w:szCs w:val="17"/>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7"/>
          <w:szCs w:val="17"/>
          <w:i w:val="1"/>
          <w:iCs w:val="1"/>
          <w:color w:val="auto"/>
        </w:rPr>
        <w:t>Warrants</w:t>
      </w:r>
      <w:r>
        <w:rPr>
          <w:rFonts w:ascii="Arial" w:cs="Arial" w:eastAsia="Arial" w:hAnsi="Arial"/>
          <w:sz w:val="17"/>
          <w:szCs w:val="17"/>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“Other Warrant Modifications and Exercises” below.)</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and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At December 31, 2013, the Company determined the fair values of the Exchange Warrant, the Investment Warrants and the July 2013 Warrant to be a weighted average of $0.22 per share, or an aggregate of $780,400, recorded as a component of Warrant Liability in the accompanying Condensed Consolidated Balance Sheet at December 31, 2013, using the Black Scholes Option Pricing Model and the following assumptions: market price per share: $0.42; exercise price per share: $0.50; risk-free interest rate: 1.16% to 1.54%; remaining contractual term: 3.78 years to 4.56 years; volatility: 76.1% to 81.5%; and expected dividend rate: 0%. At December 31, 2013, the Company also re-measured the fair value of the Series A Exchange Warrant which is contingently issuable to Platinum upon the exchange of its shares of the Company’s Series A Preferred Stock into shares of the Company’s restricted common stock. The Company determined the fair value of the Series A Exchange Warrant, also recorded as a component of Warrant Liability in the accompanying Condensed Consolidated Balance Sheets at December 31, 2013, to be $0.27 per share, or $1,936,700, using the Black Scholes Option Pricing Model and the following assumptions: market price per share: $0.42; exercise price per share: $0.50; risk-free interest rate: 1.75%; contractual term: 5.00 years; volatility: 85.7%; expected dividend rate: 0%; and assumed probability of issuance of 95%.</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Warrant Modifications and Exercises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shares of the Company’s restricted common stock in lieu of payment by the Company in satisfaction of amounts due for professional services in the aggregate amount of $8,300.</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calculated the fair value of the warrants exercised immediately before and after the modifications and determined that the fair value of the warrants exercised decreased by $32,900,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(weighted average)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2013 the Company modified certain outstanding warrants held by its long-term investors and consultants to purchase an aggregate of 1,292,778 shares of the Company’s restricted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4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Dividend rate</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80" w:type="dxa"/>
            <w:vAlign w:val="bottom"/>
          </w:tcPr>
          <w:p>
            <w:pPr>
              <w:jc w:val="right"/>
              <w:ind w:right="27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Condensed Consolidated Statements of Operations and Comprehensive Loss, with a corresponding credit to additional paid-in capital, an equity account.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2013, the Company modified additional outstanding warrants held by certain of its long-term investors, consultants, and members of management and its Board of Directors to purchase an aggregate of 1,260,251 shares of its restricted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modification for the term corresponding with the contractual term of the warrant. The dividend rate is zero as the Company has not paid and does not expect to pay dividends in the near future.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27, 2013, the Company’s Chief Executive Officer exercised an outstanding warrant to purchase 50,000 restricted shares of the Company’s common stock at an exercise price of $0.64 per share and the Company received cash proceeds of $32,000 from his exercise.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the warrant issuances, modifications and exercises described above, at December 31, 2013, the Company had outstanding warrants to purchase shares of its restricted common stock at a weighted average exercise price of $0.89 per share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Subject to</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at</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18"/>
                <w:szCs w:val="18"/>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per Share</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5/11/2014 to 7/26/2018</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5,254,019</w:t>
            </w: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8820" w:type="dxa"/>
            <w:vAlign w:val="bottom"/>
            <w:gridSpan w:val="2"/>
          </w:tcPr>
          <w:p>
            <w:pPr>
              <w:ind w:left="60"/>
              <w:spacing w:after="0"/>
              <w:rPr>
                <w:sz w:val="20"/>
                <w:szCs w:val="20"/>
                <w:color w:val="auto"/>
              </w:rPr>
            </w:pPr>
            <w:r>
              <w:rPr>
                <w:rFonts w:ascii="Arial" w:cs="Arial" w:eastAsia="Arial" w:hAnsi="Arial"/>
                <w:sz w:val="18"/>
                <w:szCs w:val="18"/>
                <w:color w:val="auto"/>
              </w:rPr>
              <w:t>3/3/2023</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2,940,000</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5/11/2014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15,428</w:t>
            </w: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820" w:type="dxa"/>
            <w:vAlign w:val="bottom"/>
            <w:gridSpan w:val="2"/>
          </w:tcPr>
          <w:p>
            <w:pPr>
              <w:ind w:left="60"/>
              <w:spacing w:after="0"/>
              <w:rPr>
                <w:sz w:val="20"/>
                <w:szCs w:val="20"/>
                <w:color w:val="auto"/>
              </w:rPr>
            </w:pPr>
            <w:r>
              <w:rPr>
                <w:rFonts w:ascii="Arial" w:cs="Arial" w:eastAsia="Arial" w:hAnsi="Arial"/>
                <w:sz w:val="18"/>
                <w:szCs w:val="18"/>
                <w:color w:val="auto"/>
              </w:rPr>
              <w:t>7/30/2016 to 9/30/2017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4,406,281</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5/11/2014 to 12/31/2014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50,280</w:t>
            </w: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820" w:type="dxa"/>
            <w:vAlign w:val="bottom"/>
            <w:gridSpan w:val="2"/>
          </w:tcPr>
          <w:p>
            <w:pPr>
              <w:ind w:left="60"/>
              <w:spacing w:after="0"/>
              <w:rPr>
                <w:sz w:val="20"/>
                <w:szCs w:val="20"/>
                <w:color w:val="auto"/>
              </w:rPr>
            </w:pPr>
            <w:r>
              <w:rPr>
                <w:rFonts w:ascii="Arial" w:cs="Arial" w:eastAsia="Arial" w:hAnsi="Arial"/>
                <w:sz w:val="18"/>
                <w:szCs w:val="18"/>
                <w:color w:val="auto"/>
              </w:rPr>
              <w:t>5/11/2014 to 3/14/2018</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2,491,016</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9/15/2017</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820" w:type="dxa"/>
            <w:vAlign w:val="bottom"/>
            <w:gridSpan w:val="2"/>
          </w:tcPr>
          <w:p>
            <w:pPr>
              <w:ind w:left="60"/>
              <w:spacing w:after="0"/>
              <w:rPr>
                <w:sz w:val="20"/>
                <w:szCs w:val="20"/>
                <w:color w:val="auto"/>
              </w:rPr>
            </w:pPr>
            <w:r>
              <w:rPr>
                <w:rFonts w:ascii="Arial" w:cs="Arial" w:eastAsia="Arial" w:hAnsi="Arial"/>
                <w:sz w:val="18"/>
                <w:szCs w:val="18"/>
                <w:color w:val="auto"/>
              </w:rPr>
              <w:t>5/11/2014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42,443</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2.625</w:t>
            </w:r>
          </w:p>
        </w:tc>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1/31/2015</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61,418</w:t>
            </w:r>
          </w:p>
        </w:tc>
      </w:tr>
      <w:tr>
        <w:trPr>
          <w:trHeight w:val="223"/>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820" w:type="dxa"/>
            <w:vAlign w:val="bottom"/>
            <w:gridSpan w:val="2"/>
          </w:tcPr>
          <w:p>
            <w:pPr>
              <w:ind w:left="60"/>
              <w:spacing w:after="0"/>
              <w:rPr>
                <w:sz w:val="20"/>
                <w:szCs w:val="20"/>
                <w:color w:val="auto"/>
              </w:rPr>
            </w:pPr>
            <w:r>
              <w:rPr>
                <w:rFonts w:ascii="Arial" w:cs="Arial" w:eastAsia="Arial" w:hAnsi="Arial"/>
                <w:sz w:val="18"/>
                <w:szCs w:val="18"/>
                <w:color w:val="auto"/>
              </w:rPr>
              <w:t>2/13/2016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15,710,885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Pursuant to the October 2012 Agreement described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Platinum’s exchange rights in the Company’s Series A Preferred were modified such that Platinum currently has the right and option to exchange 500,000 restricted shares of the Company’s Series A Preferred that it holds for (i) a total of 15,000,000 restricted shares of the Company’s common stock (increased from 5,000,000 shares), and (ii) a five-year warrant to purchase 7,500,000 restricted shares of the Company’s common stock at an initial exercise price of $1.50 per share (the “</w:t>
      </w:r>
      <w:r>
        <w:rPr>
          <w:rFonts w:ascii="Arial" w:cs="Arial" w:eastAsia="Arial" w:hAnsi="Arial"/>
          <w:sz w:val="16"/>
          <w:szCs w:val="16"/>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i w:val="1"/>
          <w:iCs w:val="1"/>
          <w:color w:val="auto"/>
        </w:rPr>
        <w:t>A Exchange Warrant</w:t>
      </w:r>
      <w:r>
        <w:rPr>
          <w:rFonts w:ascii="Arial" w:cs="Arial" w:eastAsia="Arial" w:hAnsi="Arial"/>
          <w:sz w:val="16"/>
          <w:szCs w:val="16"/>
          <w:color w:val="auto"/>
        </w:rPr>
        <w:t>”). The modification of the exchange ratio and the contingent grant of the Series A Exchange Warrant pursuant to the October 2012</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resulted in a deemed dividend on the Series A Preferred in the aggregate amount of $10,193,200 for accounting purposes, which has been reflected in the accompanying Condensed Consolidated Statement of Operations and Comprehensive Loss for the three and nine month periods ended December 31, 2012. The aggregate amount of the deemed dividend was determined based on (i) the fair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plus</w:t>
      </w:r>
    </w:p>
    <w:p>
      <w:pPr>
        <w:spacing w:after="0" w:line="6" w:lineRule="exact"/>
        <w:rPr>
          <w:sz w:val="20"/>
          <w:szCs w:val="20"/>
          <w:color w:val="auto"/>
        </w:rPr>
      </w:pPr>
    </w:p>
    <w:p>
      <w:pPr>
        <w:jc w:val="both"/>
        <w:ind w:firstLine="8"/>
        <w:spacing w:after="0" w:line="253"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Series A Exchange Warrant, determined to be $0.43 per share, on the date of the agreement using the Black Scholes Option Pricing Model and the following assumptions: market price per share: $0.75; exercise price per share: $1.50; risk-free interest rate: 0.67%; contractual term: 5 years; volatility: 89.9%; expected dividend rate: 0%; further adjusted for an expected 95% probability of exercise of the exchange rights by Platinum, for a fair value of $3,068,200. The fair value of the Series A Exchange Warrant was also recognized as a liability at the date of the October 2012 Agreement, with a corresponding charge to additional paid-in capital, an equity account.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Between September and December 2013, one of the Company’s executive officers provided short-term cash advances aggregating $64,000 to meet the Company’s short-term working capital requirements. In lieu of cash repayment of the advances by the Company, in December 2013, the officer elected to invest $50,000 in the 2013 Unit Private Placement. The Company has partially repaid the remaining balance of the advances.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Cato Holding Company, doing business as Cato BioVentures ("</w:t>
      </w:r>
      <w:r>
        <w:rPr>
          <w:rFonts w:ascii="Arial" w:cs="Arial" w:eastAsia="Arial" w:hAnsi="Arial"/>
          <w:sz w:val="17"/>
          <w:szCs w:val="17"/>
          <w:i w:val="1"/>
          <w:iCs w:val="1"/>
          <w:color w:val="auto"/>
        </w:rPr>
        <w:t>CBV</w:t>
      </w:r>
      <w:r>
        <w:rPr>
          <w:rFonts w:ascii="Arial" w:cs="Arial" w:eastAsia="Arial" w:hAnsi="Arial"/>
          <w:sz w:val="17"/>
          <w:szCs w:val="17"/>
          <w:color w:val="auto"/>
        </w:rPr>
        <w:t xml:space="preserve">"), the parent of CRL, is one of the Company’s largest institutional stockholders at December 31, 2013. As described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including amortization of note discount, on notes payable to CHC was $7,900 and $24,000 in the three and nine month periods ended December 31, 2013, respectively, and $34,700 and $51,400 in the three and nine month periods ended December 31, 2012, respectively.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During fiscal year 2007, the Company entered into a contract research organization arrangement with CRL related to the development of its lead drug candidate, AV-101, and subsequent other projects under which the Company incurred expenses of $7,500 and $124,700 in the three month periods ended December 31, 2013 and 2012, respectively, and $45,000 and $639,300 in the nine month periods ended December 31, 2013 and 2012, respectively.</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described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in October 2012, the Company issued to CRL (i) the CRL Note as payment in full for all contract research and development services and regulatory advice (“</w:t>
      </w:r>
      <w:r>
        <w:rPr>
          <w:rFonts w:ascii="Arial" w:cs="Arial" w:eastAsia="Arial" w:hAnsi="Arial"/>
          <w:sz w:val="16"/>
          <w:szCs w:val="16"/>
          <w:i w:val="1"/>
          <w:iCs w:val="1"/>
          <w:color w:val="auto"/>
        </w:rPr>
        <w:t>CRO Services</w:t>
      </w:r>
      <w:r>
        <w:rPr>
          <w:rFonts w:ascii="Arial" w:cs="Arial" w:eastAsia="Arial" w:hAnsi="Arial"/>
          <w:sz w:val="16"/>
          <w:szCs w:val="16"/>
          <w:color w:val="auto"/>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and nine month periods ended December 31, 2013 was $32,000 and $103,500, respectively, and $26,300 for both the three and nine month periods ended December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February 10, 2014, the Company entered into additional securities purchase agreements with accredited investors pursuant to which it sold to such investors aggregate Units consisting of (i) one-year 10% convertible Unit Notes in the aggregate face amount of $390,000; (ii) an aggregate of 780,000 shares of the Company’s restricted common stock; and (iii) warrants exercisable through July 30, 2016 to purchase an aggregate of 780,000 restricted shares of the Company’s common stock at an exercise price of $1.00 per share. The Company received cash proceeds of $390,000 from the sales of the Units.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1116"/>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that are based on the current beliefs of our management, as well as current assumptions made by, and information currently available to, our management. All statements contained in the discussion below, other than statements that are purely historical, are forward-looking statements. These forward-looking statements are subject to risks and uncertainties that could cause our future actual results, performance or achievements to differ materially from those expressed in, or implied by, any such forward-looking statements as a result of certain factors, including, but not limited to, those risks and uncertainties discussed in this section, as well as elsewhere in our other filings with the Securities and Exchange Commission (“SEC”).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2013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Investors are cautioned not to place undue reliance on the forward-looking statements contained herein. Additionally,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biotechnology company with expertise applying human pluripotent stem cell technology for drug rescue, drug discovery and regenerative medicine.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Human Clinical Trials in a Test Tube</w:t>
      </w:r>
      <w:r>
        <w:rPr>
          <w:rFonts w:ascii="Arial" w:cs="Arial" w:eastAsia="Arial" w:hAnsi="Arial"/>
          <w:sz w:val="9"/>
          <w:szCs w:val="9"/>
          <w:color w:val="auto"/>
        </w:rPr>
        <w:t>TM</w:t>
      </w:r>
      <w:r>
        <w:rPr>
          <w:rFonts w:ascii="Arial" w:cs="Arial" w:eastAsia="Arial" w:hAnsi="Arial"/>
          <w:sz w:val="18"/>
          <w:szCs w:val="18"/>
          <w:color w:val="auto"/>
        </w:rPr>
        <w:t xml:space="preserve"> platform is based on a combination of proprietary and exclusively licensed stem cell technologies focused on understanding and controlling stem cell differentiation (development) and production of multiple types of mature, functional, human cells from human pluripotent stem cells, including human heart cells and liver cells used in our novel bioassay systems.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With mature heart cells produced from stem cells, we have developed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 a novel bioassay system for assessing cardiotoxicity. We believe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 is capable of predicting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both toxic and non-toxic, of small molecule drug candidates before they are ever tested in animals or humans. We are developing </w:t>
      </w:r>
      <w:r>
        <w:rPr>
          <w:rFonts w:ascii="Arial" w:cs="Arial" w:eastAsia="Arial" w:hAnsi="Arial"/>
          <w:sz w:val="16"/>
          <w:szCs w:val="16"/>
          <w:i w:val="1"/>
          <w:iCs w:val="1"/>
          <w:color w:val="auto"/>
        </w:rPr>
        <w:t>LiverSafe 3D</w:t>
      </w:r>
      <w:r>
        <w:rPr>
          <w:rFonts w:ascii="Arial" w:cs="Arial" w:eastAsia="Arial" w:hAnsi="Arial"/>
          <w:sz w:val="16"/>
          <w:szCs w:val="16"/>
          <w:color w:val="auto"/>
        </w:rPr>
        <w:t>™, a human liver cell-based bioassay system, for assessing potential liver toxicity and adverse drug-drug interactions early in development. We believe our human pluripotent stem cell-derived bioassay systems will allow us to assess the heart and liver safety profile of new drug candidates with greater speed and precision than nonclinical surrogate safety testing models currently used in drug development.</w:t>
      </w:r>
    </w:p>
    <w:p>
      <w:pPr>
        <w:spacing w:after="0" w:line="3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Drug rescue involves the combination of human pluripotent stem cell technology with medicinal chemistry. The primary goal of drug rescue is to generate new, safer proprietary variants of once-promising small molecule drug candidates that pharmaceutical companies and others have discovered, developed and ultimately discontinued prior to market approval due to unexpected heart or liver safety concerns. We refer to once-promising drug candidates now suitable for drug rescue as </w:t>
      </w:r>
      <w:r>
        <w:rPr>
          <w:rFonts w:ascii="Arial" w:cs="Arial" w:eastAsia="Arial" w:hAnsi="Arial"/>
          <w:sz w:val="16"/>
          <w:szCs w:val="16"/>
          <w:i w:val="1"/>
          <w:iCs w:val="1"/>
          <w:color w:val="auto"/>
        </w:rPr>
        <w:t>Drug Rescue Candidates</w:t>
      </w:r>
      <w:r>
        <w:rPr>
          <w:rFonts w:ascii="Arial" w:cs="Arial" w:eastAsia="Arial" w:hAnsi="Arial"/>
          <w:sz w:val="16"/>
          <w:szCs w:val="16"/>
          <w:color w:val="auto"/>
        </w:rPr>
        <w:t xml:space="preserve">™. And we refer to new, safer proprietary variants generated in drug rescue campaigns as </w:t>
      </w:r>
      <w:r>
        <w:rPr>
          <w:rFonts w:ascii="Arial" w:cs="Arial" w:eastAsia="Arial" w:hAnsi="Arial"/>
          <w:sz w:val="16"/>
          <w:szCs w:val="16"/>
          <w:i w:val="1"/>
          <w:iCs w:val="1"/>
          <w:color w:val="auto"/>
        </w:rPr>
        <w:t>Drug</w:t>
      </w:r>
      <w:r>
        <w:rPr>
          <w:rFonts w:ascii="Arial" w:cs="Arial" w:eastAsia="Arial" w:hAnsi="Arial"/>
          <w:sz w:val="16"/>
          <w:szCs w:val="16"/>
          <w:color w:val="auto"/>
        </w:rPr>
        <w:t xml:space="preserve"> </w:t>
      </w:r>
      <w:r>
        <w:rPr>
          <w:rFonts w:ascii="Arial" w:cs="Arial" w:eastAsia="Arial" w:hAnsi="Arial"/>
          <w:sz w:val="16"/>
          <w:szCs w:val="16"/>
          <w:i w:val="1"/>
          <w:iCs w:val="1"/>
          <w:color w:val="auto"/>
        </w:rPr>
        <w:t>Rescue Variants</w:t>
      </w:r>
      <w:r>
        <w:rPr>
          <w:rFonts w:ascii="Arial" w:cs="Arial" w:eastAsia="Arial" w:hAnsi="Arial"/>
          <w:sz w:val="16"/>
          <w:szCs w:val="16"/>
          <w:color w:val="auto"/>
        </w:rPr>
        <w:t>™. Our drug rescue strategy is to leverage (i) prior R&amp;D investment in</w:t>
      </w:r>
      <w:r>
        <w:rPr>
          <w:rFonts w:ascii="Arial" w:cs="Arial" w:eastAsia="Arial" w:hAnsi="Arial"/>
          <w:sz w:val="16"/>
          <w:szCs w:val="16"/>
          <w:i w:val="1"/>
          <w:iCs w:val="1"/>
          <w:color w:val="auto"/>
        </w:rPr>
        <w:t xml:space="preserve"> Drug Rescue Candidates</w:t>
      </w:r>
      <w:r>
        <w:rPr>
          <w:rFonts w:ascii="Arial" w:cs="Arial" w:eastAsia="Arial" w:hAnsi="Arial"/>
          <w:sz w:val="16"/>
          <w:szCs w:val="16"/>
          <w:color w:val="auto"/>
        </w:rPr>
        <w:t>™ by pharmaceutical companies and others,</w:t>
      </w:r>
    </w:p>
    <w:p>
      <w:pPr>
        <w:spacing w:after="0" w:line="2" w:lineRule="exact"/>
        <w:rPr>
          <w:sz w:val="20"/>
          <w:szCs w:val="20"/>
          <w:color w:val="auto"/>
        </w:rPr>
      </w:pPr>
    </w:p>
    <w:p>
      <w:pPr>
        <w:ind w:right="20" w:firstLine="8"/>
        <w:spacing w:after="0" w:line="261" w:lineRule="auto"/>
        <w:tabs>
          <w:tab w:leader="none" w:pos="29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unique insight into heart and liver biology from </w:t>
      </w:r>
      <w:r>
        <w:rPr>
          <w:rFonts w:ascii="Arial" w:cs="Arial" w:eastAsia="Arial" w:hAnsi="Arial"/>
          <w:sz w:val="18"/>
          <w:szCs w:val="18"/>
          <w:i w:val="1"/>
          <w:iCs w:val="1"/>
          <w:color w:val="auto"/>
        </w:rPr>
        <w:t>CardioSafe 3D</w:t>
      </w:r>
      <w:r>
        <w:rPr>
          <w:rFonts w:ascii="Arial" w:cs="Arial" w:eastAsia="Arial" w:hAnsi="Arial"/>
          <w:sz w:val="18"/>
          <w:szCs w:val="18"/>
          <w:color w:val="auto"/>
        </w:rPr>
        <w:t xml:space="preserve"> ™ and </w:t>
      </w:r>
      <w:r>
        <w:rPr>
          <w:rFonts w:ascii="Arial" w:cs="Arial" w:eastAsia="Arial" w:hAnsi="Arial"/>
          <w:sz w:val="18"/>
          <w:szCs w:val="18"/>
          <w:i w:val="1"/>
          <w:iCs w:val="1"/>
          <w:color w:val="auto"/>
        </w:rPr>
        <w:t>LiverSafe 3D</w:t>
      </w:r>
      <w:r>
        <w:rPr>
          <w:rFonts w:ascii="Arial" w:cs="Arial" w:eastAsia="Arial" w:hAnsi="Arial"/>
          <w:sz w:val="18"/>
          <w:szCs w:val="18"/>
          <w:color w:val="auto"/>
        </w:rPr>
        <w:t xml:space="preserve">™, and (iii) medicinal chemistry to generate </w:t>
      </w:r>
      <w:r>
        <w:rPr>
          <w:rFonts w:ascii="Arial" w:cs="Arial" w:eastAsia="Arial" w:hAnsi="Arial"/>
          <w:sz w:val="18"/>
          <w:szCs w:val="18"/>
          <w:i w:val="1"/>
          <w:iCs w:val="1"/>
          <w:color w:val="auto"/>
        </w:rPr>
        <w:t>Drug Rescue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Variants </w:t>
      </w:r>
      <w:r>
        <w:rPr>
          <w:rFonts w:ascii="Arial" w:cs="Arial" w:eastAsia="Arial" w:hAnsi="Arial"/>
          <w:sz w:val="18"/>
          <w:szCs w:val="18"/>
          <w:color w:val="auto"/>
        </w:rPr>
        <w:t>for license and sale to pharmaceutical companies and others.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are utilizing the vast amount of information available in the public domain to identify and assess potential </w:t>
      </w:r>
      <w:r>
        <w:rPr>
          <w:rFonts w:ascii="Arial" w:cs="Arial" w:eastAsia="Arial" w:hAnsi="Arial"/>
          <w:sz w:val="17"/>
          <w:szCs w:val="17"/>
          <w:i w:val="1"/>
          <w:iCs w:val="1"/>
          <w:color w:val="auto"/>
        </w:rPr>
        <w:t>Drug Rescue Candidates</w:t>
      </w:r>
      <w:r>
        <w:rPr>
          <w:rFonts w:ascii="Arial" w:cs="Arial" w:eastAsia="Arial" w:hAnsi="Arial"/>
          <w:sz w:val="17"/>
          <w:szCs w:val="17"/>
          <w:color w:val="auto"/>
        </w:rPr>
        <w:t xml:space="preserve">. We may also seek to acquire rights to certain </w:t>
      </w:r>
      <w:r>
        <w:rPr>
          <w:rFonts w:ascii="Arial" w:cs="Arial" w:eastAsia="Arial" w:hAnsi="Arial"/>
          <w:sz w:val="17"/>
          <w:szCs w:val="17"/>
          <w:i w:val="1"/>
          <w:iCs w:val="1"/>
          <w:color w:val="auto"/>
        </w:rPr>
        <w:t>Drug Rescue Candidates</w:t>
      </w:r>
      <w:r>
        <w:rPr>
          <w:rFonts w:ascii="Arial" w:cs="Arial" w:eastAsia="Arial" w:hAnsi="Arial"/>
          <w:sz w:val="17"/>
          <w:szCs w:val="17"/>
          <w:color w:val="auto"/>
        </w:rPr>
        <w:t xml:space="preserve"> from third-parties, including academic research institutions and biotechnology, medicinal chemistry and pharmaceutical companies. We plan to have a range of economic participation rights in each lead </w:t>
      </w:r>
      <w:r>
        <w:rPr>
          <w:rFonts w:ascii="Arial" w:cs="Arial" w:eastAsia="Arial" w:hAnsi="Arial"/>
          <w:sz w:val="17"/>
          <w:szCs w:val="17"/>
          <w:i w:val="1"/>
          <w:iCs w:val="1"/>
          <w:color w:val="auto"/>
        </w:rPr>
        <w:t>Drug Rescue Variant</w:t>
      </w:r>
      <w:r>
        <w:rPr>
          <w:rFonts w:ascii="Arial" w:cs="Arial" w:eastAsia="Arial" w:hAnsi="Arial"/>
          <w:sz w:val="17"/>
          <w:szCs w:val="17"/>
          <w:color w:val="auto"/>
        </w:rPr>
        <w:t xml:space="preserve"> we license or sell, including up-front payments, milestone payments and, if approved for commercial sale, royalties on net sales.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parallel with our drug rescue activities, we plan to explore, internally and/or through sponsored external programs, pilot nonclinical development opportunities relating to small molecule drug discovery and/or regenerative medicine focused on blood, bone, cartilage, heart, liver and pancreas (insulin-producing beta islet) cells. Each of these drug discovery and regenerative medicine programs would be based on the proprietary differentiation and production capabilities of our </w:t>
      </w:r>
      <w:r>
        <w:rPr>
          <w:rFonts w:ascii="Arial" w:cs="Arial" w:eastAsia="Arial" w:hAnsi="Arial"/>
          <w:sz w:val="18"/>
          <w:szCs w:val="18"/>
          <w:i w:val="1"/>
          <w:iCs w:val="1"/>
          <w:color w:val="auto"/>
        </w:rPr>
        <w:t>Human Clinical Trials in a Test Tube</w:t>
      </w:r>
      <w:r>
        <w:rPr>
          <w:rFonts w:ascii="Arial" w:cs="Arial" w:eastAsia="Arial" w:hAnsi="Arial"/>
          <w:sz w:val="9"/>
          <w:szCs w:val="9"/>
          <w:color w:val="auto"/>
        </w:rPr>
        <w:t>TM</w:t>
      </w:r>
      <w:r>
        <w:rPr>
          <w:rFonts w:ascii="Arial" w:cs="Arial" w:eastAsia="Arial" w:hAnsi="Arial"/>
          <w:sz w:val="18"/>
          <w:szCs w:val="18"/>
          <w:color w:val="auto"/>
        </w:rPr>
        <w:t xml:space="preserve"> platform.</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With grant funding from the U.S. National Institutes of Health (“NIH”), we have successfully completed Phase 1 development of AV-101.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and depression. We were awarded over $8.8 million of grant funding from the NIH to support our nonclinical and Phase I clinical development of AV-101 for neuropathic pain. We intend to explore potential strategic partnering alternatives for further development of AV-101 for neuropathic pain, depression or other neurological conditions and diseases.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Form 10-K for the fiscal year ended March 31, 2013, as filed with the United States Securities and Exchange Commission, and in Note 3 to the accompanying unaudited Condensed Consolidated Financial Statements included in Part 1,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During the nine months ended December 31, 2013, our scientific personnel have continued to expand the drug rescue capabilities of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further develop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Scientific operations were curtailed somewhat during the quarter ended September 30, 2013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during the quarter ended December 31, 2013 have limited certain scientific activities and collaborations. Nevertheless, we have continued to advance the capabilities of our heart and liver cells and pursue our internal evaluation of prospective drug rescue candidates. We successfully completed Phase 1 clinical development of AV-101 during our fiscal year ended March 31, 2013 and directed effort during our first fiscal quarter to finalizing AV-101 Phase 1b clinical study reports, as required under the terms of our NIH grant awards and to facilitate further collaborative development of AV-101.</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Throughout this fiscal year,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the “</w:t>
      </w:r>
      <w:r>
        <w:rPr>
          <w:rFonts w:ascii="Arial" w:cs="Arial" w:eastAsia="Arial" w:hAnsi="Arial"/>
          <w:sz w:val="17"/>
          <w:szCs w:val="17"/>
          <w:i w:val="1"/>
          <w:iCs w:val="1"/>
          <w:color w:val="auto"/>
        </w:rPr>
        <w:t>Securities Purchase Agreement</w:t>
      </w:r>
      <w:r>
        <w:rPr>
          <w:rFonts w:ascii="Arial" w:cs="Arial" w:eastAsia="Arial" w:hAnsi="Arial"/>
          <w:sz w:val="17"/>
          <w:szCs w:val="17"/>
          <w:color w:val="auto"/>
        </w:rPr>
        <w:t>”) with Autilion AG, a company organized and existing under the laws of Switzerland (“</w:t>
      </w:r>
      <w:r>
        <w:rPr>
          <w:rFonts w:ascii="Arial" w:cs="Arial" w:eastAsia="Arial" w:hAnsi="Arial"/>
          <w:sz w:val="17"/>
          <w:szCs w:val="17"/>
          <w:i w:val="1"/>
          <w:iCs w:val="1"/>
          <w:color w:val="auto"/>
        </w:rPr>
        <w:t>Autilion</w:t>
      </w:r>
      <w:r>
        <w:rPr>
          <w:rFonts w:ascii="Arial" w:cs="Arial" w:eastAsia="Arial" w:hAnsi="Arial"/>
          <w:sz w:val="17"/>
          <w:szCs w:val="17"/>
          <w:color w:val="auto"/>
        </w:rPr>
        <w:t>”). Under the terms of the Securities Purchase Agreement, Autilion is contractually obligated to purchase an aggregate of 72.0 million restricted shares of our common stock at a purchase price of $0.50 per share for aggregate cash proceeds to us of $36.0 million (the “</w:t>
      </w:r>
      <w:r>
        <w:rPr>
          <w:rFonts w:ascii="Arial" w:cs="Arial" w:eastAsia="Arial" w:hAnsi="Arial"/>
          <w:sz w:val="17"/>
          <w:szCs w:val="17"/>
          <w:i w:val="1"/>
          <w:iCs w:val="1"/>
          <w:color w:val="auto"/>
        </w:rPr>
        <w:t>Autilion Financing</w:t>
      </w:r>
      <w:r>
        <w:rPr>
          <w:rFonts w:ascii="Arial" w:cs="Arial" w:eastAsia="Arial" w:hAnsi="Arial"/>
          <w:sz w:val="17"/>
          <w:szCs w:val="17"/>
          <w:color w:val="auto"/>
        </w:rPr>
        <w:t xml:space="preserve">”). At December 31, 2013, we had completed a nominal initial closing of the Autilion Financing.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between mid-January and mid-February 2014. [As of the date of this report, there has not been a subsequent closing of the Autilion Financing.] The Securities Purchase Agreement also provides for the election to our Board of Directors of a designee of Autilion upon completion of the Autilion Financing. This transaction is described in greater detail in Note 9,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in the Condensed Consolidated Financial Statements included in Item 1 of this Quarterly Report on Form 10-Q.</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strategic purposes and to meet our working capital needs prior to the closing of the Autilion Financing, during June and July 2013, we offered certain warrant holders the opportunity to exercise outstanding warrants having an exercise price of $1.50 per share to purchase shares of our restricted common stock at a reduced exercise price of $0.50 per share. Through July 2013, warrant holders exercised modified warrants to purchase an aggregate of 528,370 restricted shares of our common stock and we received cash proceeds of $264,200. In addition, certain long-term warrant holders exercised modified warrants to purchase 16,646 shares of our restricted common stock in lieu of payment by us in satisfaction of amounts due for professional services in the aggregate amount of $8,300. Additionally, in July 2013, we issued to Platinum a senior secured convertible note in the face amount of $250,000 (the “</w:t>
      </w:r>
      <w:r>
        <w:rPr>
          <w:rFonts w:ascii="Arial" w:cs="Arial" w:eastAsia="Arial" w:hAnsi="Arial"/>
          <w:sz w:val="16"/>
          <w:szCs w:val="16"/>
          <w:i w:val="1"/>
          <w:iCs w:val="1"/>
          <w:color w:val="auto"/>
        </w:rPr>
        <w:t>July</w:t>
      </w:r>
      <w:r>
        <w:rPr>
          <w:rFonts w:ascii="Arial" w:cs="Arial" w:eastAsia="Arial" w:hAnsi="Arial"/>
          <w:sz w:val="16"/>
          <w:szCs w:val="16"/>
          <w:color w:val="auto"/>
        </w:rPr>
        <w:t xml:space="preserve"> </w:t>
      </w:r>
      <w:r>
        <w:rPr>
          <w:rFonts w:ascii="Arial" w:cs="Arial" w:eastAsia="Arial" w:hAnsi="Arial"/>
          <w:sz w:val="16"/>
          <w:szCs w:val="16"/>
          <w:i w:val="1"/>
          <w:iCs w:val="1"/>
          <w:color w:val="auto"/>
        </w:rPr>
        <w:t>2013 Note</w:t>
      </w:r>
      <w:r>
        <w:rPr>
          <w:rFonts w:ascii="Arial" w:cs="Arial" w:eastAsia="Arial" w:hAnsi="Arial"/>
          <w:sz w:val="16"/>
          <w:szCs w:val="16"/>
          <w:color w:val="auto"/>
        </w:rPr>
        <w:t>”) and a five-year warrant to purchase 250,000 shares of our restricted common stock at an exercise price of $0.50 per share. Between August 2013</w:t>
      </w:r>
      <w:r>
        <w:rPr>
          <w:rFonts w:ascii="Arial" w:cs="Arial" w:eastAsia="Arial" w:hAnsi="Arial"/>
          <w:sz w:val="16"/>
          <w:szCs w:val="16"/>
          <w:i w:val="1"/>
          <w:iCs w:val="1"/>
          <w:color w:val="auto"/>
        </w:rPr>
        <w:t xml:space="preserve"> </w:t>
      </w:r>
      <w:r>
        <w:rPr>
          <w:rFonts w:ascii="Arial" w:cs="Arial" w:eastAsia="Arial" w:hAnsi="Arial"/>
          <w:sz w:val="16"/>
          <w:szCs w:val="16"/>
          <w:color w:val="auto"/>
        </w:rPr>
        <w:t>and February 10, 2014 we entered into strategic securities purchase agreements with accredited investors pursuant to which we sold to such investors Units of our securities consisting, in aggregate, of: (i) one-year 10% convertible notes in the aggregate face amount of $970,000; (ii) an aggregate of 1,940,000 shares of our restricted common stock; and (iii) warrants exercisable through July 30, 2016 to purchase an aggregate of 1,940,000 restricted shares of our common stock at an exercise price of $1.00 per share. We received cash proceeds of $970,000 from the sale of the Units, including $50,000 in lieu of repayment of previous advances made to us by one of our executive officers. Under certain circumstances, the July 2013 Note issued to Platinum is convertible into Units.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2013 and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results of our operations for the three months ended December 31, 2013 and 2012 (amounts in $000).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Deemed dividend on Series A Preferred Stock</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reported no grant or subcontract revenue for the quarter ended December 31, 2013 or 2012. We have successfully completed our Phase I development of AV-101, our prodrug candidate for the treatment of neuropathic pain and, potentially, depression and other neurological conditions. Our NIH grant related to AV-101 expired in its normal course on June 30, 2012 and has not been extended or renewed. We had drawn the maximum amount available under the grant prior to its expiration. Revenue associated with our earlier subcontract research arrangement terminated in May 2012.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Research and development expense totaled $551,000 for the quarter ended December 31, 2013, a decrease of 51% compared to $1,120,000 for the quarter ended December 31, 2012. The following table indicates the primary components of research and development for each of the periods (in $000):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7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third-party research and supplies: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Arial" w:cs="Arial" w:eastAsia="Arial" w:hAnsi="Arial"/>
                <w:sz w:val="18"/>
                <w:szCs w:val="18"/>
                <w:color w:val="auto"/>
              </w:rPr>
              <w:t>AV-101</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CardioSafe and LiverSafe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7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increase in R&amp;D salaries and benefits expense reflects the impact of the addition of a research technician in April 2013, the partial restoration in April 2013 of an earlier voluntary salary reduction to below his contractual pay rate taken by our President and Chief Scientific Officer, and general increases in employee benefits costs. In addition to the ratable amortization of stock-based compensation expense over the requisite service period of the respective grants made in both the current year and in prior years, stock-based compensation expense for the quarter ended December 31, 2013 includes approximately $82,000 as the impact of October 2013 and December 2013 modifications to reduce the exercise price of certain outstanding option grants to $0.40 per share or $0.50 per share, as well as approximately $33,000 attributable to the expense resulting from the March 2013 grant of a warrant to our President and Chief Scientific Officer that vests over three years, subject to certain vesting acceleration events. Stock-based compensation expense for the quarter ended December 2012 includes approximately $558,000 as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2012 reflects our stem cell research collaboration in accordance with our agreements with UHN made in the third and fourth quarters of our fiscal year ended March 31, 2012 and in a further modification effective beginning in October 2012. Technology license expense increased in 2013 reflecting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and completed them by mid-year 2012. AV-101 expenses in the current quarter of calendar 2013 reflect the costs associated with monitoring for and responding to potential feedback related to our final clinical trial and other reports required under the terms of the prior NIH grant, primarily through our contract research collaborator, Cato Research Ltd. The 2013 increases in rent and depreciation expenses reflect increased rental costs and the amortization of tenant improvements related to our relocation to expanded facilities in late-July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was $897,000 for the quarter ended December 31, 2013, an increase of 12% compared with $799,000 for the quarter ended December 31, 2012. The following table indicates the primary components of general and administrative expenses for each of the periods (in $000):</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58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Insurance</w:t>
            </w: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Rent and utilities</w:t>
            </w: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All other expenses</w:t>
            </w: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358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decrease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part-time employee status, and (iv) general annual increases in employee benefits costs; all offset by the impact of a voluntary resignation of an administrative staff member. In addition to the ratable amortization of stock-based compensation expense over the requisite service period of the respective grants made in both the current year and in prior years, stock-based compensation expense for the quarter ended December 31, 2013 includes approximately $170,000 as the impact of October 2013 and December 2013 modifications to reduce the exercise price of certain outstanding option grants to $0.40 per share or $0.50 per share, as well as approximately $67,000 attributable to the expense resulting from the March 2013 grant of warrants vesting over three years, subject to certain vesting acceleration events, to certain members of our senior management and to the independent members of our Board of Directors. Stock-based compensation expense for the quarter ended December 2012 includes approximately $231,000 as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The increase in legal, accounting and other professional fees primarily reflects the impact of temporary employee fees offset by the impact of the September 2012 conversion of our Chief Financial Officer from part-time consultant to full-time employee status, as noted above. During 2012, we had engaged third parties to provide us with investor relations services and to conduct market awareness initiatives; for strategic purposes, we have significantly scaled back those initiatives during 2013. The 2013 increase in rent and utilities reflects increased costs related to our relocation to expanded facilities in late-July 2013. Warrant modification expense reflects the impact of October 2013 and December 2013 strategic reductions in the exercise price of certain outstanding warrants, generally from $1.75 per share or $1.50 per share, to $0.50 per share, and in limited cases, the extension of the term of certain outstanding warrants.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net totaled $361,000 for the three months ended December 31, 2013, a 54% increase compared to the $235,000 reported for the three months ended December 31, 2012. The following table summarizes the primary components of interest expense for each of the periods (in $000):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on promissory notes, including discount amortization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Charge related to registration rights for February 2012 12% convertible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 for investment banker warrants related to February 2012 Convertible promissory notes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Effect of foreign currency fluctuations on notes payable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Arial" w:cs="Arial" w:eastAsia="Arial" w:hAnsi="Arial"/>
          <w:sz w:val="18"/>
          <w:szCs w:val="18"/>
          <w:i w:val="1"/>
          <w:iCs w:val="1"/>
          <w:color w:val="auto"/>
        </w:rPr>
        <w:t>Convertible Promissory Notes and Other Notes Payable,</w:t>
      </w:r>
      <w:r>
        <w:rPr>
          <w:rFonts w:ascii="Arial" w:cs="Arial" w:eastAsia="Arial" w:hAnsi="Arial"/>
          <w:sz w:val="18"/>
          <w:szCs w:val="18"/>
          <w:color w:val="auto"/>
        </w:rPr>
        <w:t xml:space="preserve"> in the Condensed Consolidated Financial Statements included in Item 1 of this Quarterly Report on Form 10-Q.</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All of these notes and warrants are described more completely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in the Condensed Consolidated Financial Statements included in Item 1 of this Quarterly Report on Form 10-Q.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quarter ended December 31, 2013, we recognized non-cash income of $1,940,000 related to the net decrease in the estimated fair value of these liabilities since September 30, 2013, which resulted primarily from the decrease in the market price of our common stock in relation to the anticipated exercise price of the warrants. During the quarter ended December 31, 2012, we recognized non-cash income of $358,000 related to the net decrease in the estimated fair value of the warrant liabilities since their initial October 2012 issuance date, which again resulted primarily from the decrease in the market price of our common stock in relation to the anticipated exercise price of the warrants.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quarter ended December 31, 2012, we recognized non-cash losses on the early extinguishment of debt in the aggregate amount of $3.5 million as a result of the restructuring of notes payable to Platinum and Cato Holding Company, and the restructuring of accounts payable to Cato Research, Ltd. and University Health Network that were converted to notes payable, as well as upon the conversion by the holders of our 12% Convertible Promissory Notes issued in February 2012 into restricted shares of our common stock and warrants, all of which were treated as extinguishment of debt for accounting purposes.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October 2012, in connection with the Note and Exchange Agreement we entered with Platinum, as described in Note 7, </w:t>
      </w:r>
      <w:r>
        <w:rPr>
          <w:rFonts w:ascii="Arial" w:cs="Arial" w:eastAsia="Arial" w:hAnsi="Arial"/>
          <w:sz w:val="18"/>
          <w:szCs w:val="18"/>
          <w:i w:val="1"/>
          <w:iCs w:val="1"/>
          <w:color w:val="auto"/>
        </w:rPr>
        <w:t>Convertible Promissory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Notes and Other Notes Payable, </w:t>
      </w:r>
      <w:r>
        <w:rPr>
          <w:rFonts w:ascii="Arial" w:cs="Arial" w:eastAsia="Arial" w:hAnsi="Arial"/>
          <w:sz w:val="18"/>
          <w:szCs w:val="18"/>
          <w:color w:val="auto"/>
        </w:rPr>
        <w:t>and Note 9,</w:t>
      </w:r>
      <w:r>
        <w:rPr>
          <w:rFonts w:ascii="Arial" w:cs="Arial" w:eastAsia="Arial" w:hAnsi="Arial"/>
          <w:sz w:val="18"/>
          <w:szCs w:val="18"/>
          <w:i w:val="1"/>
          <w:iCs w:val="1"/>
          <w:color w:val="auto"/>
        </w:rPr>
        <w:t xml:space="preserve"> Capital Stock</w:t>
      </w:r>
      <w:r>
        <w:rPr>
          <w:rFonts w:ascii="Arial" w:cs="Arial" w:eastAsia="Arial" w:hAnsi="Arial"/>
          <w:sz w:val="18"/>
          <w:szCs w:val="18"/>
          <w:color w:val="auto"/>
        </w:rPr>
        <w:t>, in the Condensed Consolidated Financial Statements included in Item 1 of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 we recorded a non-cash deemed dividend of $10.2 million as a result of the modification of the exchange rights for the Series A Preferred Stock held by Platinum and the related contingent grant of a five-year warrant to purchase shares of our common stock upon Platinum’s exercise of its Series A preferred stock exchange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2013 and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results of our operations for the nine months ended December 31, 2013 and 2012 (amounts in $000).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Grant revenue</w:t>
            </w:r>
          </w:p>
        </w:tc>
        <w:tc>
          <w:tcPr>
            <w:tcW w:w="2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Interest expense, net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warrant liabilities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Loss on early extinguishment of debt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Deemed dividend on Series A Preferred Stock</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compares our primary revenue sources between the periods (in $000):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1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NIH - AV-101 grant</w:t>
            </w:r>
          </w:p>
        </w:tc>
        <w:tc>
          <w:tcPr>
            <w:tcW w:w="62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Subcontract revenue</w:t>
            </w:r>
          </w:p>
        </w:tc>
        <w:tc>
          <w:tcPr>
            <w:tcW w:w="5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2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jc w:val="right"/>
              <w:ind w:right="2870"/>
              <w:spacing w:after="0"/>
              <w:rPr>
                <w:sz w:val="20"/>
                <w:szCs w:val="20"/>
                <w:color w:val="auto"/>
              </w:rPr>
            </w:pPr>
            <w:r>
              <w:rPr>
                <w:rFonts w:ascii="Arial" w:cs="Arial" w:eastAsia="Arial" w:hAnsi="Arial"/>
                <w:sz w:val="18"/>
                <w:szCs w:val="18"/>
                <w:color w:val="auto"/>
              </w:rPr>
              <w:t>-31-</w:t>
            </w: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expense totaled $1,916,000 for the nine months ended December 31, 2013, a decrease of 38% compared to $3,092,000 for the nine months ended December 31, 2012. The following table indicates the primary components of research and development for each of the periods (in $000):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third-party research and supplies: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Arial" w:cs="Arial" w:eastAsia="Arial" w:hAnsi="Arial"/>
                <w:sz w:val="18"/>
                <w:szCs w:val="18"/>
                <w:color w:val="auto"/>
              </w:rPr>
              <w:t>AV-101</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CardioSafe and LiverSafe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increase in R&amp;D salaries and benefits expense reflects the impact of (i) the addition of a research technician in April 2013; (ii) the partial restoration in April 2013 of an earlier voluntary salary reduction to below his contractual pay rate taken by our President and Chief Scientific Officer; and (iii) general annual increases in employee benefits costs. In addition to the ratable amortization of stock-based compensation expense over the requisite service period of the respective grants made in both the current year and in prior years, stock-based compensation expense for the nine months ended December 31, 2013 includes approximately $82,000 as the impact of October 2013 and December 2013 modifications to reduce the exercise price of certain outstanding option grants to $0.40 per share or $0.50 per share, as well as approximately $100,000 attributable to the expense resulting from the March 2013 grant of a warrant to our President and Chief Scientific Officer that vests over three years, subject to certain vesting acceleration events. Stock-based compensation expense for the quarter ended December 2012 includes approximately $558,000 as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2012 reflects our stem cell research collaboration in accordance with our agreements with UHN made in the third and fourth quarters of our fiscal year ended March 31, 2012 and in a further modification effective beginning in October 2012. Technology license expense has increased in 2013 reflecting significantly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the nine months ended December 31, 2012. AV-101 expenses in the nine months ended December 31, 2013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The increase in rent expense and depreciation for the nine months ended December 31, 2013 reflects increased rental costs and the amortization of tenant improvements related to our relocation to expanded facilities in late-July 2013.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totaled $2,048,000 for the nine months ended December 31, 2013, a reduction of 16% compared with $2,430,000 for the nine months ended December 31, 2012. The following table indicates the primary components of general and administrative expenses for each of the periods (in $000):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Insurance</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Rent and utilities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All other expenses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part-time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both the current year and in prior years, stock-based compensation expense for the quarter ended December 31, 2013 includes approximately $170,000 as the impact of October 2013 and December 2013 modifications to reduce the exercise price of certain outstanding option grants to $0.40 per share or $0.50 per share, as well as approximately $201,000 attributable to the expense resulting from the March 2013 grant of warrants vesting over three years, subject to certain vesting acceleration events, to certain members of our senior management and to the independent members of our Board of Directors. Stock-based compensation expense for the quarter ended December 2012 includes approximately $231,000 as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The reduction in legal, accounting and other professional fees is primarily the result of the conversion of our Chief Financial Officer from part-time consultant to full-time employee status, as noted above, partially offset by the impact of temporary employee fees. During 2012, we had engaged third parties to provide us with investor relations services and to conduct market awareness initiatives; for strategic purposes, we have significantly scaled back those initiatives during 2013. The 2013 increase in rent and utilities reflects increased costs related to our relocation to expanded facilities in late-July 2013. Warrant modification expense for 2013 reflects the impact of October 2013 and December 2013 strategic reductions in the exercise price of certain outstanding warrants, generally from $1.75 per share or $1.50 per share, to $0.50 per share, and in limited cases, the extension of the term of certain outstanding warrants. In May 2012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net totaled $1,000,000 for the nine months ended December 31, 2013, a 63% increase compared to the $612,000 reported for the nine months ended December 31, 2012. The following table summarizes the primary components of interest expense for each of the periods (in $000):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 including discount amortization</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Charge for fair value of replacement warrants issued in connection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40"/>
              <w:spacing w:after="0"/>
              <w:rPr>
                <w:sz w:val="20"/>
                <w:szCs w:val="20"/>
                <w:color w:val="auto"/>
              </w:rPr>
            </w:pPr>
            <w:r>
              <w:rPr>
                <w:rFonts w:ascii="Arial" w:cs="Arial" w:eastAsia="Arial" w:hAnsi="Arial"/>
                <w:sz w:val="18"/>
                <w:szCs w:val="18"/>
                <w:color w:val="auto"/>
              </w:rPr>
              <w:t>with exercise of modified warrants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Charge related to losses on accounts payable settled by issuance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common stock or notes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Charge for investment banker warrants related to February 2012 Convertible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promissory notes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Arial" w:cs="Arial" w:eastAsia="Arial" w:hAnsi="Arial"/>
          <w:sz w:val="18"/>
          <w:szCs w:val="18"/>
          <w:i w:val="1"/>
          <w:iCs w:val="1"/>
          <w:color w:val="auto"/>
        </w:rPr>
        <w:t>Convertible Promissory Notes and Other Notes Payable,</w:t>
      </w:r>
      <w:r>
        <w:rPr>
          <w:rFonts w:ascii="Arial" w:cs="Arial" w:eastAsia="Arial" w:hAnsi="Arial"/>
          <w:sz w:val="18"/>
          <w:szCs w:val="18"/>
          <w:color w:val="auto"/>
        </w:rPr>
        <w:t xml:space="preserve"> in the Condensed Consolidated Financial Statements included in Item 1 of this Quarterly Report on Form 10-Q.</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in the Condensed Consolidated Financial Statements included in Item 1 of this Quarterly Report on Form 10-Q), and the contingent issuance of the Series A Exchange Warrant to Platinum upon Platinum’s exchange of shares of our Series A Preferred Stock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nine months ended December 31, 2013, we recognized non-cash income of $3,824,000 related to the net decrease in the estimated fair value of these liabilities since March 31, 2013, or issuance in the case of the warrant issued in July 2013, which resulted from a combination of (i) the May 2013 agreement with Platinum (described more completely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the Condensed Consolidated Financial Statements included in Item 1 of this Quarterly Report on Form 10-Q), pursuant to which the stated exercise price of the warrants was reduced from $1.50 per share to $0.50 per share, and (ii) the decrease in the market price of our common stock during that period.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recognized non-cash losses on the early extinguishment of debt in the aggregate amount of $3.5 million during the nine months ended December 31, 2012 as a result of the restructuring of notes payable to Platinum and Cato Holding Company, and the restructuring of accounts payable to Cato Research, Ltd. and University Health Network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in the Consolidated Financial Statements included in Item 1 of this Quarterly Report on Form 10-Q.</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October 2012, in connection with the Note and Exchange Agreement we entered with Platinum, as described in Note 7, </w:t>
      </w:r>
      <w:r>
        <w:rPr>
          <w:rFonts w:ascii="Arial" w:cs="Arial" w:eastAsia="Arial" w:hAnsi="Arial"/>
          <w:sz w:val="18"/>
          <w:szCs w:val="18"/>
          <w:i w:val="1"/>
          <w:iCs w:val="1"/>
          <w:color w:val="auto"/>
        </w:rPr>
        <w:t>Convertible Promissory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Notes and Other Notes Payable, </w:t>
      </w:r>
      <w:r>
        <w:rPr>
          <w:rFonts w:ascii="Arial" w:cs="Arial" w:eastAsia="Arial" w:hAnsi="Arial"/>
          <w:sz w:val="18"/>
          <w:szCs w:val="18"/>
          <w:color w:val="auto"/>
        </w:rPr>
        <w:t>and Note 9,</w:t>
      </w:r>
      <w:r>
        <w:rPr>
          <w:rFonts w:ascii="Arial" w:cs="Arial" w:eastAsia="Arial" w:hAnsi="Arial"/>
          <w:sz w:val="18"/>
          <w:szCs w:val="18"/>
          <w:i w:val="1"/>
          <w:iCs w:val="1"/>
          <w:color w:val="auto"/>
        </w:rPr>
        <w:t xml:space="preserve"> Capital Stock</w:t>
      </w:r>
      <w:r>
        <w:rPr>
          <w:rFonts w:ascii="Arial" w:cs="Arial" w:eastAsia="Arial" w:hAnsi="Arial"/>
          <w:sz w:val="18"/>
          <w:szCs w:val="18"/>
          <w:color w:val="auto"/>
        </w:rPr>
        <w:t>, in the Condensed Consolidated Financial Statements included in Item 1 of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 we recorded a non-cash deemed dividend of $10.2 million as a result of the modification of the exchange rights for the Series A Preferred Stock held by Platinum and the related contingent issuance of a five-year warrant to purchase shares of our common stock upon Platinum’s exercise of its Series A Preferred Stock exchange rights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our inception in May 1998 through December 2013, we have financed our operations and technology acquisitions primarily through the issuance and sale of equity and debt securities, including convertible promissory notes and short-term promissory notes, for cash proceeds of approximately $25.4 million, as well as from an aggregate of approximately $16.4 million of government research grant awards, strategic collaboration payments and other revenues. Additionally, we have issued equity securities with an approximate value at issuance of $12.6 million, primarily as compensation for professional services rendered to us since inception. At December 31, 2013, we had approximately $21,000 in cash and cash equivalents. However, in April 2013, we entered into a Securities Purchase Agreement (as amended, the “</w:t>
      </w:r>
      <w:r>
        <w:rPr>
          <w:rFonts w:ascii="Arial" w:cs="Arial" w:eastAsia="Arial" w:hAnsi="Arial"/>
          <w:sz w:val="18"/>
          <w:szCs w:val="18"/>
          <w:i w:val="1"/>
          <w:iCs w:val="1"/>
          <w:color w:val="auto"/>
        </w:rPr>
        <w:t>Securities Purchase Agreement</w:t>
      </w:r>
      <w:r>
        <w:rPr>
          <w:rFonts w:ascii="Arial" w:cs="Arial" w:eastAsia="Arial" w:hAnsi="Arial"/>
          <w:sz w:val="18"/>
          <w:szCs w:val="18"/>
          <w:color w:val="auto"/>
        </w:rPr>
        <w:t>”) providing for the issuance to Autilion AG (“</w:t>
      </w:r>
      <w:r>
        <w:rPr>
          <w:rFonts w:ascii="Arial" w:cs="Arial" w:eastAsia="Arial" w:hAnsi="Arial"/>
          <w:sz w:val="18"/>
          <w:szCs w:val="18"/>
          <w:i w:val="1"/>
          <w:iCs w:val="1"/>
          <w:color w:val="auto"/>
        </w:rPr>
        <w:t>Autilion”</w:t>
      </w:r>
      <w:r>
        <w:rPr>
          <w:rFonts w:ascii="Arial" w:cs="Arial" w:eastAsia="Arial" w:hAnsi="Arial"/>
          <w:sz w:val="18"/>
          <w:szCs w:val="18"/>
          <w:color w:val="auto"/>
        </w:rPr>
        <w:t>) of 72 million restricted shares of our common stock for total gross proceeds to us of $36 million (the “</w:t>
      </w:r>
      <w:r>
        <w:rPr>
          <w:rFonts w:ascii="Arial" w:cs="Arial" w:eastAsia="Arial" w:hAnsi="Arial"/>
          <w:sz w:val="18"/>
          <w:szCs w:val="18"/>
          <w:i w:val="1"/>
          <w:iCs w:val="1"/>
          <w:color w:val="auto"/>
        </w:rPr>
        <w:t>Autilion Financing</w:t>
      </w:r>
      <w:r>
        <w:rPr>
          <w:rFonts w:ascii="Arial" w:cs="Arial" w:eastAsia="Arial" w:hAnsi="Arial"/>
          <w:sz w:val="18"/>
          <w:szCs w:val="18"/>
          <w:color w:val="auto"/>
        </w:rPr>
        <w:t>”). At December 31, 2013, we had completed a nominal initial closing of the Autilion Financing.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anticipate that our cash expenditures during the next twelve months following the expected receipt of the cash proceeds from the Autilion Financing will be approximately $4.0 to $6.0 million. We believe that our current cash and cash equivalents plus the receipt of $36 million of cash proceeds from the Autilion Financing will enable us to fund our operations well beyond the next twelve months. In the event that we are not able to close with respect to at least a significant portion of the remaining proceeds anticipated from the Autilion Financing, we will need to obtain substantial additional financing on a timely basis. Substantial additional financing may not be available on a timely basis, on terms acceptable to us, or at all. In the event we are unable to obtain additional financing on a timely basis, our business, financial condition, and results of operations may be harmed, the price of our stock may decline, and we may not be able to continue as a going concern.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the Autilion Financing is completed in an amount exceeding $12.0 million, and we issue over 24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substantial part or in full.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meet our cash needs and fund our working capital requirements after December 2013 and prior to the expected completion of the Autilion Financing, through February 10, 2014, we entered into securities purchase agreements with accredited investors pursuant to which we sold to such investors Units consisting in aggregate of: (i) 10% convertible notes in the aggregate face amount of $390,000 maturing on July 30, 2014; (ii) an aggregate of 780,000 shares of our restricted common stock; and (iii) warrants exercisable through July 30, 2016 to purchase an aggregate of 780,000 restricted shares of our common stock at an exercise price of $1.00 per share. We received cash proceeds of $390,000 from the sale of the Units.</w:t>
      </w:r>
    </w:p>
    <w:p>
      <w:pPr>
        <w:spacing w:after="0" w:line="20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and as necessary, we may supplement the expected proceeds from the Autilion Financing through a combination of additional private placements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and we will continue to pursue additional financing opportunities as necessary to meet our business objectives, there can be no assurance that additional capital will be available to us in sufficient amounts, on terms favorable to us, and without substantial dilution to our current stockholders,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Nine Months Ended 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legal proceedings nor do we know of any legal proceedings which are threatened or contemplated.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identified the following risk factor in addition to the risk factors previously disclosed in Part I, Item 1A, “Risk Factors” in our Annual Report on Form 10-K for the year ended March 31, 2013:</w:t>
      </w:r>
    </w:p>
    <w:p>
      <w:pPr>
        <w:spacing w:after="0" w:line="19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entered into a securities purchase agreement to provide us with $36.0 million in working capital. An initial closing under the agreement resulting in nominal proceeds has occurred; however, no further scheduled closing has occurred. No assurances can be given that we will consummate any further closing under the securities purchase agreement, in which event we will need to secure substantial alternative sources of capital in a timely manner, which may not be available on acceptable terms, or at all, potentially resulting in our inability to continue as a going concern.</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April 2013, we entered into a Securities Purchase Agreement (as amended, the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providing for the issuance to Autilion AG, a corporation organized and existing under the laws of Switzerland (“</w:t>
      </w:r>
      <w:r>
        <w:rPr>
          <w:rFonts w:ascii="Arial" w:cs="Arial" w:eastAsia="Arial" w:hAnsi="Arial"/>
          <w:sz w:val="16"/>
          <w:szCs w:val="16"/>
          <w:i w:val="1"/>
          <w:iCs w:val="1"/>
          <w:color w:val="auto"/>
        </w:rPr>
        <w:t>Autilion”</w:t>
      </w:r>
      <w:r>
        <w:rPr>
          <w:rFonts w:ascii="Arial" w:cs="Arial" w:eastAsia="Arial" w:hAnsi="Arial"/>
          <w:sz w:val="16"/>
          <w:szCs w:val="16"/>
          <w:color w:val="auto"/>
        </w:rPr>
        <w:t>), of 72 million restricted shares of our common stock for total gross proceeds of $36 million (the “</w:t>
      </w:r>
      <w:r>
        <w:rPr>
          <w:rFonts w:ascii="Arial" w:cs="Arial" w:eastAsia="Arial" w:hAnsi="Arial"/>
          <w:sz w:val="16"/>
          <w:szCs w:val="16"/>
          <w:i w:val="1"/>
          <w:iCs w:val="1"/>
          <w:color w:val="auto"/>
        </w:rPr>
        <w:t>Autilion Financing</w:t>
      </w:r>
      <w:r>
        <w:rPr>
          <w:rFonts w:ascii="Arial" w:cs="Arial" w:eastAsia="Arial" w:hAnsi="Arial"/>
          <w:sz w:val="16"/>
          <w:szCs w:val="16"/>
          <w:color w:val="auto"/>
        </w:rPr>
        <w:t>”). As amended, the Securities Purchase Agreement provided for a series of closings scheduled to have occurred on or before September 30, 2013. As of the date of this report, a closing resulting in nominal proceeds from the Autilion Financing has occurred. However, further scheduled closings have not yet occurred. Although Autilion remains in default under the Securities Purchase Agreement, subsequent to December 31, 2013, we have been informed by Autilion that (i) Autilion will cure its default under the Securities Purchase Agreement, and (ii) we will receive the full $36 million of proceeds contemplated by the Securities Purchase Agreement. As a result of the prior delay in closing the Autilion Financing in full, however, we cannot provide any assurance as to whether we will receive any additional funding from Autilion in connection with the Autilion Financing in a timely manner, or at all. In the event we are not able to close with respect to at least a significant portion of the proceeds anticipated from the Autilion Financing, we will need to obtain substantial additional financing on a timely basis. Substantial additional financing may not be available to us on a timely basis, on terms acceptable to us, or at all. In the event we are unable to obtain additional financing, our business, financial condition, and results of operations may be harmed, the price of our stock may decline, and we may not be able to continue as a going concern.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the Autilion Financing is completed in an amount exceeding $12.0 million, and we issue over 24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part or in full.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Units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Between December 1, 2013 and February 10, 2014 the Company entered into securities purchase agreements with accredited investors pursuant to which it sold to such investors 118 Units consisting of (i) a 10% convertible note in the face amount of $5,000 maturing on July 30, 2014 (the “</w:t>
      </w:r>
      <w:r>
        <w:rPr>
          <w:rFonts w:ascii="Arial" w:cs="Arial" w:eastAsia="Arial" w:hAnsi="Arial"/>
          <w:sz w:val="16"/>
          <w:szCs w:val="16"/>
          <w:i w:val="1"/>
          <w:iCs w:val="1"/>
          <w:color w:val="auto"/>
        </w:rPr>
        <w:t>Unit Note</w:t>
      </w:r>
      <w:r>
        <w:rPr>
          <w:rFonts w:ascii="Arial" w:cs="Arial" w:eastAsia="Arial" w:hAnsi="Arial"/>
          <w:sz w:val="16"/>
          <w:szCs w:val="16"/>
          <w:color w:val="auto"/>
        </w:rPr>
        <w:t>”);</w:t>
      </w:r>
    </w:p>
    <w:p>
      <w:pPr>
        <w:jc w:val="both"/>
        <w:ind w:firstLine="8"/>
        <w:spacing w:after="0" w:line="269" w:lineRule="auto"/>
        <w:tabs>
          <w:tab w:leader="none" w:pos="2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10,000 shares of the Company’s common stock (the “</w:t>
      </w:r>
      <w:r>
        <w:rPr>
          <w:rFonts w:ascii="Arial" w:cs="Arial" w:eastAsia="Arial" w:hAnsi="Arial"/>
          <w:sz w:val="17"/>
          <w:szCs w:val="17"/>
          <w:i w:val="1"/>
          <w:iCs w:val="1"/>
          <w:color w:val="auto"/>
        </w:rPr>
        <w:t>Unit Stock</w:t>
      </w:r>
      <w:r>
        <w:rPr>
          <w:rFonts w:ascii="Arial" w:cs="Arial" w:eastAsia="Arial" w:hAnsi="Arial"/>
          <w:sz w:val="17"/>
          <w:szCs w:val="17"/>
          <w:color w:val="auto"/>
        </w:rPr>
        <w:t>”); and (iii) a warrant exercisable through July 30, 2016 to purchase 10,000 shares of the Company’s common stock at an exercise price of $1.00 per share (the “</w:t>
      </w:r>
      <w:r>
        <w:rPr>
          <w:rFonts w:ascii="Arial" w:cs="Arial" w:eastAsia="Arial" w:hAnsi="Arial"/>
          <w:sz w:val="17"/>
          <w:szCs w:val="17"/>
          <w:i w:val="1"/>
          <w:iCs w:val="1"/>
          <w:color w:val="auto"/>
        </w:rPr>
        <w:t>Unit Warrant</w:t>
      </w:r>
      <w:r>
        <w:rPr>
          <w:rFonts w:ascii="Arial" w:cs="Arial" w:eastAsia="Arial" w:hAnsi="Arial"/>
          <w:sz w:val="17"/>
          <w:szCs w:val="17"/>
          <w:color w:val="auto"/>
        </w:rPr>
        <w:t>”). Accordingly, the Company issued Unit Notes in the aggregate face amount of $590,000; an aggregate of 1,180,000 shares of Unit Stock, and Unit Warrants to purchase an aggregate of 1,180,000 shares of the Company’s common stock. The Unit Notes and related accrued interest are convertible into shares of the Company’s common stock at a conversion price of $0.50 per share at or prior to maturity at the option of the investor. The Company received cash proceeds of $590,000 from the sale of the Units, which it expects to use for general corporate purposes The Units were offered and sold in transactions exempt from registration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in reliance on Section 4(2) thereof and Rule 506 of Regulation D thereunder.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515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7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31750</wp:posOffset>
            </wp:positionV>
            <wp:extent cx="65258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100" w:space="720"/>
            <w:col w:w="5600"/>
          </w:cols>
          <w:pgMar w:left="240" w:top="130" w:right="239" w:bottom="1440" w:gutter="0" w:footer="0" w:header="0"/>
          <w:type w:val="continuous"/>
        </w:sectPr>
      </w:pPr>
    </w:p>
    <w:p>
      <w:pPr>
        <w:ind w:left="1140" w:right="20" w:hanging="1133"/>
        <w:spacing w:after="0" w:line="258" w:lineRule="auto"/>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Principal Executive Officer required by Rule 13a-14(a) under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140" w:hanging="1133"/>
        <w:spacing w:after="0" w:line="250" w:lineRule="auto"/>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Principal Financial Officer required by Rule 13a-14(a) under the Securities Exchange Act of 1934, as amended, as adopted pursuant to Section 302 of the Sarbanes-Oxley Act of 2002</w:t>
      </w:r>
    </w:p>
    <w:p>
      <w:pPr>
        <w:spacing w:after="0" w:line="1" w:lineRule="exact"/>
        <w:rPr>
          <w:sz w:val="20"/>
          <w:szCs w:val="20"/>
          <w:color w:val="auto"/>
        </w:rPr>
      </w:pPr>
    </w:p>
    <w:p>
      <w:pPr>
        <w:ind w:left="1140" w:right="20" w:hanging="113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2014</w:t>
      </w:r>
    </w:p>
    <w:p>
      <w:pPr>
        <w:sectPr>
          <w:pgSz w:w="11900" w:h="16838" w:orient="portrait"/>
          <w:cols w:equalWidth="0" w:num="1">
            <w:col w:w="10520"/>
          </w:cols>
          <w:pgMar w:left="240" w:top="130" w:right="11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February 14, 2014</w:t>
            </w:r>
          </w:p>
        </w:tc>
        <w:tc>
          <w:tcPr>
            <w:tcW w:w="2180" w:type="dxa"/>
            <w:vAlign w:val="bottom"/>
          </w:tcPr>
          <w:p>
            <w:pPr>
              <w:spacing w:after="0"/>
              <w:rPr>
                <w:sz w:val="18"/>
                <w:szCs w:val="18"/>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3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60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February 14, 2014</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Jerrold D. Dotson</w:t>
            </w:r>
          </w:p>
        </w:tc>
        <w:tc>
          <w:tcPr>
            <w:tcW w:w="420" w:type="dxa"/>
            <w:vAlign w:val="bottom"/>
          </w:tcPr>
          <w:p>
            <w:pPr>
              <w:spacing w:after="0"/>
              <w:rPr>
                <w:sz w:val="18"/>
                <w:szCs w:val="18"/>
                <w:color w:val="auto"/>
              </w:rPr>
            </w:pPr>
          </w:p>
        </w:tc>
      </w:tr>
      <w:tr>
        <w:trPr>
          <w:trHeight w:val="222"/>
        </w:trPr>
        <w:tc>
          <w:tcPr>
            <w:tcW w:w="57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Jerrold D. Dotson</w:t>
            </w:r>
          </w:p>
        </w:tc>
      </w:tr>
      <w:tr>
        <w:trPr>
          <w:trHeight w:val="230"/>
        </w:trPr>
        <w:tc>
          <w:tcPr>
            <w:tcW w:w="57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2013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660" w:hanging="22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1650365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upperLetter"/>
      <w:start w:val="24"/>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2020-01-26T02:14:34Z</dcterms:created>
  <dcterms:modified xsi:type="dcterms:W3CDTF">2020-01-26T02:14:34Z</dcterms:modified>
</cp:coreProperties>
</file>