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Smith Mark Alan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29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1.96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04/26/2017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04/26/2027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20" w:firstLine="6"/>
        <w:spacing w:after="0" w:line="2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third (1/3rd) of the total shares shall vest one (1) year following the date of grant and 1/24th of the remaining number of shares shall vest monthly thereafter until all awarded shares are fully vested three (3) years from the date of grant.</w:t>
      </w:r>
    </w:p>
    <w:p>
      <w:pPr>
        <w:ind w:left="6860"/>
        <w:spacing w:after="0" w:line="1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04/28/2017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3887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3092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7452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2020-01-16T02:06:27Z</dcterms:created>
  <dcterms:modified xsi:type="dcterms:W3CDTF">2020-01-16T02:06:27Z</dcterms:modified>
</cp:coreProperties>
</file>