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294005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396875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4" w:lineRule="exact"/>
        <w:rPr>
          <w:sz w:val="24"/>
          <w:szCs w:val="24"/>
          <w:color w:val="auto"/>
        </w:rPr>
      </w:pPr>
    </w:p>
    <w:p>
      <w:pPr>
        <w:ind w:left="1280" w:hanging="1009"/>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280" w:hanging="1009"/>
        <w:spacing w:after="0"/>
        <w:tabs>
          <w:tab w:leader="none" w:pos="12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7"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3800" w:type="dxa"/>
            <w:vAlign w:val="bottom"/>
          </w:tcPr>
          <w:p>
            <w:pPr>
              <w:jc w:val="right"/>
              <w:ind w:right="3632"/>
              <w:spacing w:after="0"/>
              <w:rPr>
                <w:sz w:val="20"/>
                <w:szCs w:val="20"/>
                <w:color w:val="auto"/>
              </w:rPr>
            </w:pPr>
            <w:r>
              <w:rPr>
                <w:rFonts w:ascii="Arial" w:cs="Arial" w:eastAsia="Arial" w:hAnsi="Arial"/>
                <w:sz w:val="18"/>
                <w:szCs w:val="18"/>
                <w:b w:val="1"/>
                <w:bCs w:val="1"/>
                <w:color w:val="auto"/>
              </w:rPr>
              <w:t>.</w:t>
            </w:r>
          </w:p>
        </w:tc>
      </w:tr>
      <w:tr>
        <w:trPr>
          <w:trHeight w:val="450"/>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3"/>
        </w:trPr>
        <w:tc>
          <w:tcPr>
            <w:tcW w:w="2320" w:type="dxa"/>
            <w:vAlign w:val="bottom"/>
          </w:tcPr>
          <w:p>
            <w:pPr>
              <w:spacing w:after="0"/>
              <w:rPr>
                <w:sz w:val="24"/>
                <w:szCs w:val="24"/>
                <w:color w:val="auto"/>
              </w:rPr>
            </w:pPr>
          </w:p>
        </w:tc>
        <w:tc>
          <w:tcPr>
            <w:tcW w:w="5780" w:type="dxa"/>
            <w:vAlign w:val="bottom"/>
            <w:gridSpan w:val="5"/>
          </w:tcPr>
          <w:p>
            <w:pPr>
              <w:jc w:val="center"/>
              <w:ind w:right="1832"/>
              <w:spacing w:after="0"/>
              <w:rPr>
                <w:sz w:val="20"/>
                <w:szCs w:val="20"/>
                <w:color w:val="auto"/>
              </w:rPr>
            </w:pPr>
            <w:r>
              <w:rPr>
                <w:rFonts w:ascii="Arial" w:cs="Arial" w:eastAsia="Arial" w:hAnsi="Arial"/>
                <w:sz w:val="32"/>
                <w:szCs w:val="32"/>
                <w:b w:val="1"/>
                <w:bCs w:val="1"/>
                <w:color w:val="auto"/>
                <w:w w:val="91"/>
              </w:rPr>
              <w:t>VistaGen Therapeutics, Inc.</w:t>
            </w:r>
          </w:p>
        </w:tc>
      </w:tr>
      <w:tr>
        <w:trPr>
          <w:trHeight w:val="222"/>
        </w:trPr>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5"/>
        </w:trPr>
        <w:tc>
          <w:tcPr>
            <w:tcW w:w="240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0"/>
              </w:rPr>
              <w:t>Nevada</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80" w:type="dxa"/>
            <w:vAlign w:val="bottom"/>
            <w:gridSpan w:val="2"/>
          </w:tcPr>
          <w:p>
            <w:pPr>
              <w:jc w:val="center"/>
              <w:ind w:left="331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2400" w:type="dxa"/>
            <w:vAlign w:val="bottom"/>
            <w:gridSpan w:val="2"/>
          </w:tcPr>
          <w:p>
            <w:pPr>
              <w:jc w:val="center"/>
              <w:ind w:left="92"/>
              <w:spacing w:after="0"/>
              <w:rPr>
                <w:sz w:val="20"/>
                <w:szCs w:val="20"/>
                <w:color w:val="auto"/>
              </w:rPr>
            </w:pPr>
            <w:r>
              <w:rPr>
                <w:rFonts w:ascii="Arial" w:cs="Arial" w:eastAsia="Arial" w:hAnsi="Arial"/>
                <w:sz w:val="18"/>
                <w:szCs w:val="18"/>
                <w:i w:val="1"/>
                <w:iCs w:val="1"/>
                <w:color w:val="auto"/>
                <w:w w:val="91"/>
              </w:rPr>
              <w:t>(State or other jurisdiction of</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0" w:type="dxa"/>
            <w:vAlign w:val="bottom"/>
          </w:tcPr>
          <w:p>
            <w:pPr>
              <w:jc w:val="center"/>
              <w:ind w:left="243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400" w:type="dxa"/>
            <w:vAlign w:val="bottom"/>
            <w:gridSpan w:val="2"/>
          </w:tcPr>
          <w:p>
            <w:pPr>
              <w:jc w:val="center"/>
              <w:ind w:left="92"/>
              <w:spacing w:after="0"/>
              <w:rPr>
                <w:sz w:val="20"/>
                <w:szCs w:val="20"/>
                <w:color w:val="auto"/>
              </w:rPr>
            </w:pPr>
            <w:r>
              <w:rPr>
                <w:rFonts w:ascii="Arial" w:cs="Arial" w:eastAsia="Arial" w:hAnsi="Arial"/>
                <w:sz w:val="18"/>
                <w:szCs w:val="18"/>
                <w:i w:val="1"/>
                <w:iCs w:val="1"/>
                <w:color w:val="auto"/>
                <w:w w:val="93"/>
              </w:rPr>
              <w:t>incorporation or organization)</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6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w w:val="99"/>
              </w:rPr>
              <w:t>[X]</w:t>
            </w:r>
          </w:p>
        </w:tc>
      </w:tr>
      <w:tr>
        <w:trPr>
          <w:trHeight w:val="222"/>
        </w:trPr>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9" w:lineRule="exact"/>
        <w:rPr>
          <w:sz w:val="24"/>
          <w:szCs w:val="24"/>
          <w:color w:val="auto"/>
        </w:rPr>
      </w:pPr>
    </w:p>
    <w:p>
      <w:pPr>
        <w:ind w:right="440"/>
        <w:spacing w:after="0" w:line="26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46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40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4"/>
        </w:trPr>
        <w:tc>
          <w:tcPr>
            <w:tcW w:w="4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Common Stock, par value $0.001 per share</w:t>
            </w:r>
          </w:p>
        </w:tc>
        <w:tc>
          <w:tcPr>
            <w:tcW w:w="260" w:type="dxa"/>
            <w:vAlign w:val="bottom"/>
          </w:tcPr>
          <w:p>
            <w:pPr>
              <w:spacing w:after="0"/>
              <w:rPr>
                <w:sz w:val="20"/>
                <w:szCs w:val="20"/>
                <w:color w:val="auto"/>
              </w:rPr>
            </w:pPr>
          </w:p>
        </w:tc>
        <w:tc>
          <w:tcPr>
            <w:tcW w:w="2740" w:type="dxa"/>
            <w:vAlign w:val="bottom"/>
            <w:gridSpan w:val="2"/>
          </w:tcPr>
          <w:p>
            <w:pPr>
              <w:jc w:val="center"/>
              <w:ind w:right="140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6, 2019, 43,222,965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498475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40" w:type="dxa"/>
            <w:vAlign w:val="bottom"/>
            <w:gridSpan w:val="11"/>
          </w:tcPr>
          <w:p>
            <w:pPr>
              <w:ind w:left="92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gridSpan w:val="12"/>
            <w:vMerge w:val="restart"/>
          </w:tcPr>
          <w:p>
            <w:pPr>
              <w:jc w:val="center"/>
              <w:ind w:right="3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0" w:type="dxa"/>
            <w:vAlign w:val="bottom"/>
            <w:gridSpan w:val="12"/>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Condensed Consolidated Financial Statements (Unaudited)</w:t>
              </w:r>
            </w:hyperlink>
          </w:p>
        </w:tc>
        <w:tc>
          <w:tcPr>
            <w:tcW w:w="5640" w:type="dxa"/>
            <w:vAlign w:val="bottom"/>
            <w:tcBorders>
              <w:bottom w:val="single" w:sz="8" w:color="CCEEFF"/>
            </w:tcBorders>
            <w:gridSpan w:val="8"/>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2019 and March 31, 2019</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40" w:type="dxa"/>
            <w:vAlign w:val="bottom"/>
            <w:gridSpan w:val="21"/>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six months ended September 30, 2019</w:t>
              </w:r>
            </w:hyperlink>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80" w:type="dxa"/>
            <w:vAlign w:val="bottom"/>
            <w:tcBorders>
              <w:top w:val="single" w:sz="8" w:color="0000EE"/>
            </w:tcBorders>
            <w:gridSpan w:val="19"/>
            <w:shd w:val="clear" w:color="auto" w:fill="CCEEFF"/>
          </w:tcPr>
          <w:p>
            <w:pPr>
              <w:ind w:left="160"/>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56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center"/>
              <w:ind w:right="12"/>
              <w:spacing w:after="0" w:line="195"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September 30, 2019 and 2018</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Stockholders’ (Deficit) Equity for the six months ended September 30, 2019 and 2018</w:t>
              </w:r>
            </w:hyperlink>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2"/>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gridSpan w:val="21"/>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Item 2. Management’s Discussion and Analysis of Financial Condition and Results of Operations</w:t>
              </w:r>
            </w:hyperlink>
          </w:p>
        </w:tc>
        <w:tc>
          <w:tcPr>
            <w:tcW w:w="3500" w:type="dxa"/>
            <w:vAlign w:val="bottom"/>
            <w:tcBorders>
              <w:bottom w:val="single" w:sz="8" w:color="CCEEFF"/>
            </w:tcBorders>
            <w:gridSpan w:val="4"/>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2"/>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340" w:type="dxa"/>
            <w:vAlign w:val="bottom"/>
            <w:gridSpan w:val="2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0" w:type="dxa"/>
            <w:vAlign w:val="bottom"/>
            <w:gridSpan w:val="12"/>
          </w:tcPr>
          <w:p>
            <w:pPr>
              <w:jc w:val="center"/>
              <w:ind w:right="3800"/>
              <w:spacing w:after="0" w:line="176" w:lineRule="exact"/>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 OTHER INFORMATION</w:t>
              </w:r>
            </w:hyperlink>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9980" w:type="dxa"/>
            <w:vAlign w:val="bottom"/>
            <w:gridSpan w:val="22"/>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1A. Risk Factors</w:t>
              </w:r>
            </w:hyperlink>
          </w:p>
        </w:tc>
        <w:tc>
          <w:tcPr>
            <w:tcW w:w="8940" w:type="dxa"/>
            <w:vAlign w:val="bottom"/>
            <w:tcBorders>
              <w:bottom w:val="single" w:sz="8" w:color="CCEEFF"/>
            </w:tcBorders>
            <w:gridSpan w:val="16"/>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2"/>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2.</w:t>
              </w:r>
            </w:hyperlink>
          </w:p>
        </w:tc>
        <w:tc>
          <w:tcPr>
            <w:tcW w:w="9980" w:type="dxa"/>
            <w:vAlign w:val="bottom"/>
            <w:gridSpan w:val="22"/>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3.</w:t>
              </w:r>
            </w:hyperlink>
          </w:p>
        </w:tc>
        <w:tc>
          <w:tcPr>
            <w:tcW w:w="29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Defaults Upon Senior Secured Securities</w:t>
              </w:r>
            </w:hyperlink>
          </w:p>
        </w:tc>
        <w:tc>
          <w:tcPr>
            <w:tcW w:w="7080" w:type="dxa"/>
            <w:vAlign w:val="bottom"/>
            <w:tcBorders>
              <w:bottom w:val="single" w:sz="8" w:color="CCEEFF"/>
            </w:tcBorders>
            <w:gridSpan w:val="1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12"/>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6.</w:t>
              </w:r>
            </w:hyperlink>
          </w:p>
        </w:tc>
        <w:tc>
          <w:tcPr>
            <w:tcW w:w="9980" w:type="dxa"/>
            <w:vAlign w:val="bottom"/>
            <w:gridSpan w:val="22"/>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80" w:type="dxa"/>
            <w:vAlign w:val="bottom"/>
            <w:tcBorders>
              <w:bottom w:val="single" w:sz="8" w:color="0000EE"/>
            </w:tcBorders>
            <w:gridSpan w:val="5"/>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SIGNATURES</w:t>
              </w:r>
            </w:hyperlink>
          </w:p>
        </w:tc>
        <w:tc>
          <w:tcPr>
            <w:tcW w:w="9260" w:type="dxa"/>
            <w:vAlign w:val="bottom"/>
            <w:gridSpan w:val="18"/>
          </w:tcPr>
          <w:p>
            <w:pPr>
              <w:spacing w:after="0"/>
              <w:rPr>
                <w:sz w:val="15"/>
                <w:szCs w:val="15"/>
                <w:color w:val="auto"/>
              </w:rPr>
            </w:pPr>
          </w:p>
        </w:tc>
        <w:tc>
          <w:tcPr>
            <w:tcW w:w="920" w:type="dxa"/>
            <w:vAlign w:val="bottom"/>
          </w:tcPr>
          <w:p>
            <w:pPr>
              <w:jc w:val="center"/>
              <w:ind w:right="12"/>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EE"/>
            </w:tcBorders>
          </w:tcPr>
          <w:p>
            <w:pPr>
              <w:spacing w:after="0"/>
              <w:rPr>
                <w:rFonts w:ascii="Arial" w:cs="Arial" w:eastAsia="Arial" w:hAnsi="Arial"/>
                <w:sz w:val="18"/>
                <w:szCs w:val="18"/>
                <w:i w:val="1"/>
                <w:iCs w:val="1"/>
                <w:color w:val="0000EE"/>
                <w:w w:val="85"/>
              </w:rPr>
            </w:pPr>
            <w:hyperlink w:anchor="page2">
              <w:r>
                <w:rPr>
                  <w:rFonts w:ascii="Arial" w:cs="Arial" w:eastAsia="Arial" w:hAnsi="Arial"/>
                  <w:sz w:val="18"/>
                  <w:szCs w:val="18"/>
                  <w:i w:val="1"/>
                  <w:iCs w:val="1"/>
                  <w:color w:val="0000EE"/>
                  <w:w w:val="85"/>
                </w:rPr>
                <w:t>Table of Contents</w:t>
              </w:r>
            </w:hyperlink>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5"/>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1"/>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8"/>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1"/>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r>
      <w:tr>
        <w:trPr>
          <w:trHeight w:val="241"/>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 2)</w:t>
            </w:r>
          </w:p>
        </w:tc>
      </w:tr>
      <w:tr>
        <w:trPr>
          <w:trHeight w:val="485"/>
        </w:trPr>
        <w:tc>
          <w:tcPr>
            <w:tcW w:w="1240" w:type="dxa"/>
            <w:vAlign w:val="bottom"/>
          </w:tcPr>
          <w:p>
            <w:pPr>
              <w:spacing w:after="0"/>
              <w:rPr>
                <w:sz w:val="24"/>
                <w:szCs w:val="24"/>
                <w:color w:val="auto"/>
              </w:rPr>
            </w:pPr>
          </w:p>
        </w:tc>
        <w:tc>
          <w:tcPr>
            <w:tcW w:w="7580" w:type="dxa"/>
            <w:vAlign w:val="bottom"/>
          </w:tcPr>
          <w:p>
            <w:pPr>
              <w:jc w:val="center"/>
              <w:ind w:right="1252"/>
              <w:spacing w:after="0"/>
              <w:rPr>
                <w:sz w:val="20"/>
                <w:szCs w:val="20"/>
                <w:color w:val="auto"/>
              </w:rPr>
            </w:pPr>
            <w:r>
              <w:rPr>
                <w:rFonts w:ascii="Arial" w:cs="Arial" w:eastAsia="Arial" w:hAnsi="Arial"/>
                <w:sz w:val="18"/>
                <w:szCs w:val="18"/>
                <w:b w:val="1"/>
                <w:bCs w:val="1"/>
                <w:color w:val="auto"/>
                <w:w w:val="88"/>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Receivable from supplier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4,676,900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13,651,200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Right of use asset - operating lease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8,735,500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1,449,800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oligation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Financing lease obligation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4,364,500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3,748,200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rent liability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Operating lease obligation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3,879,400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Financing lease obligation</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4,135,600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8820" w:type="dxa"/>
            <w:vAlign w:val="bottom"/>
            <w:gridSpan w:val="2"/>
          </w:tcPr>
          <w:p>
            <w:pPr>
              <w:ind w:left="380"/>
              <w:spacing w:after="0"/>
              <w:rPr>
                <w:sz w:val="20"/>
                <w:szCs w:val="20"/>
                <w:color w:val="auto"/>
              </w:rPr>
            </w:pPr>
            <w:r>
              <w:rPr>
                <w:rFonts w:ascii="Arial" w:cs="Arial" w:eastAsia="Arial" w:hAnsi="Arial"/>
                <w:sz w:val="18"/>
                <w:szCs w:val="18"/>
                <w:color w:val="auto"/>
                <w:w w:val="96"/>
              </w:rPr>
              <w:t>Preferred stock, $0.001 par value; 10,000,000 shares authorized at September 30, 2019 and March 31, 2019: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Series A Preferred, 500,000 shares authorized, issued and outstanding at September 30, 2019 and March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42"/>
        </w:trPr>
        <w:tc>
          <w:tcPr>
            <w:tcW w:w="8820" w:type="dxa"/>
            <w:vAlign w:val="bottom"/>
            <w:gridSpan w:val="2"/>
          </w:tcPr>
          <w:p>
            <w:pPr>
              <w:ind w:left="160"/>
              <w:spacing w:after="0"/>
              <w:rPr>
                <w:sz w:val="20"/>
                <w:szCs w:val="20"/>
                <w:color w:val="auto"/>
              </w:rPr>
            </w:pPr>
            <w:r>
              <w:rPr>
                <w:rFonts w:ascii="Arial" w:cs="Arial" w:eastAsia="Arial" w:hAnsi="Arial"/>
                <w:sz w:val="18"/>
                <w:szCs w:val="18"/>
                <w:color w:val="auto"/>
                <w:w w:val="97"/>
              </w:rPr>
              <w:t>Series B Preferred; 4,000,000 shares authorized at September 30, 2019 and March 31, 2019; 1,160,240 shares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issued and outstanding at September 30, 2019 and March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r>
      <w:tr>
        <w:trPr>
          <w:trHeight w:val="242"/>
        </w:trPr>
        <w:tc>
          <w:tcPr>
            <w:tcW w:w="8820" w:type="dxa"/>
            <w:vAlign w:val="bottom"/>
            <w:gridSpan w:val="2"/>
          </w:tcPr>
          <w:p>
            <w:pPr>
              <w:ind w:left="420"/>
              <w:spacing w:after="0"/>
              <w:rPr>
                <w:sz w:val="20"/>
                <w:szCs w:val="20"/>
                <w:color w:val="auto"/>
              </w:rPr>
            </w:pPr>
            <w:r>
              <w:rPr>
                <w:rFonts w:ascii="Arial" w:cs="Arial" w:eastAsia="Arial" w:hAnsi="Arial"/>
                <w:sz w:val="18"/>
                <w:szCs w:val="18"/>
                <w:color w:val="auto"/>
                <w:w w:val="95"/>
              </w:rPr>
              <w:t>Series C Preferred; 3,000,000 shares authorized at September 30, 2019 and March 31, 2019; 2,318,012 share</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issued and outstanding at September 30, 2019 and March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42"/>
        </w:trPr>
        <w:tc>
          <w:tcPr>
            <w:tcW w:w="8820" w:type="dxa"/>
            <w:vAlign w:val="bottom"/>
            <w:gridSpan w:val="2"/>
          </w:tcPr>
          <w:p>
            <w:pPr>
              <w:ind w:left="420"/>
              <w:spacing w:after="0"/>
              <w:rPr>
                <w:sz w:val="20"/>
                <w:szCs w:val="20"/>
                <w:color w:val="auto"/>
              </w:rPr>
            </w:pPr>
            <w:r>
              <w:rPr>
                <w:rFonts w:ascii="Arial" w:cs="Arial" w:eastAsia="Arial" w:hAnsi="Arial"/>
                <w:sz w:val="18"/>
                <w:szCs w:val="18"/>
                <w:color w:val="auto"/>
                <w:w w:val="94"/>
              </w:rPr>
              <w:t>Common stock, $0.001 par value; 175,000,000 and 100,000,000 shares authorized at September 30, 2019 and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8"/>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March 31, 2019, respectively; 42,758,630 shares issued and outstanding at September 30, 2019 and March 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192,970,100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192,129,900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stock, at cost, 135,665 shares of common stock held at September 30, 2019 and March 31, 2019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(192,679,200)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(181,133,400)</w:t>
            </w:r>
          </w:p>
        </w:tc>
      </w:tr>
      <w:tr>
        <w:trPr>
          <w:trHeight w:val="27"/>
        </w:trPr>
        <w:tc>
          <w:tcPr>
            <w:tcW w:w="1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(3,630,400)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7,075,200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8,735,500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Borders>
              <w:top w:val="single" w:sz="8" w:color="CCEEFF"/>
            </w:tcBorders>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0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083"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r>
      <w:tr>
        <w:trPr>
          <w:trHeight w:val="237"/>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0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4,205,200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8,004,800</w:t>
            </w: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3,056,200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3,637,300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5,351,300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7,432,100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11,575,300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11,642,100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(5,351,300)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(7,432,100)</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(11,575,300)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(11,642,100)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7"/>
        </w:trPr>
        <w:tc>
          <w:tcPr>
            <w:tcW w:w="6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(5,335,900)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(11,543,400)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(11,647,100)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r>
      <w:tr>
        <w:trPr>
          <w:trHeight w:val="27"/>
        </w:trPr>
        <w:tc>
          <w:tcPr>
            <w:tcW w:w="6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(5,335,900)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(11,545,800)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(11,649,500)</w:t>
            </w: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(283,600)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(616,300)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(557,100)</w:t>
            </w:r>
          </w:p>
        </w:tc>
      </w:tr>
      <w:tr>
        <w:trPr>
          <w:trHeight w:val="216"/>
        </w:trPr>
        <w:tc>
          <w:tcPr>
            <w:tcW w:w="60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(5,649,700)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(7,718,600)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(12,162,100)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(12,206,600)</w:t>
            </w:r>
          </w:p>
        </w:tc>
      </w:tr>
      <w:tr>
        <w:trPr>
          <w:trHeight w:val="209"/>
        </w:trPr>
        <w:tc>
          <w:tcPr>
            <w:tcW w:w="60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stockholders per common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stockholders per common share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42,622,965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25,815,245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42,622,965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24,267,816</w:t>
            </w:r>
          </w:p>
        </w:tc>
        <w:tc>
          <w:tcPr>
            <w:tcW w:w="14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0" w:lineRule="exact"/>
        <w:rPr>
          <w:sz w:val="20"/>
          <w:szCs w:val="20"/>
          <w:color w:val="auto"/>
        </w:rPr>
      </w:pPr>
    </w:p>
    <w:p>
      <w:pPr>
        <w:spacing w:after="0" w:line="227"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2"/>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(11,545,800)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(11,649,500)</w:t>
            </w:r>
          </w:p>
        </w:tc>
      </w:tr>
      <w:tr>
        <w:trPr>
          <w:trHeight w:val="242"/>
        </w:trPr>
        <w:tc>
          <w:tcPr>
            <w:tcW w:w="8820" w:type="dxa"/>
            <w:vAlign w:val="bottom"/>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1,456,500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1,785,000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fair value of common stock issued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Fair value of common stock issued for product licenses and option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fair value of warrants issued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supplier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(229,200)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 - operating lease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(127,100)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(212,300)</w:t>
            </w: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140" w:type="dxa"/>
            <w:vAlign w:val="bottom"/>
          </w:tcPr>
          <w:p>
            <w:pPr>
              <w:spacing w:after="0"/>
              <w:rPr>
                <w:sz w:val="19"/>
                <w:szCs w:val="19"/>
                <w:color w:val="auto"/>
              </w:rPr>
            </w:pPr>
          </w:p>
        </w:tc>
      </w:tr>
      <w:tr>
        <w:trPr>
          <w:trHeight w:val="223"/>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(8,898,200)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(7,063,100)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Construction of tenant improvements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(169,800)</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4,778,700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Repayment of financing lease obligation</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r>
      <w:tr>
        <w:trPr>
          <w:trHeight w:val="216"/>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notes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(98,700)</w:t>
            </w: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4,686,200</w:t>
            </w:r>
          </w:p>
        </w:tc>
        <w:tc>
          <w:tcPr>
            <w:tcW w:w="140" w:type="dxa"/>
            <w:vAlign w:val="bottom"/>
          </w:tcPr>
          <w:p>
            <w:pPr>
              <w:spacing w:after="0"/>
              <w:rPr>
                <w:sz w:val="18"/>
                <w:szCs w:val="18"/>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(9,027,900)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(2,546,700)</w:t>
            </w: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13,100,300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10,378,300</w:t>
            </w:r>
          </w:p>
        </w:tc>
        <w:tc>
          <w:tcPr>
            <w:tcW w:w="140" w:type="dxa"/>
            <w:vAlign w:val="bottom"/>
          </w:tcPr>
          <w:p>
            <w:pPr>
              <w:spacing w:after="0"/>
              <w:rPr>
                <w:sz w:val="19"/>
                <w:szCs w:val="19"/>
                <w:color w:val="auto"/>
              </w:rPr>
            </w:pPr>
          </w:p>
        </w:tc>
      </w:tr>
      <w:tr>
        <w:trPr>
          <w:trHeight w:val="256"/>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4,072,400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7,831,600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9"/>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230,200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557,100</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2"/>
              </w:rPr>
              <w:t>Series A Preferred</w:t>
            </w:r>
          </w:p>
        </w:tc>
        <w:tc>
          <w:tcPr>
            <w:tcW w:w="80" w:type="dxa"/>
            <w:vAlign w:val="bottom"/>
          </w:tcPr>
          <w:p>
            <w:pPr>
              <w:spacing w:after="0"/>
              <w:rPr>
                <w:sz w:val="21"/>
                <w:szCs w:val="21"/>
                <w:color w:val="auto"/>
              </w:rPr>
            </w:pPr>
          </w:p>
        </w:tc>
        <w:tc>
          <w:tcPr>
            <w:tcW w:w="158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w w:val="94"/>
              </w:rPr>
              <w:t>Series B Preferred</w:t>
            </w:r>
          </w:p>
        </w:tc>
        <w:tc>
          <w:tcPr>
            <w:tcW w:w="80" w:type="dxa"/>
            <w:vAlign w:val="bottom"/>
          </w:tcPr>
          <w:p>
            <w:pPr>
              <w:spacing w:after="0"/>
              <w:rPr>
                <w:sz w:val="21"/>
                <w:szCs w:val="21"/>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w w:val="94"/>
              </w:rPr>
              <w:t>Series C Preferred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4"/>
          </w:tcPr>
          <w:p>
            <w:pPr>
              <w:ind w:left="40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21"/>
                <w:szCs w:val="21"/>
                <w:color w:val="auto"/>
              </w:rPr>
            </w:pPr>
          </w:p>
        </w:tc>
        <w:tc>
          <w:tcPr>
            <w:tcW w:w="112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6"/>
              </w:rPr>
              <w:t>Stockholders'</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Stock</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Stock</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Paid-in</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Treasury</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Accumulated</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78"/>
        </w:trPr>
        <w:tc>
          <w:tcPr>
            <w:tcW w:w="108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4"/>
                <w:szCs w:val="24"/>
                <w:color w:val="auto"/>
              </w:rPr>
            </w:pPr>
          </w:p>
        </w:tc>
        <w:tc>
          <w:tcPr>
            <w:tcW w:w="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Capital</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Deficit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500,000</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shd w:val="clear" w:color="auto" w:fill="CCEEFF"/>
          </w:tcPr>
          <w:p>
            <w:pPr>
              <w:spacing w:after="0"/>
              <w:rPr>
                <w:sz w:val="19"/>
                <w:szCs w:val="19"/>
                <w:color w:val="auto"/>
              </w:rPr>
            </w:pP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w w:val="89"/>
              </w:rPr>
              <w:t>1,160,240</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1,200</w:t>
            </w:r>
          </w:p>
        </w:tc>
        <w:tc>
          <w:tcPr>
            <w:tcW w:w="9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2,318,012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2,300</w:t>
            </w:r>
          </w:p>
        </w:tc>
        <w:tc>
          <w:tcPr>
            <w:tcW w:w="100" w:type="dxa"/>
            <w:vAlign w:val="bottom"/>
            <w:tcBorders>
              <w:right w:val="single" w:sz="8" w:color="auto"/>
            </w:tcBorders>
            <w:shd w:val="clear" w:color="auto" w:fill="CCEEFF"/>
          </w:tcPr>
          <w:p>
            <w:pPr>
              <w:spacing w:after="0"/>
              <w:rPr>
                <w:sz w:val="19"/>
                <w:szCs w:val="19"/>
                <w:color w:val="auto"/>
              </w:rPr>
            </w:pPr>
          </w:p>
        </w:tc>
        <w:tc>
          <w:tcPr>
            <w:tcW w:w="96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88"/>
              </w:rPr>
              <w:t>23,068,280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23,100</w:t>
            </w:r>
          </w:p>
        </w:tc>
        <w:tc>
          <w:tcPr>
            <w:tcW w:w="194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w w:val="82"/>
              </w:rPr>
              <w:t>$167,401,400$(3,968,100)</w:t>
            </w: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6"/>
                <w:szCs w:val="16"/>
                <w:b w:val="1"/>
                <w:bCs w:val="1"/>
                <w:color w:val="auto"/>
                <w:w w:val="77"/>
              </w:rPr>
              <w:t>$(156,543,800)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$ 6,916,600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Proceeds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8"/>
              </w:rPr>
              <w:t>from exercise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of warrants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Accrued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 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(273,500)</w:t>
            </w:r>
          </w:p>
        </w:tc>
        <w:tc>
          <w:tcPr>
            <w:tcW w:w="0" w:type="dxa"/>
            <w:vAlign w:val="bottom"/>
          </w:tcPr>
          <w:p>
            <w:pPr>
              <w:spacing w:after="0"/>
              <w:rPr>
                <w:sz w:val="1"/>
                <w:szCs w:val="1"/>
                <w:color w:val="auto"/>
              </w:rPr>
            </w:pPr>
          </w:p>
        </w:tc>
      </w:t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expense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612,600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612,600</w:t>
            </w:r>
          </w:p>
        </w:tc>
        <w:tc>
          <w:tcPr>
            <w:tcW w:w="0" w:type="dxa"/>
            <w:vAlign w:val="bottom"/>
          </w:tcPr>
          <w:p>
            <w:pPr>
              <w:spacing w:after="0"/>
              <w:rPr>
                <w:sz w:val="1"/>
                <w:szCs w:val="1"/>
                <w:color w:val="auto"/>
              </w:rPr>
            </w:pPr>
          </w:p>
        </w:tc>
      </w:tr>
      <w:tr>
        <w:trPr>
          <w:trHeight w:val="20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issued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for services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122,900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 for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the quarter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ended June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1"/>
              </w:rPr>
              <w:t>(4,214,500)</w:t>
            </w: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(4,214,500)</w:t>
            </w:r>
          </w:p>
        </w:tc>
        <w:tc>
          <w:tcPr>
            <w:tcW w:w="0" w:type="dxa"/>
            <w:vAlign w:val="bottom"/>
          </w:tcPr>
          <w:p>
            <w:pPr>
              <w:spacing w:after="0"/>
              <w:rPr>
                <w:sz w:val="1"/>
                <w:szCs w:val="1"/>
                <w:color w:val="auto"/>
              </w:rPr>
            </w:pPr>
          </w:p>
        </w:tc>
      </w:tr>
      <w:tr>
        <w:trPr>
          <w:trHeight w:val="204"/>
        </w:trPr>
        <w:tc>
          <w:tcPr>
            <w:tcW w:w="1080" w:type="dxa"/>
            <w:vAlign w:val="bottom"/>
            <w:shd w:val="clear" w:color="auto" w:fill="CCEEFF"/>
          </w:tcPr>
          <w:p>
            <w:pPr>
              <w:spacing w:after="0" w:line="150" w:lineRule="exact"/>
              <w:rPr>
                <w:sz w:val="20"/>
                <w:szCs w:val="20"/>
                <w:color w:val="auto"/>
              </w:rPr>
            </w:pPr>
            <w:r>
              <w:rPr>
                <w:rFonts w:ascii="Arial" w:cs="Arial" w:eastAsia="Arial" w:hAnsi="Arial"/>
                <w:sz w:val="16"/>
                <w:szCs w:val="16"/>
                <w:color w:val="auto"/>
              </w:rPr>
              <w:t>30, 2018</w:t>
            </w:r>
          </w:p>
        </w:tc>
        <w:tc>
          <w:tcPr>
            <w:tcW w:w="7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500,000</w:t>
            </w:r>
          </w:p>
        </w:tc>
        <w:tc>
          <w:tcPr>
            <w:tcW w:w="260" w:type="dxa"/>
            <w:vAlign w:val="bottom"/>
            <w:vMerge w:val="restart"/>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89"/>
              </w:rPr>
              <w:t>1,160,240</w:t>
            </w:r>
          </w:p>
        </w:tc>
        <w:tc>
          <w:tcPr>
            <w:tcW w:w="240" w:type="dxa"/>
            <w:vAlign w:val="bottom"/>
            <w:gridSpan w:val="2"/>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1,200</w:t>
            </w:r>
          </w:p>
        </w:tc>
        <w:tc>
          <w:tcPr>
            <w:tcW w:w="9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2,318,012</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2,300</w:t>
            </w:r>
          </w:p>
        </w:tc>
        <w:tc>
          <w:tcPr>
            <w:tcW w:w="10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w w:val="88"/>
              </w:rPr>
              <w:t>23,213,280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23,200</w:t>
            </w:r>
          </w:p>
        </w:tc>
        <w:tc>
          <w:tcPr>
            <w:tcW w:w="1940" w:type="dxa"/>
            <w:vAlign w:val="bottom"/>
            <w:gridSpan w:val="5"/>
            <w:vMerge w:val="restart"/>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167,920,900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2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(160,758,300)$ 3,221,700</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2018</w:t>
            </w:r>
          </w:p>
        </w:tc>
        <w:tc>
          <w:tcPr>
            <w:tcW w:w="7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tcBorders>
              <w:right w:val="single" w:sz="8" w:color="auto"/>
            </w:tcBorders>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940" w:type="dxa"/>
            <w:vAlign w:val="bottom"/>
            <w:gridSpan w:val="5"/>
            <w:vMerge w:val="continue"/>
            <w:shd w:val="clear" w:color="auto" w:fill="CCEEFF"/>
          </w:tcPr>
          <w:p>
            <w:pPr>
              <w:spacing w:after="0"/>
              <w:rPr>
                <w:sz w:val="18"/>
                <w:szCs w:val="18"/>
                <w:color w:val="auto"/>
              </w:rPr>
            </w:pPr>
          </w:p>
        </w:tc>
        <w:tc>
          <w:tcPr>
            <w:tcW w:w="192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cash in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3,783,000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4,725,000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4,728,800</w:t>
            </w:r>
          </w:p>
        </w:tc>
        <w:tc>
          <w:tcPr>
            <w:tcW w:w="0" w:type="dxa"/>
            <w:vAlign w:val="bottom"/>
          </w:tcPr>
          <w:p>
            <w:pPr>
              <w:spacing w:after="0"/>
              <w:rPr>
                <w:sz w:val="1"/>
                <w:szCs w:val="1"/>
                <w:color w:val="auto"/>
              </w:rPr>
            </w:pPr>
          </w:p>
        </w:tc>
      </w:t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Accrued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 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Series B</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Preferred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stock</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(283,600)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(283,600)</w:t>
            </w:r>
          </w:p>
        </w:tc>
        <w:tc>
          <w:tcPr>
            <w:tcW w:w="0" w:type="dxa"/>
            <w:vAlign w:val="bottom"/>
          </w:tcPr>
          <w:p>
            <w:pPr>
              <w:spacing w:after="0"/>
              <w:rPr>
                <w:sz w:val="1"/>
                <w:szCs w:val="1"/>
                <w:color w:val="auto"/>
              </w:rPr>
            </w:pPr>
          </w:p>
        </w:tc>
      </w:tr>
      <w:tr>
        <w:trPr>
          <w:trHeight w:val="20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1,172,400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1,172,400</w:t>
            </w:r>
          </w:p>
        </w:tc>
        <w:tc>
          <w:tcPr>
            <w:tcW w:w="0" w:type="dxa"/>
            <w:vAlign w:val="bottom"/>
          </w:tcPr>
          <w:p>
            <w:pPr>
              <w:spacing w:after="0"/>
              <w:rPr>
                <w:sz w:val="1"/>
                <w:szCs w:val="1"/>
                <w:color w:val="auto"/>
              </w:rPr>
            </w:pPr>
          </w:p>
        </w:tc>
      </w:t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Fair value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common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issued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PH94B</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license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PH10 option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960" w:type="dxa"/>
            <w:vAlign w:val="bottom"/>
            <w:gridSpan w:val="3"/>
          </w:tcPr>
          <w:p>
            <w:pPr>
              <w:ind w:left="140"/>
              <w:spacing w:after="0"/>
              <w:rPr>
                <w:sz w:val="20"/>
                <w:szCs w:val="20"/>
                <w:color w:val="auto"/>
              </w:rPr>
            </w:pPr>
            <w:r>
              <w:rPr>
                <w:rFonts w:ascii="Arial" w:cs="Arial" w:eastAsia="Arial" w:hAnsi="Arial"/>
                <w:sz w:val="18"/>
                <w:szCs w:val="18"/>
                <w:color w:val="auto"/>
                <w:w w:val="99"/>
              </w:rPr>
              <w:t>1,630,435</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1,600</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9"/>
              </w:rPr>
              <w:t>2,248,400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2,250,000</w:t>
            </w:r>
          </w:p>
        </w:tc>
        <w:tc>
          <w:tcPr>
            <w:tcW w:w="0" w:type="dxa"/>
            <w:vAlign w:val="bottom"/>
          </w:tcPr>
          <w:p>
            <w:pPr>
              <w:spacing w:after="0"/>
              <w:rPr>
                <w:sz w:val="1"/>
                <w:szCs w:val="1"/>
                <w:color w:val="auto"/>
              </w:rPr>
            </w:pPr>
          </w:p>
        </w:tc>
      </w:tr>
      <w:tr>
        <w:trPr>
          <w:trHeight w:val="20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334,800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334,900</w:t>
            </w:r>
          </w:p>
        </w:tc>
        <w:tc>
          <w:tcPr>
            <w:tcW w:w="0" w:type="dxa"/>
            <w:vAlign w:val="bottom"/>
          </w:tcPr>
          <w:p>
            <w:pPr>
              <w:spacing w:after="0"/>
              <w:rPr>
                <w:sz w:val="1"/>
                <w:szCs w:val="1"/>
                <w:color w:val="auto"/>
              </w:rPr>
            </w:pPr>
          </w:p>
        </w:tc>
      </w:tr>
      <w:tr>
        <w:trPr>
          <w:trHeight w:val="23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6" w:name="page7"/>
    <w:bookmarkEnd w:id="6"/>
    <w:p>
      <w:pPr>
        <w:jc w:val="both"/>
        <w:ind w:right="280"/>
        <w:spacing w:after="0" w:line="297" w:lineRule="auto"/>
        <w:rPr>
          <w:sz w:val="20"/>
          <w:szCs w:val="20"/>
          <w:color w:val="auto"/>
        </w:rPr>
      </w:pPr>
      <w:r>
        <w:rPr>
          <w:rFonts w:ascii="Arial" w:cs="Arial" w:eastAsia="Arial" w:hAnsi="Arial"/>
          <w:sz w:val="16"/>
          <w:szCs w:val="16"/>
          <w:color w:val="auto"/>
        </w:rPr>
        <w:t>stock and warrants issued for services</w:t>
      </w:r>
    </w:p>
    <w:p>
      <w:pPr>
        <w:spacing w:after="0" w:line="167" w:lineRule="exact"/>
        <w:rPr>
          <w:sz w:val="20"/>
          <w:szCs w:val="20"/>
          <w:color w:val="auto"/>
        </w:rPr>
      </w:pPr>
    </w:p>
    <w:p>
      <w:pPr>
        <w:ind w:right="160"/>
        <w:spacing w:after="0" w:line="317" w:lineRule="auto"/>
        <w:rPr>
          <w:sz w:val="20"/>
          <w:szCs w:val="20"/>
          <w:color w:val="auto"/>
        </w:rPr>
      </w:pPr>
      <w:r>
        <w:rPr>
          <w:rFonts w:ascii="Arial" w:cs="Arial" w:eastAsia="Arial" w:hAnsi="Arial"/>
          <w:sz w:val="15"/>
          <w:szCs w:val="15"/>
          <w:color w:val="auto"/>
        </w:rPr>
        <w:t>Net loss for the quarter ended September 30, 2018</w:t>
      </w:r>
    </w:p>
    <w:p>
      <w:pPr>
        <w:spacing w:after="0" w:line="148" w:lineRule="exact"/>
        <w:rPr>
          <w:sz w:val="20"/>
          <w:szCs w:val="20"/>
          <w:color w:val="auto"/>
        </w:rPr>
      </w:pPr>
    </w:p>
    <w:p>
      <w:pPr>
        <w:jc w:val="both"/>
        <w:ind w:right="120"/>
        <w:spacing w:after="0" w:line="338" w:lineRule="auto"/>
        <w:rPr>
          <w:sz w:val="20"/>
          <w:szCs w:val="20"/>
          <w:color w:val="auto"/>
        </w:rPr>
      </w:pPr>
      <w:r>
        <w:rPr>
          <w:rFonts w:ascii="Arial" w:cs="Arial" w:eastAsia="Arial" w:hAnsi="Arial"/>
          <w:sz w:val="15"/>
          <w:szCs w:val="15"/>
          <w:b w:val="1"/>
          <w:bCs w:val="1"/>
          <w:color w:val="auto"/>
        </w:rPr>
        <w:t>Balances at September 30, 2018</w:t>
      </w:r>
    </w:p>
    <w:p>
      <w:pPr>
        <w:spacing w:after="0" w:line="13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Balances at March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Accrued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Stock-based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compensation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30, 2019</w:t>
      </w:r>
    </w:p>
    <w:p>
      <w:pPr>
        <w:spacing w:after="0" w:line="2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Balances at June 30,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Accrued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Stock-based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compensation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8" w:lineRule="exact"/>
        <w:rPr>
          <w:sz w:val="20"/>
          <w:szCs w:val="20"/>
          <w:color w:val="auto"/>
        </w:rPr>
      </w:pPr>
    </w:p>
    <w:p>
      <w:pPr>
        <w:ind w:right="160"/>
        <w:spacing w:after="0" w:line="317" w:lineRule="auto"/>
        <w:rPr>
          <w:sz w:val="20"/>
          <w:szCs w:val="20"/>
          <w:color w:val="auto"/>
        </w:rPr>
      </w:pPr>
      <w:r>
        <w:rPr>
          <w:rFonts w:ascii="Arial" w:cs="Arial" w:eastAsia="Arial" w:hAnsi="Arial"/>
          <w:sz w:val="15"/>
          <w:szCs w:val="15"/>
          <w:color w:val="auto"/>
        </w:rPr>
        <w:t>Net loss for the quarter ended September 30, 2019</w:t>
      </w:r>
    </w:p>
    <w:p>
      <w:pPr>
        <w:spacing w:after="0" w:line="148" w:lineRule="exact"/>
        <w:rPr>
          <w:sz w:val="20"/>
          <w:szCs w:val="20"/>
          <w:color w:val="auto"/>
        </w:rPr>
      </w:pPr>
    </w:p>
    <w:p>
      <w:pPr>
        <w:jc w:val="both"/>
        <w:ind w:right="120"/>
        <w:spacing w:after="0" w:line="338" w:lineRule="auto"/>
        <w:rPr>
          <w:sz w:val="20"/>
          <w:szCs w:val="20"/>
          <w:color w:val="auto"/>
        </w:rPr>
      </w:pPr>
      <w:r>
        <w:rPr>
          <w:rFonts w:ascii="Arial" w:cs="Arial" w:eastAsia="Arial" w:hAnsi="Arial"/>
          <w:sz w:val="15"/>
          <w:szCs w:val="15"/>
          <w:b w:val="1"/>
          <w:bCs w:val="1"/>
          <w:color w:val="auto"/>
        </w:rPr>
        <w:t>Balances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9"/>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(7,435,000)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(7,435,000)</w:t>
            </w:r>
          </w:p>
        </w:tc>
        <w:tc>
          <w:tcPr>
            <w:tcW w:w="0" w:type="dxa"/>
            <w:vAlign w:val="bottom"/>
          </w:tcPr>
          <w:p>
            <w:pPr>
              <w:spacing w:after="0"/>
              <w:rPr>
                <w:sz w:val="1"/>
                <w:szCs w:val="1"/>
                <w:color w:val="auto"/>
              </w:rPr>
            </w:pPr>
          </w:p>
        </w:tc>
      </w:tr>
      <w:tr>
        <w:trPr>
          <w:trHeight w:val="27"/>
        </w:trPr>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500,000</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0"/>
        </w:trPr>
        <w:tc>
          <w:tcPr>
            <w:tcW w:w="620" w:type="dxa"/>
            <w:vAlign w:val="bottom"/>
            <w:tcBorders>
              <w:bottom w:val="single" w:sz="8" w:color="auto"/>
            </w:tcBorders>
            <w:vMerge w:val="continue"/>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1,160,240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right w:val="single" w:sz="8" w:color="auto"/>
            </w:tcBorders>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28,676,715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28,700</w:t>
            </w: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176,117,900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(168,193,300)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$ 3,989,200</w:t>
            </w:r>
          </w:p>
        </w:tc>
        <w:tc>
          <w:tcPr>
            <w:tcW w:w="0" w:type="dxa"/>
            <w:vAlign w:val="bottom"/>
          </w:tcPr>
          <w:p>
            <w:pPr>
              <w:spacing w:after="0"/>
              <w:rPr>
                <w:sz w:val="1"/>
                <w:szCs w:val="1"/>
                <w:color w:val="auto"/>
              </w:rPr>
            </w:pPr>
          </w:p>
        </w:tc>
      </w:tr>
      <w:tr>
        <w:trPr>
          <w:trHeight w:val="40"/>
        </w:trPr>
        <w:tc>
          <w:tcPr>
            <w:tcW w:w="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500,000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1,160,240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right w:val="single" w:sz="8" w:color="auto"/>
            </w:tcBorders>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42,758,630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42,800</w:t>
            </w: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color w:val="auto"/>
                <w:w w:val="82"/>
              </w:rPr>
              <w:t>$192,129,900$(3,968,100)</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7"/>
              </w:rPr>
              <w:t>$(181,133,400)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$ 7,075,200</w:t>
            </w:r>
          </w:p>
        </w:tc>
        <w:tc>
          <w:tcPr>
            <w:tcW w:w="0" w:type="dxa"/>
            <w:vAlign w:val="bottom"/>
          </w:tcPr>
          <w:p>
            <w:pPr>
              <w:spacing w:after="0"/>
              <w:rPr>
                <w:sz w:val="1"/>
                <w:szCs w:val="1"/>
                <w:color w:val="auto"/>
              </w:rPr>
            </w:pPr>
          </w:p>
        </w:tc>
      </w:tr>
      <w:tr>
        <w:trPr>
          <w:trHeight w:val="1293"/>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(302,500)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(302,500)</w:t>
            </w:r>
          </w:p>
        </w:tc>
        <w:tc>
          <w:tcPr>
            <w:tcW w:w="0" w:type="dxa"/>
            <w:vAlign w:val="bottom"/>
          </w:tcPr>
          <w:p>
            <w:pPr>
              <w:spacing w:after="0"/>
              <w:rPr>
                <w:sz w:val="1"/>
                <w:szCs w:val="1"/>
                <w:color w:val="auto"/>
              </w:rPr>
            </w:pPr>
          </w:p>
        </w:tc>
      </w:tr>
      <w:tr>
        <w:trPr>
          <w:trHeight w:val="647"/>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1,063,000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1,063,000</w:t>
            </w:r>
          </w:p>
        </w:tc>
        <w:tc>
          <w:tcPr>
            <w:tcW w:w="0" w:type="dxa"/>
            <w:vAlign w:val="bottom"/>
          </w:tcPr>
          <w:p>
            <w:pPr>
              <w:spacing w:after="0"/>
              <w:rPr>
                <w:sz w:val="1"/>
                <w:szCs w:val="1"/>
                <w:color w:val="auto"/>
              </w:rPr>
            </w:pPr>
          </w:p>
        </w:tc>
      </w:tr>
      <w:tr>
        <w:trPr>
          <w:trHeight w:val="81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(6,209,900)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(6,209,900)</w:t>
            </w:r>
          </w:p>
        </w:tc>
        <w:tc>
          <w:tcPr>
            <w:tcW w:w="0" w:type="dxa"/>
            <w:vAlign w:val="bottom"/>
          </w:tcPr>
          <w:p>
            <w:pPr>
              <w:spacing w:after="0"/>
              <w:rPr>
                <w:sz w:val="1"/>
                <w:szCs w:val="1"/>
                <w:color w:val="auto"/>
              </w:rPr>
            </w:pPr>
          </w:p>
        </w:tc>
      </w:tr>
      <w:tr>
        <w:trPr>
          <w:trHeight w:val="27"/>
        </w:trPr>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500,000</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0"/>
        </w:trPr>
        <w:tc>
          <w:tcPr>
            <w:tcW w:w="620" w:type="dxa"/>
            <w:vAlign w:val="bottom"/>
            <w:tcBorders>
              <w:bottom w:val="single" w:sz="8" w:color="auto"/>
            </w:tcBorders>
            <w:vMerge w:val="continue"/>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1,160,240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right w:val="single" w:sz="8" w:color="auto"/>
            </w:tcBorders>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42,758,630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42,800</w:t>
            </w: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192,890,400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(187,343,300)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$ 1,625,800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(313,800)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(313,800)</w:t>
            </w:r>
          </w:p>
        </w:tc>
        <w:tc>
          <w:tcPr>
            <w:tcW w:w="0" w:type="dxa"/>
            <w:vAlign w:val="bottom"/>
          </w:tcPr>
          <w:p>
            <w:pPr>
              <w:spacing w:after="0"/>
              <w:rPr>
                <w:sz w:val="1"/>
                <w:szCs w:val="1"/>
                <w:color w:val="auto"/>
              </w:rPr>
            </w:pPr>
          </w:p>
        </w:tc>
      </w:tr>
      <w:tr>
        <w:trPr>
          <w:trHeight w:val="647"/>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393,500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8"/>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(5,335,900)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(5,335,900)</w:t>
            </w:r>
          </w:p>
        </w:tc>
        <w:tc>
          <w:tcPr>
            <w:tcW w:w="0" w:type="dxa"/>
            <w:vAlign w:val="bottom"/>
          </w:tcPr>
          <w:p>
            <w:pPr>
              <w:spacing w:after="0"/>
              <w:rPr>
                <w:sz w:val="1"/>
                <w:szCs w:val="1"/>
                <w:color w:val="auto"/>
              </w:rPr>
            </w:pPr>
          </w:p>
        </w:tc>
      </w:tr>
      <w:tr>
        <w:trPr>
          <w:trHeight w:val="27"/>
        </w:trPr>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500,000</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0"/>
        </w:trPr>
        <w:tc>
          <w:tcPr>
            <w:tcW w:w="620" w:type="dxa"/>
            <w:vAlign w:val="bottom"/>
            <w:tcBorders>
              <w:bottom w:val="single" w:sz="8" w:color="auto"/>
            </w:tcBorders>
            <w:vMerge w:val="continue"/>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right w:val="single" w:sz="8" w:color="auto"/>
            </w:tcBorders>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1,160,240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right w:val="single" w:sz="8" w:color="auto"/>
            </w:tcBorders>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42,758,630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42,800</w:t>
            </w: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192,970,100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(192,679,200)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(3,630,400)</w:t>
            </w:r>
          </w:p>
        </w:tc>
        <w:tc>
          <w:tcPr>
            <w:tcW w:w="0" w:type="dxa"/>
            <w:vAlign w:val="bottom"/>
          </w:tcPr>
          <w:p>
            <w:pPr>
              <w:spacing w:after="0"/>
              <w:rPr>
                <w:sz w:val="1"/>
                <w:szCs w:val="1"/>
                <w:color w:val="auto"/>
              </w:rPr>
            </w:pPr>
          </w:p>
        </w:tc>
      </w:tr>
      <w:tr>
        <w:trPr>
          <w:trHeight w:val="40"/>
        </w:trPr>
        <w:tc>
          <w:tcPr>
            <w:tcW w:w="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-7391400</wp:posOffset>
            </wp:positionV>
            <wp:extent cx="7246620" cy="547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737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-6707505</wp:posOffset>
            </wp:positionV>
            <wp:extent cx="7246620" cy="684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8453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-5885815</wp:posOffset>
            </wp:positionV>
            <wp:extent cx="7246620" cy="410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08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-5338445</wp:posOffset>
            </wp:positionV>
            <wp:extent cx="7246620" cy="410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08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-4790440</wp:posOffset>
            </wp:positionV>
            <wp:extent cx="7246620" cy="684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8453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-3695700</wp:posOffset>
            </wp:positionV>
            <wp:extent cx="7246620" cy="54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4737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-3011170</wp:posOffset>
            </wp:positionV>
            <wp:extent cx="7246620" cy="410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08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-2463165</wp:posOffset>
            </wp:positionV>
            <wp:extent cx="7246620" cy="684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8453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-1368425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-546735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7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980" w:space="100"/>
            <w:col w:w="10300"/>
          </w:cols>
          <w:pgMar w:left="240" w:top="131" w:right="27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committed to developing differentiated new generation medications for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AV-101 (4-Chlorokynurenine or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which is a leading cause of disability globally, affecting approximately 17 million adults in the United States and nearly 300 million people worldwide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xml:space="preserve">). AV-101 is currently in development in the U.S. as an adjunctive or add-on treatment (together with current FDA-approved antidepressants (SSRIs and SNRIs)) through the ELEVATE study, our U.S. multi-center, randomized, double-blind, placebo-controlled Phase 2 clinical study to evaluate the efficacy and safety of adjunctive use of AV-101 in adult MDD patients who have an inadequate response to standard FDA-approved oral antidepressant therapy (the </w:t>
      </w:r>
      <w:r>
        <w:rPr>
          <w:rFonts w:ascii="Arial" w:cs="Arial" w:eastAsia="Arial" w:hAnsi="Arial"/>
          <w:sz w:val="16"/>
          <w:szCs w:val="16"/>
          <w:i w:val="1"/>
          <w:iCs w:val="1"/>
          <w:color w:val="auto"/>
        </w:rPr>
        <w:t>ELEVATE Study</w:t>
      </w:r>
      <w:r>
        <w:rPr>
          <w:rFonts w:ascii="Arial" w:cs="Arial" w:eastAsia="Arial" w:hAnsi="Arial"/>
          <w:sz w:val="16"/>
          <w:szCs w:val="16"/>
          <w:color w:val="auto"/>
        </w:rPr>
        <w:t>). In addition to the ELEVATE Study, we are collaborating with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and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xml:space="preserve">) on a small Phase 1b clinical trial of AV-101 in healthy volunteer U.S. Military Veterans from Operation Enduring Freedom, Operation Iraqi Freedom or Operation New Dawn to define a dose-response relationship between AV-101 and relevant biomarkers related to NMDA receptor function and other biomarkers possibly related to suicidal ideation in U.S. Military Veterans (the </w:t>
      </w:r>
      <w:r>
        <w:rPr>
          <w:rFonts w:ascii="Arial" w:cs="Arial" w:eastAsia="Arial" w:hAnsi="Arial"/>
          <w:sz w:val="16"/>
          <w:szCs w:val="16"/>
          <w:i w:val="1"/>
          <w:iCs w:val="1"/>
          <w:color w:val="auto"/>
        </w:rPr>
        <w:t>Baylor Study</w:t>
      </w:r>
      <w:r>
        <w:rPr>
          <w:rFonts w:ascii="Arial" w:cs="Arial" w:eastAsia="Arial" w:hAnsi="Arial"/>
          <w:sz w:val="16"/>
          <w:szCs w:val="16"/>
          <w:color w:val="auto"/>
        </w:rPr>
        <w:t>). The FDA has granted Fast Track designation for development of AV-101 as an add-on, or adjunctive, treatment for MDD. We believe AV-101 has potential as a novel treatment for multiple additional CNS indications, including as a non-opioid treatment for chronic neuropathic pain, for which the FDA has granted a second AV-101 Fast Track designation, as well as a novel oral therapy for dyskinesia associated with levodopa therapy for Parkinson’s disease and suicidal ideation.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novel, rapid-acting CNS neuroactive nasal spray for MDD. Administered in microgram doses, PH10 activates nasal chemosensory receptors that, in turn, engage neural circuits that lead to rapid antidepressant effects without the psychological side effects, systemic exposure or safety concerns often associated with current oral antidepressants and ketamine-based therapies (intravenous ketamine or esketamine nasal spray) (</w:t>
      </w:r>
      <w:r>
        <w:rPr>
          <w:rFonts w:ascii="Arial" w:cs="Arial" w:eastAsia="Arial" w:hAnsi="Arial"/>
          <w:sz w:val="16"/>
          <w:szCs w:val="16"/>
          <w:i w:val="1"/>
          <w:iCs w:val="1"/>
          <w:color w:val="auto"/>
        </w:rPr>
        <w:t>KBT</w:t>
      </w:r>
      <w:r>
        <w:rPr>
          <w:rFonts w:ascii="Arial" w:cs="Arial" w:eastAsia="Arial" w:hAnsi="Arial"/>
          <w:sz w:val="16"/>
          <w:szCs w:val="16"/>
          <w:color w:val="auto"/>
        </w:rPr>
        <w:t>). In an exploratory 30-patient Phase 2a clinical study, PH10 was well-tolerated and, at microgram doses, demonstrated rapid-onset antidepressant effects,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psychological side effects or safety concerns. Based on positive results from this exploratory Phase 2a study, we are planning Phase 2b clinical development of PH10 in 2020, initially as a new stand-alone treatment for MDD. In a manner similar to the potential of AV-101, with its exceptional safety profile during clinical development to date, PH10 also has potential to change the current paradigm for treatment of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with KBT, which must be administered in a clinical setting, by enabling those who respond to KBT to transition to more convenient home-based use of PH10 to maintain the initial therapeutic benefits of KBT.</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is also a novel, rapid-acting CNS neuroactive nasal spray administered in microgram doses. We are initially developing PH94B for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which affects over 20 million Americans and, according to the NIH,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The person is afraid that he or she will be humiliated, judged, and rejected. The fear that people with SAD have in social situations is so strong that they feel it is beyond their ability to control. As a result, it gets in the way of going to work, attending school, or doing everyday things.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have performance anxiety instead. They feel physical symptoms of anxiety in performance situations, such as giving a speech, playing a sports game, or dancing or playing a musical instrument on stage. SAD usually starts during youth in people who are extremely shy. Without treatment, social anxiety disorder can last for many years or a lifetime and prevent a person from reaching his or her full potential. Unfortunately, SAD often predisposes to depression and substance abuse. Only three drugs, all antidepressants,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However, for treatment of both MDD and SAD, current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have slow onset of effect (often several weeks to months) and significant side effects that may make them inadequate treatment alternatives for many individuals affected by MDD and SAD.</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In clinical studies to date, PH94B has not shown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ectPr>
          <w:pgSz w:w="11900" w:h="16838" w:orient="portrait"/>
          <w:cols w:equalWidth="0" w:num="1">
            <w:col w:w="11420"/>
          </w:cols>
          <w:pgMar w:left="240" w:top="131" w:right="239" w:bottom="5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531"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our current CNS product candidates, we have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discover and develop small molecule NCEs for our CNS pipeline or for out-licensing. To advance potential RM applications of our cardiac stem cell technology, we have sublicensed to BlueRock Therapeutics LP, a next generation cell therapy and RM company recently acquired by Bayer AG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collaborations or licensing transactions involving blood, cartilage, and/or liver cells derived from hPSCs for cell-based therapy, cell repair therapy, RM and/or tissue engineering.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noted above, VistaStem, a California corporation,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2019 has been derived from our audited consolidated financial statements at that date but does not include all disclosures required by U.S. GAAP. The operating results for the three and six months ended September 30, 2019 are not necessarily indicative of the operating results to be expected for our fiscal year ending March 31, 2020, or for any other future interim or other period.</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2019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25, 2019.</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$192.7 million accumulated from inception (May 1998) through September 30, 2019. We expect losses and negative cash flows from operations to continue for the foreseeable future as we engage in further development of AV-101, PH94B and PH10, execute our drug rescue programs and pursue potential drug development and regenerative medicine opportunities.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in May 1998 through September 30,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At September 30, 2019, we had cash and cash equivalents of approximately $4.1 million. As disclosed in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since September 30, 2019, we have completed a self-placed private placement of units consisting of unregistered shares of our common stock and warrants to purchase unregistered shares of our common stock pursuant to which we have received cash proceeds of $600,000 (the </w:t>
      </w:r>
      <w:r>
        <w:rPr>
          <w:rFonts w:ascii="Arial" w:cs="Arial" w:eastAsia="Arial" w:hAnsi="Arial"/>
          <w:sz w:val="16"/>
          <w:szCs w:val="16"/>
          <w:i w:val="1"/>
          <w:iCs w:val="1"/>
          <w:color w:val="auto"/>
        </w:rPr>
        <w:t>Fall 2019 Private Placement</w:t>
      </w:r>
      <w:r>
        <w:rPr>
          <w:rFonts w:ascii="Arial" w:cs="Arial" w:eastAsia="Arial" w:hAnsi="Arial"/>
          <w:sz w:val="16"/>
          <w:szCs w:val="16"/>
          <w:color w:val="auto"/>
        </w:rPr>
        <w:t xml:space="preserve">). Nevertheless, we believe that our cash position at September 30, 2019, including the proceeds from the Fall 2019 Private Placement, considered with our recurring and anticipated losses, negative cash flows from operations and stockholders’ deficit make it probable, in the absence of additional financing, that we will not have sufficient resources to fund our planned operations for the twelve months following the issuance of these financial statements, during which time we plan to finalize the ELEVATE Study, prepare for and potentially launch Phase 3 clinical trials of AV-101 and/or PH94B, prepare for additional Phase 2 clinical studies and certain nonclinical studies involving AV-101, PH10 and PH94B and prepare for a Phase 2b clinical trial of PH10, and raises substantial doubt that we can continue as a going concern. When necessary and advantageous, we plan to raise additional capital, primarily through the sale of our equity securities in one or more private placements to accredited investors or in public offerings.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is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right-of-use assets and lease liabilities and assumptions that have been used historically to value warrants and warrant modifications. With the exception of the BlueRock Agreement pursuant to which we recorded sublicense revenue in the third quarter of our fiscal year ended March 31, 2017, we do not currently have, nor have we had during the periods covered by this Report, any arrangements requiring the recognition of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PH94B, PH10,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In September and October 2018, we acquired exclusive worldwide licenses to develop and commercialize PH94B and PH10, respectively, by issuing an aggregate of 2,556,361 unregistered shares of our common stock having an issuance-date fair market value of $4,250,000. Since, at the date of each acquisition, neither product candidate had achieved regulatory approval and each will require significant additional development and expense, we expensed the costs related to acquiring the licenses and the option during our fiscal year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7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Six Months Ended September</w:t>
            </w:r>
          </w:p>
        </w:tc>
      </w:tr>
      <w:tr>
        <w:trPr>
          <w:trHeight w:val="237"/>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68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680,700</w:t>
            </w: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226,000</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1,104,300</w:t>
            </w:r>
          </w:p>
        </w:tc>
        <w:tc>
          <w:tcPr>
            <w:tcW w:w="140" w:type="dxa"/>
            <w:vAlign w:val="bottom"/>
          </w:tcPr>
          <w:p>
            <w:pPr>
              <w:spacing w:after="0"/>
              <w:rPr>
                <w:sz w:val="19"/>
                <w:szCs w:val="19"/>
                <w:color w:val="auto"/>
              </w:rPr>
            </w:pPr>
          </w:p>
        </w:tc>
      </w:tr>
      <w:tr>
        <w:trPr>
          <w:trHeight w:val="236"/>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393,500</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1,172,400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1,785,000</w:t>
            </w:r>
          </w:p>
        </w:tc>
        <w:tc>
          <w:tcPr>
            <w:tcW w:w="14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May 2019, the Compensation Committee of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approved the grant of options from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purchase an aggregate of 1,220,000 shares of our common stock at a then above-market exercise price of $1.00 per share to the independent members of our Board, our officers and employees and certain consultants. The options vested 25% upon grant with the remaining shares vesting ratably over three years for independent directors, officers and employees, and over two years for consultants. We valued the options granted in May 2019 using the Black-Scholes Option Pricing Model and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May 2019</w:t>
            </w: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Additionally, in May 2019, the Compensation Committee approved, subject to subsequent stockholder approval at our 2019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held in September 2019, the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and designated 7.5 million shares of our authorized common stock to be reserved thereunder. Further, in May 2019, the Compensation Committee granted options pursuant to the 2019 Plan to one of our officers to purchase 170,000 shares of our common stock at a then above-market exercise price of $1.00 per share, which grant was contingent upon the approval of the 2019 Plan by our stockholders. Our stockholders approved the 2019 Plan at our Annual Meeting and ratified the contingent grant. The option vested 25% upon approval of the 2019 Plan and the remaining shares vest ratably over three years. We valued the option using the Black-Scholes Option Pricing Model and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231"/>
        </w:trPr>
        <w:tc>
          <w:tcPr>
            <w:tcW w:w="1020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Upon approval of the 2019 Plan by our stockholders, no further option or other equity awards were permitted from our 2016 Plan and all remaining authorized shares of our common stock available for issuance under the 2016 Plan, 1,388,412 shares, became available for issuance under the 2019 Plan.</w:t>
      </w:r>
    </w:p>
    <w:p>
      <w:pPr>
        <w:spacing w:after="0" w:line="14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At September 30, 2019, there were stock options outstanding under our 2016 Plan and 2019 Plan to purchase 8,014,838 shares of our common stock at a weighted average exercise price of $1.40 per share. At that date, there were also 8,718,412 shares of our common stock available for future issuance under the 2019 Plan. See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additional option grants made in October 2019.</w:t>
      </w:r>
    </w:p>
    <w:p>
      <w:pPr>
        <w:sectPr>
          <w:pgSz w:w="11900" w:h="16838" w:orient="portrait"/>
          <w:cols w:equalWidth="0" w:num="1">
            <w:col w:w="11440"/>
          </w:cols>
          <w:pgMar w:left="240" w:top="131" w:right="219"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131" w:right="219" w:bottom="598"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Lease Liabilities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1, 2019, we adopted 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xml:space="preserve">) No. 2016-02, </w:t>
      </w:r>
      <w:r>
        <w:rPr>
          <w:rFonts w:ascii="Arial" w:cs="Arial" w:eastAsia="Arial" w:hAnsi="Arial"/>
          <w:sz w:val="18"/>
          <w:szCs w:val="18"/>
          <w:i w:val="1"/>
          <w:iCs w:val="1"/>
          <w:color w:val="auto"/>
        </w:rPr>
        <w:t>Leases</w:t>
      </w:r>
      <w:r>
        <w:rPr>
          <w:rFonts w:ascii="Arial" w:cs="Arial" w:eastAsia="Arial" w:hAnsi="Arial"/>
          <w:sz w:val="18"/>
          <w:szCs w:val="18"/>
          <w:color w:val="auto"/>
        </w:rPr>
        <w:t>, which replaced the existing guidance in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840, “Leases”, and its subsequent amendments including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Targeted Improvements (</w:t>
      </w:r>
      <w:r>
        <w:rPr>
          <w:rFonts w:ascii="Arial" w:cs="Arial" w:eastAsia="Arial" w:hAnsi="Arial"/>
          <w:sz w:val="18"/>
          <w:szCs w:val="18"/>
          <w:i w:val="1"/>
          <w:iCs w:val="1"/>
          <w:color w:val="auto"/>
        </w:rPr>
        <w:t>ASC 842</w:t>
      </w:r>
      <w:r>
        <w:rPr>
          <w:rFonts w:ascii="Arial" w:cs="Arial" w:eastAsia="Arial" w:hAnsi="Arial"/>
          <w:sz w:val="18"/>
          <w:szCs w:val="18"/>
          <w:color w:val="auto"/>
        </w:rPr>
        <w:t>) using the modified transition method.</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7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accounting for financing leases, previously referred to as “capital leases” under prior guidance, remained substantially unchanged with our adoption of ASC</w:t>
      </w:r>
    </w:p>
    <w:p>
      <w:pPr>
        <w:spacing w:after="0" w:line="38" w:lineRule="exact"/>
        <w:rPr>
          <w:sz w:val="20"/>
          <w:szCs w:val="20"/>
          <w:color w:val="auto"/>
        </w:rPr>
      </w:pPr>
    </w:p>
    <w:p>
      <w:pPr>
        <w:jc w:val="both"/>
        <w:ind w:firstLine="8"/>
        <w:spacing w:after="0" w:line="301"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Financing leases are included in property and equipment, net and as current and non-current financing lease liabilities in our condensed consolidated balance sheets. Refer to “Recent Accounting Pronouncements” below and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information regarding our adoption of ASC 842 and its impact on our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w:t>
            </w:r>
          </w:p>
        </w:tc>
      </w:tr>
      <w:tr>
        <w:trPr>
          <w:trHeight w:val="249"/>
        </w:trPr>
        <w:tc>
          <w:tcPr>
            <w:tcW w:w="882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r>
      <w:tr>
        <w:trPr>
          <w:trHeight w:val="207"/>
        </w:trPr>
        <w:tc>
          <w:tcPr>
            <w:tcW w:w="8820" w:type="dxa"/>
            <w:vAlign w:val="bottom"/>
          </w:tcPr>
          <w:p>
            <w:pPr>
              <w:spacing w:after="0"/>
              <w:rPr>
                <w:sz w:val="20"/>
                <w:szCs w:val="20"/>
                <w:color w:val="auto"/>
              </w:rPr>
            </w:pPr>
            <w:r>
              <w:rPr>
                <w:rFonts w:ascii="Arial" w:cs="Arial" w:eastAsia="Arial" w:hAnsi="Arial"/>
                <w:sz w:val="18"/>
                <w:szCs w:val="18"/>
                <w:color w:val="auto"/>
                <w:w w:val="92"/>
              </w:rPr>
              <w:t>Outstanding options under the Company's Amended and Restated 2016 (formerly 2008) Stock Incentive Plan and 2019</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Omnibus Equity Incentive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8,014,838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6,160,338</w:t>
            </w:r>
          </w:p>
        </w:tc>
        <w:tc>
          <w:tcPr>
            <w:tcW w:w="140" w:type="dxa"/>
            <w:vAlign w:val="bottom"/>
          </w:tcPr>
          <w:p>
            <w:pPr>
              <w:spacing w:after="0"/>
              <w:rPr>
                <w:sz w:val="19"/>
                <w:szCs w:val="19"/>
                <w:color w:val="auto"/>
              </w:rPr>
            </w:pPr>
          </w:p>
        </w:tc>
      </w:tr>
      <w:tr>
        <w:trPr>
          <w:trHeight w:val="217"/>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21,242,954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20,709,516</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33,486,044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31,098,106</w:t>
            </w:r>
          </w:p>
        </w:tc>
        <w:tc>
          <w:tcPr>
            <w:tcW w:w="140" w:type="dxa"/>
            <w:vAlign w:val="bottom"/>
            <w:shd w:val="clear" w:color="auto" w:fill="CCEEFF"/>
          </w:tcPr>
          <w:p>
            <w:pPr>
              <w:spacing w:after="0"/>
              <w:rPr>
                <w:sz w:val="22"/>
                <w:szCs w:val="22"/>
                <w:color w:val="auto"/>
              </w:rPr>
            </w:pPr>
          </w:p>
        </w:tc>
      </w:tr>
      <w:tr>
        <w:trPr>
          <w:trHeight w:val="450"/>
        </w:trPr>
        <w:tc>
          <w:tcPr>
            <w:tcW w:w="8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ind w:left="200" w:hanging="192"/>
        <w:spacing w:after="0" w:line="195"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20" w:firstLine="8"/>
        <w:spacing w:after="0" w:line="238"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excludes common shares issuable in payment of dividends on Series B Preferred upon conversion.</w:t>
      </w:r>
    </w:p>
    <w:p>
      <w:pPr>
        <w:spacing w:after="0" w:line="1" w:lineRule="exact"/>
        <w:rPr>
          <w:rFonts w:ascii="Arial" w:cs="Arial" w:eastAsia="Arial" w:hAnsi="Arial"/>
          <w:sz w:val="21"/>
          <w:szCs w:val="21"/>
          <w:color w:val="auto"/>
          <w:vertAlign w:val="superscript"/>
        </w:rPr>
      </w:pPr>
    </w:p>
    <w:p>
      <w:pPr>
        <w:ind w:right="20" w:firstLine="8"/>
        <w:spacing w:after="0" w:line="224"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C Convertible Preferred Stock, effective January 25, 2016.</w:t>
      </w:r>
    </w:p>
    <w:p>
      <w:pPr>
        <w:sectPr>
          <w:pgSz w:w="11900" w:h="16838" w:orient="portrait"/>
          <w:cols w:equalWidth="0" w:num="1">
            <w:col w:w="11420"/>
          </w:cols>
          <w:pgMar w:left="240" w:top="131" w:right="239" w:bottom="8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841"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that are measured on a recurring basis at fair value at September 30, 2019 or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six months ended September 30, 2019, as compared to the recent accounting pronouncements described in our Form 10-K for our fiscal year ended March 31, 2019, that are of significance or potential significance to us.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replaced the existing guidance in ASC 840, “Leases”, and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Targeted Improvements (together, </w:t>
      </w:r>
      <w:r>
        <w:rPr>
          <w:rFonts w:ascii="Arial" w:cs="Arial" w:eastAsia="Arial" w:hAnsi="Arial"/>
          <w:sz w:val="16"/>
          <w:szCs w:val="16"/>
          <w:i w:val="1"/>
          <w:iCs w:val="1"/>
          <w:color w:val="auto"/>
        </w:rPr>
        <w:t>ASC 842</w:t>
      </w:r>
      <w:r>
        <w:rPr>
          <w:rFonts w:ascii="Arial" w:cs="Arial" w:eastAsia="Arial" w:hAnsi="Arial"/>
          <w:sz w:val="16"/>
          <w:szCs w:val="16"/>
          <w:color w:val="auto"/>
        </w:rPr>
        <w:t>). The new leasing standards set out the principles for the recognition, measurement, presentation and disclosure of leases for both parties to a contract (i.e. lessees and lessors). The new standards require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prior guidance for operating leases. We adopted the standards on the required effective date of April 1, 2019 and did not restate lease expense or lease-related assets or liabilities reported in prior comparative periods. Presentation of our financing lease for office equipment in the consolidated balance sheet is generally consistent with capitalized lease presentation under the prior lease accounting guidance. Presentation of leases within the consolidated statements of operations and consolidated statements of cash flows is generally consistent with the prior lease accounting guidance. We elected the package of practical expedients permitted under the transition guidance and, accordingly, the adoption of ASC 842 did not change the prior classification of any of our leases. We elected not to record a right-of-use asset or a lease liability on the balance sheet for leases with a term of 12 months or less and will recognize the associated lease payments in the consolidated statements of operations over the lease term. On the April 1, 2019 adoption date, we recognized approximately $4.3 million as total lease liabilities and $3.9 million as total right-of-use assets in our Condensed Consolidated Balance Sheet and derecognized a deferred rent liability of approximately $0.4 million attributable to the operating lease of our primary office and laboratory facilities recorded in accordance with prior guidance.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1"/>
        </w:trPr>
        <w:tc>
          <w:tcPr>
            <w:tcW w:w="8820" w:type="dxa"/>
            <w:vAlign w:val="bottom"/>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September 30, 2019 and March 31, 2019: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September</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r>
      <w:tr>
        <w:trPr>
          <w:trHeight w:val="251"/>
        </w:trPr>
        <w:tc>
          <w:tcPr>
            <w:tcW w:w="8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AV-101, PH94B and PH10 materials and contract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Fair value of securities issued for professional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604,500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securities issued for professional services reflects the unamortized portion of the fair value of securities we have issued to certain professional service providers as full or partial compensation for services. The fair value of the securities issued is amortized ratably over the term of the related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EE"/>
            </w:tcBorders>
          </w:tcPr>
          <w:p>
            <w:pPr>
              <w:spacing w:after="0"/>
              <w:rPr>
                <w:rFonts w:ascii="Arial" w:cs="Arial" w:eastAsia="Arial" w:hAnsi="Arial"/>
                <w:sz w:val="18"/>
                <w:szCs w:val="18"/>
                <w:i w:val="1"/>
                <w:iCs w:val="1"/>
                <w:color w:val="0000EE"/>
                <w:w w:val="85"/>
              </w:rPr>
            </w:pPr>
            <w:hyperlink w:anchor="page2">
              <w:r>
                <w:rPr>
                  <w:rFonts w:ascii="Arial" w:cs="Arial" w:eastAsia="Arial" w:hAnsi="Arial"/>
                  <w:sz w:val="18"/>
                  <w:szCs w:val="18"/>
                  <w:i w:val="1"/>
                  <w:iCs w:val="1"/>
                  <w:color w:val="0000EE"/>
                  <w:w w:val="85"/>
                </w:rPr>
                <w:t>Table of Contents</w:t>
              </w:r>
            </w:hyperlink>
          </w:p>
        </w:tc>
        <w:tc>
          <w:tcPr>
            <w:tcW w:w="7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5"/>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color w:val="auto"/>
              </w:rPr>
              <w:t>Property and equipment is composed of the following at September 30, 2019 and March 31, 2019: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w:t>
            </w:r>
          </w:p>
        </w:tc>
      </w:tr>
      <w:tr>
        <w:trPr>
          <w:trHeight w:val="251"/>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Tenant improvements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214,400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214,400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Office furniture and equipment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140" w:type="dxa"/>
            <w:vAlign w:val="bottom"/>
          </w:tcPr>
          <w:p>
            <w:pPr>
              <w:spacing w:after="0"/>
              <w:rPr>
                <w:sz w:val="19"/>
                <w:szCs w:val="19"/>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(985,500)</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(933,400)</w:t>
            </w:r>
          </w:p>
        </w:tc>
      </w:tr>
      <w:tr>
        <w:trPr>
          <w:trHeight w:val="256"/>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260,600</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Included in amounts reported above for office furniture and equipment is the right-of-use asset related to a financing lease of certain office equipment. Amounts associated with assets subject to the financing lease at September 30, 2019 and March 31, 2019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5"/>
              </w:rPr>
              <w:t>September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center"/>
              <w:ind w:right="32"/>
              <w:spacing w:after="0"/>
              <w:rPr>
                <w:sz w:val="20"/>
                <w:szCs w:val="20"/>
                <w:color w:val="auto"/>
              </w:rPr>
            </w:pPr>
            <w:r>
              <w:rPr>
                <w:rFonts w:ascii="Arial" w:cs="Arial" w:eastAsia="Arial" w:hAnsi="Arial"/>
                <w:sz w:val="18"/>
                <w:szCs w:val="18"/>
                <w:b w:val="1"/>
                <w:bCs w:val="1"/>
                <w:color w:val="auto"/>
                <w:w w:val="87"/>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Office equipment subject to financing lease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(6,500)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Net book value of office equipment subject to financing lease</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423"/>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6. Accrued Expenses</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1"/>
        </w:trPr>
        <w:tc>
          <w:tcPr>
            <w:tcW w:w="6640" w:type="dxa"/>
            <w:vAlign w:val="bottom"/>
            <w:gridSpan w:val="6"/>
          </w:tcPr>
          <w:p>
            <w:pPr>
              <w:spacing w:after="0"/>
              <w:rPr>
                <w:sz w:val="20"/>
                <w:szCs w:val="20"/>
                <w:color w:val="auto"/>
              </w:rPr>
            </w:pPr>
            <w:r>
              <w:rPr>
                <w:rFonts w:ascii="Arial" w:cs="Arial" w:eastAsia="Arial" w:hAnsi="Arial"/>
                <w:sz w:val="18"/>
                <w:szCs w:val="18"/>
                <w:color w:val="auto"/>
                <w:w w:val="88"/>
              </w:rPr>
              <w:t>Accrued expenses are composed of the following at September 30, 2019 and March 31, 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5"/>
              </w:rPr>
              <w:t>September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center"/>
              <w:ind w:right="32"/>
              <w:spacing w:after="0"/>
              <w:rPr>
                <w:sz w:val="20"/>
                <w:szCs w:val="20"/>
                <w:color w:val="auto"/>
              </w:rPr>
            </w:pPr>
            <w:r>
              <w:rPr>
                <w:rFonts w:ascii="Arial" w:cs="Arial" w:eastAsia="Arial" w:hAnsi="Arial"/>
                <w:sz w:val="18"/>
                <w:szCs w:val="18"/>
                <w:b w:val="1"/>
                <w:bCs w:val="1"/>
                <w:color w:val="auto"/>
                <w:w w:val="87"/>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4"/>
        </w:trPr>
        <w:tc>
          <w:tcPr>
            <w:tcW w:w="4580" w:type="dxa"/>
            <w:vAlign w:val="bottom"/>
          </w:tcPr>
          <w:p>
            <w:pPr>
              <w:ind w:left="40"/>
              <w:spacing w:after="0"/>
              <w:rPr>
                <w:sz w:val="20"/>
                <w:szCs w:val="20"/>
                <w:color w:val="auto"/>
              </w:rPr>
            </w:pPr>
            <w:r>
              <w:rPr>
                <w:rFonts w:ascii="Arial" w:cs="Arial" w:eastAsia="Arial" w:hAnsi="Arial"/>
                <w:sz w:val="18"/>
                <w:szCs w:val="18"/>
                <w:color w:val="auto"/>
              </w:rPr>
              <w:t>Accrued expenses for AV-101, PH94B, and PH10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clinical trial, development and related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2,080,700</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1,067,600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439,200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2,215,500</w:t>
            </w:r>
          </w:p>
        </w:tc>
        <w:tc>
          <w:tcPr>
            <w:tcW w:w="1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1,685,600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423"/>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7. Notes Payable</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1"/>
        </w:trPr>
        <w:tc>
          <w:tcPr>
            <w:tcW w:w="7900" w:type="dxa"/>
            <w:vAlign w:val="bottom"/>
            <w:gridSpan w:val="11"/>
          </w:tcPr>
          <w:p>
            <w:pPr>
              <w:spacing w:after="0"/>
              <w:rPr>
                <w:sz w:val="20"/>
                <w:szCs w:val="20"/>
                <w:color w:val="auto"/>
              </w:rPr>
            </w:pPr>
            <w:r>
              <w:rPr>
                <w:rFonts w:ascii="Arial" w:cs="Arial" w:eastAsia="Arial" w:hAnsi="Arial"/>
                <w:sz w:val="18"/>
                <w:szCs w:val="18"/>
                <w:color w:val="auto"/>
                <w:w w:val="90"/>
              </w:rPr>
              <w:t>The following table summarizes our unsecured promissory notes at September 30, 2019 and March 31, 2019: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8"/>
                <w:szCs w:val="18"/>
                <w:b w:val="1"/>
                <w:bCs w:val="1"/>
                <w:color w:val="auto"/>
                <w:w w:val="86"/>
              </w:rPr>
              <w:t>September 30, 2019</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March 31, 2019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Principal</w:t>
            </w:r>
          </w:p>
        </w:tc>
        <w:tc>
          <w:tcPr>
            <w:tcW w:w="220" w:type="dxa"/>
            <w:vAlign w:val="bottom"/>
          </w:tcPr>
          <w:p>
            <w:pPr>
              <w:spacing w:after="0"/>
              <w:rPr>
                <w:sz w:val="20"/>
                <w:szCs w:val="20"/>
                <w:color w:val="auto"/>
              </w:rPr>
            </w:pP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90"/>
              </w:rPr>
              <w:t>Accrued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Principal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Accrued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1"/>
                <w:szCs w:val="21"/>
                <w:color w:val="auto"/>
              </w:rPr>
            </w:pP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86"/>
              </w:rPr>
              <w:t>Interest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800" w:type="dxa"/>
            <w:vAlign w:val="bottom"/>
            <w:gridSpan w:val="3"/>
          </w:tcPr>
          <w:p>
            <w:pPr>
              <w:jc w:val="right"/>
              <w:ind w:right="3"/>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Interest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8"/>
                <w:szCs w:val="18"/>
                <w:color w:val="auto"/>
              </w:rPr>
              <w:t>Total</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7.75% and 7.15% Notes payable</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 insurance premium financing company (current)</w:t>
            </w: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9"/>
              </w:rPr>
              <w:t>$   159,300</w:t>
            </w:r>
          </w:p>
        </w:tc>
        <w:tc>
          <w:tcPr>
            <w:tcW w:w="10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159,300</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57,300</w:t>
            </w:r>
          </w:p>
        </w:tc>
        <w:tc>
          <w:tcPr>
            <w:tcW w:w="98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57,300</w:t>
            </w:r>
          </w:p>
        </w:tc>
        <w:tc>
          <w:tcPr>
            <w:tcW w:w="100" w:type="dxa"/>
            <w:vAlign w:val="bottom"/>
            <w:shd w:val="clear" w:color="auto" w:fill="CCEEFF"/>
          </w:tcPr>
          <w:p>
            <w:pPr>
              <w:spacing w:after="0"/>
              <w:rPr>
                <w:sz w:val="18"/>
                <w:szCs w:val="18"/>
                <w:color w:val="auto"/>
              </w:rPr>
            </w:pPr>
          </w:p>
        </w:tc>
      </w:tr>
    </w:tbl>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executed a 7.15% promissory note in the principal amount of $230,200 in connection with certain insurance policy premiums. The note is payable in monthly installments of $23,800, including principal and interest, through March 2020, and had an outstanding principal balance of $139,800 at September 30, 2019. In February 2019, we executed a 7.75% promissory note in the principal amount of $63,500 in connection with other insurance policy premiums. That note is payable in monthly installments of $6,600 including principal and interest, through December 2019 and had an outstanding principal balance of $19,500 at September 30, 2019.</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 xml:space="preserve">During the six months ended September 30, 2019, we did not engage in any capital-raising transactions, nor did we grant any equity securities as full or partial compensation to consultants, other than stock options as described in Stock-Based Compensation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quarter ended June 30, 2019, warrants issued in private placement transactions during calendar 2018 to purchase an aggregate of 805,800 shares of our common stock at exercise prices between $1.50 per share and $1.75 per share became fully-exercisable in accordance with their terms. Accordingly, all warrants outstanding at September 30, 2019 are now fully-exercisable at a weighted average exercise price of $2.43 per share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Exercise</w:t>
            </w:r>
          </w:p>
        </w:tc>
        <w:tc>
          <w:tcPr>
            <w:tcW w:w="600" w:type="dxa"/>
            <w:vAlign w:val="bottom"/>
          </w:tcPr>
          <w:p>
            <w:pPr>
              <w:spacing w:after="0"/>
              <w:rPr>
                <w:sz w:val="19"/>
                <w:szCs w:val="19"/>
                <w:color w:val="auto"/>
              </w:rPr>
            </w:pPr>
          </w:p>
        </w:tc>
        <w:tc>
          <w:tcPr>
            <w:tcW w:w="2300" w:type="dxa"/>
            <w:vAlign w:val="bottom"/>
          </w:tcPr>
          <w:p>
            <w:pPr>
              <w:jc w:val="center"/>
              <w:ind w:right="952"/>
              <w:spacing w:after="0"/>
              <w:rPr>
                <w:sz w:val="20"/>
                <w:szCs w:val="20"/>
                <w:color w:val="auto"/>
              </w:rPr>
            </w:pPr>
            <w:r>
              <w:rPr>
                <w:rFonts w:ascii="Arial" w:cs="Arial" w:eastAsia="Arial" w:hAnsi="Arial"/>
                <w:sz w:val="18"/>
                <w:szCs w:val="18"/>
                <w:b w:val="1"/>
                <w:bCs w:val="1"/>
                <w:color w:val="auto"/>
                <w:w w:val="86"/>
              </w:rPr>
              <w:t>Weighted</w:t>
            </w:r>
          </w:p>
        </w:tc>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Warrants Outstanding</w:t>
            </w:r>
          </w:p>
        </w:tc>
      </w:tr>
      <w:tr>
        <w:trPr>
          <w:trHeight w:val="243"/>
        </w:trPr>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Price</w:t>
            </w:r>
          </w:p>
        </w:tc>
        <w:tc>
          <w:tcPr>
            <w:tcW w:w="600" w:type="dxa"/>
            <w:vAlign w:val="bottom"/>
          </w:tcPr>
          <w:p>
            <w:pPr>
              <w:spacing w:after="0"/>
              <w:rPr>
                <w:sz w:val="21"/>
                <w:szCs w:val="21"/>
                <w:color w:val="auto"/>
              </w:rPr>
            </w:pPr>
          </w:p>
        </w:tc>
        <w:tc>
          <w:tcPr>
            <w:tcW w:w="2300" w:type="dxa"/>
            <w:vAlign w:val="bottom"/>
          </w:tcPr>
          <w:p>
            <w:pPr>
              <w:jc w:val="center"/>
              <w:ind w:right="952"/>
              <w:spacing w:after="0"/>
              <w:rPr>
                <w:sz w:val="20"/>
                <w:szCs w:val="20"/>
                <w:color w:val="auto"/>
              </w:rPr>
            </w:pPr>
            <w:r>
              <w:rPr>
                <w:rFonts w:ascii="Arial" w:cs="Arial" w:eastAsia="Arial" w:hAnsi="Arial"/>
                <w:sz w:val="18"/>
                <w:szCs w:val="18"/>
                <w:b w:val="1"/>
                <w:bCs w:val="1"/>
                <w:color w:val="auto"/>
                <w:w w:val="87"/>
              </w:rPr>
              <w:t>Average</w:t>
            </w:r>
          </w:p>
        </w:tc>
        <w:tc>
          <w:tcPr>
            <w:tcW w:w="3620" w:type="dxa"/>
            <w:vAlign w:val="bottom"/>
          </w:tcPr>
          <w:p>
            <w:pPr>
              <w:jc w:val="center"/>
              <w:ind w:right="352"/>
              <w:spacing w:after="0"/>
              <w:rPr>
                <w:sz w:val="20"/>
                <w:szCs w:val="20"/>
                <w:color w:val="auto"/>
              </w:rPr>
            </w:pPr>
            <w:r>
              <w:rPr>
                <w:rFonts w:ascii="Arial" w:cs="Arial" w:eastAsia="Arial" w:hAnsi="Arial"/>
                <w:sz w:val="18"/>
                <w:szCs w:val="18"/>
                <w:b w:val="1"/>
                <w:bCs w:val="1"/>
                <w:color w:val="auto"/>
                <w:w w:val="93"/>
              </w:rPr>
              <w:t>Expiration</w:t>
            </w:r>
          </w:p>
        </w:tc>
        <w:tc>
          <w:tcPr>
            <w:tcW w:w="260" w:type="dxa"/>
            <w:vAlign w:val="bottom"/>
          </w:tcPr>
          <w:p>
            <w:pPr>
              <w:spacing w:after="0"/>
              <w:rPr>
                <w:sz w:val="21"/>
                <w:szCs w:val="21"/>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 Exercisable at</w:t>
            </w:r>
          </w:p>
        </w:tc>
      </w:tr>
      <w:tr>
        <w:trPr>
          <w:trHeight w:val="251"/>
        </w:trPr>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 Share</w:t>
            </w:r>
          </w:p>
        </w:tc>
        <w:tc>
          <w:tcPr>
            <w:tcW w:w="600" w:type="dxa"/>
            <w:vAlign w:val="bottom"/>
          </w:tcPr>
          <w:p>
            <w:pPr>
              <w:spacing w:after="0"/>
              <w:rPr>
                <w:sz w:val="21"/>
                <w:szCs w:val="21"/>
                <w:color w:val="auto"/>
              </w:rPr>
            </w:pPr>
          </w:p>
        </w:tc>
        <w:tc>
          <w:tcPr>
            <w:tcW w:w="2300" w:type="dxa"/>
            <w:vAlign w:val="bottom"/>
          </w:tcPr>
          <w:p>
            <w:pPr>
              <w:jc w:val="center"/>
              <w:ind w:right="952"/>
              <w:spacing w:after="0"/>
              <w:rPr>
                <w:sz w:val="20"/>
                <w:szCs w:val="20"/>
                <w:color w:val="auto"/>
              </w:rPr>
            </w:pPr>
            <w:r>
              <w:rPr>
                <w:rFonts w:ascii="Arial" w:cs="Arial" w:eastAsia="Arial" w:hAnsi="Arial"/>
                <w:sz w:val="18"/>
                <w:szCs w:val="18"/>
                <w:b w:val="1"/>
                <w:bCs w:val="1"/>
                <w:color w:val="auto"/>
                <w:w w:val="89"/>
              </w:rPr>
              <w:t>per Share</w:t>
            </w:r>
          </w:p>
        </w:tc>
        <w:tc>
          <w:tcPr>
            <w:tcW w:w="362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Date</w:t>
            </w:r>
          </w:p>
        </w:tc>
        <w:tc>
          <w:tcPr>
            <w:tcW w:w="260" w:type="dxa"/>
            <w:vAlign w:val="bottom"/>
          </w:tcPr>
          <w:p>
            <w:pPr>
              <w:spacing w:after="0"/>
              <w:rPr>
                <w:sz w:val="21"/>
                <w:szCs w:val="21"/>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September 30, 2019</w:t>
            </w:r>
          </w:p>
        </w:tc>
      </w:tr>
      <w:tr>
        <w:trPr>
          <w:trHeight w:val="243"/>
        </w:trPr>
        <w:tc>
          <w:tcPr>
            <w:tcW w:w="2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w:t>
            </w:r>
          </w:p>
        </w:tc>
        <w:tc>
          <w:tcPr>
            <w:tcW w:w="3620" w:type="dxa"/>
            <w:vAlign w:val="bottom"/>
            <w:shd w:val="clear" w:color="auto" w:fill="CCEEFF"/>
          </w:tcPr>
          <w:p>
            <w:pPr>
              <w:jc w:val="center"/>
              <w:ind w:right="352"/>
              <w:spacing w:after="0"/>
              <w:rPr>
                <w:sz w:val="20"/>
                <w:szCs w:val="20"/>
                <w:color w:val="auto"/>
              </w:rPr>
            </w:pPr>
            <w:r>
              <w:rPr>
                <w:rFonts w:ascii="Arial" w:cs="Arial" w:eastAsia="Arial" w:hAnsi="Arial"/>
                <w:sz w:val="18"/>
                <w:szCs w:val="18"/>
                <w:color w:val="auto"/>
                <w:w w:val="88"/>
              </w:rPr>
              <w:t>11/30/2021 to 12/13/2022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14,335,200</w:t>
            </w:r>
          </w:p>
        </w:tc>
        <w:tc>
          <w:tcPr>
            <w:tcW w:w="240" w:type="dxa"/>
            <w:vAlign w:val="bottom"/>
            <w:shd w:val="clear" w:color="auto" w:fill="CCEEFF"/>
          </w:tcPr>
          <w:p>
            <w:pPr>
              <w:spacing w:after="0"/>
              <w:rPr>
                <w:sz w:val="18"/>
                <w:szCs w:val="18"/>
                <w:color w:val="auto"/>
              </w:rPr>
            </w:pPr>
          </w:p>
        </w:tc>
      </w:tr>
      <w:tr>
        <w:trPr>
          <w:trHeight w:val="216"/>
        </w:trPr>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1.59 - $1.80</w:t>
            </w:r>
          </w:p>
        </w:tc>
        <w:tc>
          <w:tcPr>
            <w:tcW w:w="2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12"/>
              <w:spacing w:after="0"/>
              <w:rPr>
                <w:sz w:val="20"/>
                <w:szCs w:val="20"/>
                <w:color w:val="auto"/>
              </w:rPr>
            </w:pPr>
            <w:r>
              <w:rPr>
                <w:rFonts w:ascii="Arial" w:cs="Arial" w:eastAsia="Arial" w:hAnsi="Arial"/>
                <w:sz w:val="18"/>
                <w:szCs w:val="18"/>
                <w:color w:val="auto"/>
              </w:rPr>
              <w:t>1.67</w:t>
            </w:r>
          </w:p>
        </w:tc>
        <w:tc>
          <w:tcPr>
            <w:tcW w:w="3620" w:type="dxa"/>
            <w:vAlign w:val="bottom"/>
          </w:tcPr>
          <w:p>
            <w:pPr>
              <w:jc w:val="center"/>
              <w:ind w:right="352"/>
              <w:spacing w:after="0"/>
              <w:rPr>
                <w:sz w:val="20"/>
                <w:szCs w:val="20"/>
                <w:color w:val="auto"/>
              </w:rPr>
            </w:pPr>
            <w:r>
              <w:rPr>
                <w:rFonts w:ascii="Arial" w:cs="Arial" w:eastAsia="Arial" w:hAnsi="Arial"/>
                <w:sz w:val="18"/>
                <w:szCs w:val="18"/>
                <w:color w:val="auto"/>
                <w:w w:val="89"/>
              </w:rPr>
              <w:t>2/28/2022 to 10/10/2022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625,619</w:t>
            </w:r>
          </w:p>
        </w:tc>
        <w:tc>
          <w:tcPr>
            <w:tcW w:w="240" w:type="dxa"/>
            <w:vAlign w:val="bottom"/>
          </w:tcPr>
          <w:p>
            <w:pPr>
              <w:spacing w:after="0"/>
              <w:rPr>
                <w:sz w:val="18"/>
                <w:szCs w:val="18"/>
                <w:color w:val="auto"/>
              </w:rPr>
            </w:pPr>
          </w:p>
        </w:tc>
      </w:tr>
      <w:tr>
        <w:trPr>
          <w:trHeight w:val="216"/>
        </w:trPr>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1.82</w:t>
            </w:r>
          </w:p>
        </w:tc>
        <w:tc>
          <w:tcPr>
            <w:tcW w:w="362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rPr>
              <w:t>3/7/2023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240" w:type="dxa"/>
            <w:vAlign w:val="bottom"/>
            <w:shd w:val="clear" w:color="auto" w:fill="CCEEFF"/>
          </w:tcPr>
          <w:p>
            <w:pPr>
              <w:spacing w:after="0"/>
              <w:rPr>
                <w:sz w:val="18"/>
                <w:szCs w:val="18"/>
                <w:color w:val="auto"/>
              </w:rPr>
            </w:pPr>
          </w:p>
        </w:tc>
      </w:tr>
      <w:tr>
        <w:trPr>
          <w:trHeight w:val="216"/>
        </w:trPr>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2.00 - $3.51</w:t>
            </w:r>
          </w:p>
        </w:tc>
        <w:tc>
          <w:tcPr>
            <w:tcW w:w="24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12"/>
              <w:spacing w:after="0"/>
              <w:rPr>
                <w:sz w:val="20"/>
                <w:szCs w:val="20"/>
                <w:color w:val="auto"/>
              </w:rPr>
            </w:pPr>
            <w:r>
              <w:rPr>
                <w:rFonts w:ascii="Arial" w:cs="Arial" w:eastAsia="Arial" w:hAnsi="Arial"/>
                <w:sz w:val="18"/>
                <w:szCs w:val="18"/>
                <w:color w:val="auto"/>
              </w:rPr>
              <w:t>2.14</w:t>
            </w:r>
          </w:p>
        </w:tc>
        <w:tc>
          <w:tcPr>
            <w:tcW w:w="3620" w:type="dxa"/>
            <w:vAlign w:val="bottom"/>
          </w:tcPr>
          <w:p>
            <w:pPr>
              <w:jc w:val="center"/>
              <w:ind w:right="352"/>
              <w:spacing w:after="0"/>
              <w:rPr>
                <w:sz w:val="20"/>
                <w:szCs w:val="20"/>
                <w:color w:val="auto"/>
              </w:rPr>
            </w:pPr>
            <w:r>
              <w:rPr>
                <w:rFonts w:ascii="Arial" w:cs="Arial" w:eastAsia="Arial" w:hAnsi="Arial"/>
                <w:sz w:val="18"/>
                <w:szCs w:val="18"/>
                <w:color w:val="auto"/>
                <w:w w:val="89"/>
              </w:rPr>
              <w:t>4/30/2021 to 10/19/2022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696,693</w:t>
            </w:r>
          </w:p>
        </w:tc>
        <w:tc>
          <w:tcPr>
            <w:tcW w:w="240" w:type="dxa"/>
            <w:vAlign w:val="bottom"/>
          </w:tcPr>
          <w:p>
            <w:pPr>
              <w:spacing w:after="0"/>
              <w:rPr>
                <w:sz w:val="18"/>
                <w:szCs w:val="18"/>
                <w:color w:val="auto"/>
              </w:rPr>
            </w:pPr>
          </w:p>
        </w:tc>
      </w:tr>
      <w:tr>
        <w:trPr>
          <w:trHeight w:val="216"/>
        </w:trPr>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5.30</w:t>
            </w:r>
          </w:p>
        </w:tc>
        <w:tc>
          <w:tcPr>
            <w:tcW w:w="3620" w:type="dxa"/>
            <w:vAlign w:val="bottom"/>
            <w:shd w:val="clear" w:color="auto" w:fill="CCEEFF"/>
          </w:tcPr>
          <w:p>
            <w:pPr>
              <w:jc w:val="right"/>
              <w:ind w:right="1592"/>
              <w:spacing w:after="0"/>
              <w:rPr>
                <w:sz w:val="20"/>
                <w:szCs w:val="20"/>
                <w:color w:val="auto"/>
              </w:rPr>
            </w:pPr>
            <w:r>
              <w:rPr>
                <w:rFonts w:ascii="Arial" w:cs="Arial" w:eastAsia="Arial" w:hAnsi="Arial"/>
                <w:sz w:val="18"/>
                <w:szCs w:val="18"/>
                <w:color w:val="auto"/>
              </w:rPr>
              <w:t>5/16/2021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240" w:type="dxa"/>
            <w:vAlign w:val="bottom"/>
            <w:shd w:val="clear" w:color="auto" w:fill="CCEEFF"/>
          </w:tcPr>
          <w:p>
            <w:pPr>
              <w:spacing w:after="0"/>
              <w:rPr>
                <w:sz w:val="18"/>
                <w:szCs w:val="18"/>
                <w:color w:val="auto"/>
              </w:rPr>
            </w:pPr>
          </w:p>
        </w:tc>
      </w:tr>
      <w:tr>
        <w:trPr>
          <w:trHeight w:val="223"/>
        </w:trPr>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6.00 - $10.00</w:t>
            </w:r>
          </w:p>
        </w:tc>
        <w:tc>
          <w:tcPr>
            <w:tcW w:w="240" w:type="dxa"/>
            <w:vAlign w:val="bottom"/>
          </w:tcPr>
          <w:p>
            <w:pPr>
              <w:spacing w:after="0"/>
              <w:rPr>
                <w:sz w:val="19"/>
                <w:szCs w:val="19"/>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12"/>
              <w:spacing w:after="0"/>
              <w:rPr>
                <w:sz w:val="20"/>
                <w:szCs w:val="20"/>
                <w:color w:val="auto"/>
              </w:rPr>
            </w:pPr>
            <w:r>
              <w:rPr>
                <w:rFonts w:ascii="Arial" w:cs="Arial" w:eastAsia="Arial" w:hAnsi="Arial"/>
                <w:sz w:val="18"/>
                <w:szCs w:val="18"/>
                <w:color w:val="auto"/>
              </w:rPr>
              <w:t>7.15</w:t>
            </w:r>
          </w:p>
        </w:tc>
        <w:tc>
          <w:tcPr>
            <w:tcW w:w="3620" w:type="dxa"/>
            <w:vAlign w:val="bottom"/>
          </w:tcPr>
          <w:p>
            <w:pPr>
              <w:jc w:val="center"/>
              <w:ind w:right="372"/>
              <w:spacing w:after="0"/>
              <w:rPr>
                <w:sz w:val="20"/>
                <w:szCs w:val="20"/>
                <w:color w:val="auto"/>
              </w:rPr>
            </w:pPr>
            <w:r>
              <w:rPr>
                <w:rFonts w:ascii="Arial" w:cs="Arial" w:eastAsia="Arial" w:hAnsi="Arial"/>
                <w:sz w:val="18"/>
                <w:szCs w:val="18"/>
                <w:color w:val="auto"/>
                <w:w w:val="88"/>
              </w:rPr>
              <w:t>10/11/2019 to 3/3/2023</w:t>
            </w:r>
          </w:p>
        </w:tc>
        <w:tc>
          <w:tcPr>
            <w:tcW w:w="26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1,490,628</w:t>
            </w:r>
          </w:p>
        </w:tc>
        <w:tc>
          <w:tcPr>
            <w:tcW w:w="240" w:type="dxa"/>
            <w:vAlign w:val="bottom"/>
          </w:tcPr>
          <w:p>
            <w:pPr>
              <w:spacing w:after="0"/>
              <w:rPr>
                <w:sz w:val="19"/>
                <w:szCs w:val="19"/>
                <w:color w:val="auto"/>
              </w:rPr>
            </w:pPr>
          </w:p>
        </w:tc>
      </w:tr>
      <w:tr>
        <w:trPr>
          <w:trHeight w:val="256"/>
        </w:trPr>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72"/>
              <w:spacing w:after="0" w:line="195" w:lineRule="exact"/>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612"/>
              <w:spacing w:after="0" w:line="195" w:lineRule="exact"/>
              <w:rPr>
                <w:sz w:val="20"/>
                <w:szCs w:val="20"/>
                <w:color w:val="auto"/>
              </w:rPr>
            </w:pPr>
            <w:r>
              <w:rPr>
                <w:rFonts w:ascii="Arial" w:cs="Arial" w:eastAsia="Arial" w:hAnsi="Arial"/>
                <w:sz w:val="18"/>
                <w:szCs w:val="18"/>
                <w:color w:val="auto"/>
              </w:rPr>
              <w:t>2.43</w:t>
            </w:r>
          </w:p>
        </w:tc>
        <w:tc>
          <w:tcPr>
            <w:tcW w:w="3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21,242,954</w:t>
            </w:r>
          </w:p>
        </w:tc>
        <w:tc>
          <w:tcPr>
            <w:tcW w:w="240" w:type="dxa"/>
            <w:vAlign w:val="bottom"/>
            <w:tcBorders>
              <w:bottom w:val="single" w:sz="8" w:color="CCEEFF"/>
            </w:tcBorders>
            <w:shd w:val="clear" w:color="auto" w:fill="CCEEFF"/>
          </w:tcPr>
          <w:p>
            <w:pPr>
              <w:spacing w:after="0"/>
              <w:rPr>
                <w:sz w:val="22"/>
                <w:szCs w:val="22"/>
                <w:color w:val="auto"/>
              </w:rPr>
            </w:pPr>
          </w:p>
        </w:tc>
      </w:tr>
    </w:tbl>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warrants outstanding at September 30, 2019, 2,705,883 shares of common stock underlying the warrants exercisable at $5.30 per share issued in our May 2016 public offering, 1,388,931 shares of common stock underlying the warrants exercisable at $1.82 per share issued in our September 2017 public offering and 9,596,200 shares of common stock underlying the warrants exercisable at $1.50 per share issued in our December 2017 public offering are registered for resale by the warrant holders. The common shares issuable upon exercise of our remaining outstanding warrants are unregistered. At September 30, 2019, none of our outstanding warrants are subject to down round anti-dilution protection features and all of the outstanding warrants are exercisable by the holders only by payment in cash of the stated exercise price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engaged for a wide range of material aspects related to the nonclinical and clinical development, manufacturing and regulatory affairs associated with our efforts to develop and commercialize AV-101 for MDD, including our ELEVATE Study and other potential CNS indications, as well as PH94B, PH10, and other potential product candidates. At September 30, 2019, CBV held approximately 2% of our outstanding common stock.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$1,610,900 and $752,200 during the quarters ended September 30, 2019 and 2018, respectively, and $3,016,000 and $1,603,000 for the six months ended September 30, 2019 and 2018, respectively. At September 30, 2019 and March 31, 2019, we had recorded accounts payable and accrued expenses related to CRL aggregating $1,646,800 and $657,800,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our fiscal year ended March 31, 2019, we issued an aggregate of 2,556,361 shares of our unregistered common stock having an issue-date fair market value of $4,250,000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to acquire exclusive worldwide licenses to develop and commercialize PH94B and PH10. We recorded the acquisition of the licenses as research and development expense during our fiscal year ended March 31, 2019. During the quarters ended September 30, 2019 and 2018, we recorded $30,000 and $10,000, respectively, and during the six months ended September 30, 3019 and 2018, we recorded $60,000 and $10,000 respectively, representing monthly support payments to Pherin under the terms of the PH94B license agreement. We recorded no amounts payable to Pherin at September 30, 2019 or March 31, 2019. At September 30, 2019, Pherin held approximately 4% of our outstanding common stock.</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 months ended September 30, 2019, we engaged the consulting firm headed by one of the independent members of our Board to provide various market research studies for certain of our product pipeline candidates and recorded research and development expense of $75,100 for the quarter ended September 30, 2019 and $102,800 for the six months ended September 30, 2019 related to such studies. We incurred no such expenses for the three and six months ended September 30, 2018. At September 30, 2019, we recorded $45,000 of accrued expenses related to these studies.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7"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ASC 842, effective beginning April 1, 2019, we have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 at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0"/>
              </w:rPr>
              <w:t>As of September</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30, 2019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of use asset – operating lease</w:t>
            </w:r>
          </w:p>
        </w:tc>
        <w:tc>
          <w:tcPr>
            <w:tcW w:w="2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3,750,200</w:t>
            </w:r>
          </w:p>
        </w:tc>
        <w:tc>
          <w:tcPr>
            <w:tcW w:w="1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Current operating lease obligation</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Non-current operating lease obligation</w:t>
            </w:r>
          </w:p>
        </w:tc>
        <w:tc>
          <w:tcPr>
            <w:tcW w:w="2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4,169,000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gridSpan w:val="5"/>
            <w:vMerge w:val="restart"/>
          </w:tcPr>
          <w:p>
            <w:pPr>
              <w:spacing w:after="0"/>
              <w:rPr>
                <w:sz w:val="20"/>
                <w:szCs w:val="20"/>
                <w:color w:val="auto"/>
              </w:rPr>
            </w:pPr>
            <w:r>
              <w:rPr>
                <w:rFonts w:ascii="Arial" w:cs="Arial" w:eastAsia="Arial" w:hAnsi="Arial"/>
                <w:sz w:val="18"/>
                <w:szCs w:val="18"/>
                <w:color w:val="auto"/>
                <w:w w:val="93"/>
              </w:rPr>
              <w:t>The following table summarizes the effect of operating lease costs in the Company’s condensed consolidated statements of operations: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06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820" w:type="dxa"/>
            <w:vAlign w:val="bottom"/>
          </w:tcPr>
          <w:p>
            <w:pPr>
              <w:spacing w:after="0"/>
              <w:rPr>
                <w:sz w:val="24"/>
                <w:szCs w:val="24"/>
                <w:color w:val="auto"/>
              </w:rPr>
            </w:pPr>
          </w:p>
        </w:tc>
        <w:tc>
          <w:tcPr>
            <w:tcW w:w="5700" w:type="dxa"/>
            <w:vAlign w:val="bottom"/>
            <w:gridSpan w:val="10"/>
          </w:tcPr>
          <w:p>
            <w:pPr>
              <w:ind w:left="2580"/>
              <w:spacing w:after="0"/>
              <w:rPr>
                <w:sz w:val="20"/>
                <w:szCs w:val="20"/>
                <w:color w:val="auto"/>
              </w:rPr>
            </w:pPr>
            <w:r>
              <w:rPr>
                <w:rFonts w:ascii="Arial" w:cs="Arial" w:eastAsia="Arial" w:hAnsi="Arial"/>
                <w:sz w:val="18"/>
                <w:szCs w:val="18"/>
                <w:b w:val="1"/>
                <w:bCs w:val="1"/>
                <w:color w:val="auto"/>
                <w:w w:val="88"/>
              </w:rPr>
              <w:t>For the Three Months For the Six Months</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September 30,</w:t>
            </w:r>
          </w:p>
        </w:tc>
        <w:tc>
          <w:tcPr>
            <w:tcW w:w="20" w:type="dxa"/>
            <w:vAlign w:val="bottom"/>
          </w:tcPr>
          <w:p>
            <w:pPr>
              <w:spacing w:after="0"/>
              <w:rPr>
                <w:sz w:val="18"/>
                <w:szCs w:val="18"/>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6"/>
              </w:rPr>
              <w:t>September 30,</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70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203,100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060" w:type="dxa"/>
            <w:vAlign w:val="bottom"/>
            <w:gridSpan w:val="5"/>
          </w:tcPr>
          <w:p>
            <w:pPr>
              <w:spacing w:after="0"/>
              <w:rPr>
                <w:sz w:val="20"/>
                <w:szCs w:val="20"/>
                <w:color w:val="auto"/>
              </w:rPr>
            </w:pPr>
            <w:r>
              <w:rPr>
                <w:rFonts w:ascii="Arial" w:cs="Arial" w:eastAsia="Arial" w:hAnsi="Arial"/>
                <w:sz w:val="18"/>
                <w:szCs w:val="18"/>
                <w:color w:val="auto"/>
              </w:rPr>
              <w:t>The minimum (base rental) lease payments related to our South San Francisco operating lease are expected to be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2023</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expense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5,842,100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2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4,169,000</w:t>
            </w:r>
          </w:p>
        </w:tc>
        <w:tc>
          <w:tcPr>
            <w:tcW w:w="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Under the prior lease guidance, future minimum lease payments, under the non-cancellable portion (excluding the five-year extension assumed under ASC 842) of the South San Francisco operating lease were as follows at 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63"/>
        </w:trPr>
        <w:tc>
          <w:tcPr>
            <w:tcW w:w="10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2,163,400</w:t>
            </w:r>
          </w:p>
        </w:tc>
        <w:tc>
          <w:tcPr>
            <w:tcW w:w="140" w:type="dxa"/>
            <w:vAlign w:val="bottom"/>
            <w:shd w:val="clear" w:color="auto" w:fill="CCEEFF"/>
          </w:tcPr>
          <w:p>
            <w:pPr>
              <w:spacing w:after="0"/>
              <w:rPr>
                <w:sz w:val="22"/>
                <w:szCs w:val="22"/>
                <w:color w:val="auto"/>
              </w:rPr>
            </w:pPr>
          </w:p>
        </w:tc>
      </w:tr>
      <w:tr>
        <w:trPr>
          <w:trHeight w:val="20"/>
        </w:trPr>
        <w:tc>
          <w:tcPr>
            <w:tcW w:w="10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The remaining lease term, including the assumed five-year extension at the expiration of the current lease period, and the discount rate assumption for our South San Francisco operating lease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85"/>
              </w:rPr>
              <w:t>As of September</w:t>
            </w:r>
          </w:p>
        </w:tc>
      </w:tr>
      <w:tr>
        <w:trPr>
          <w:trHeight w:val="237"/>
        </w:trPr>
        <w:tc>
          <w:tcPr>
            <w:tcW w:w="10200" w:type="dxa"/>
            <w:vAlign w:val="bottom"/>
          </w:tcPr>
          <w:p>
            <w:pPr>
              <w:spacing w:after="0"/>
              <w:rPr>
                <w:sz w:val="20"/>
                <w:szCs w:val="20"/>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30, 2019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7.84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0200" w:type="dxa"/>
            <w:vAlign w:val="bottom"/>
          </w:tcPr>
          <w:p>
            <w:pPr>
              <w:spacing w:after="0"/>
              <w:rPr>
                <w:sz w:val="20"/>
                <w:szCs w:val="20"/>
                <w:color w:val="auto"/>
              </w:rPr>
            </w:pPr>
            <w:r>
              <w:rPr>
                <w:rFonts w:ascii="Arial" w:cs="Arial" w:eastAsia="Arial" w:hAnsi="Arial"/>
                <w:sz w:val="18"/>
                <w:szCs w:val="18"/>
                <w:color w:val="auto"/>
              </w:rPr>
              <w:t>Assumed discount rate</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w w:val="82"/>
              </w:rPr>
              <w:t>8.54%</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520"/>
          </w:cols>
          <w:pgMar w:left="240" w:top="131" w:right="139" w:bottom="80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20"/>
          </w:cols>
          <w:pgMar w:left="240" w:top="131" w:right="139" w:bottom="80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9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Supplemental disclosure of cash flow information related to the Company’s operating leases included in cash flows used by operating activities in the condensed consolidated statements of cash flows is as follows:</w:t>
      </w:r>
    </w:p>
    <w:p>
      <w:pPr>
        <w:spacing w:after="0" w:line="180" w:lineRule="exact"/>
        <w:rPr>
          <w:sz w:val="20"/>
          <w:szCs w:val="20"/>
          <w:color w:val="auto"/>
        </w:rPr>
      </w:pPr>
    </w:p>
    <w:p>
      <w:pPr>
        <w:jc w:val="center"/>
        <w:ind w:left="9880"/>
        <w:spacing w:after="0"/>
        <w:rPr>
          <w:sz w:val="20"/>
          <w:szCs w:val="20"/>
          <w:color w:val="auto"/>
        </w:rPr>
      </w:pPr>
      <w:r>
        <w:rPr>
          <w:rFonts w:ascii="Arial" w:cs="Arial" w:eastAsia="Arial" w:hAnsi="Arial"/>
          <w:sz w:val="16"/>
          <w:szCs w:val="16"/>
          <w:b w:val="1"/>
          <w:bCs w:val="1"/>
          <w:color w:val="auto"/>
        </w:rPr>
        <w:t>For the Six Months</w:t>
      </w:r>
    </w:p>
    <w:p>
      <w:pPr>
        <w:spacing w:after="0" w:line="44" w:lineRule="exact"/>
        <w:rPr>
          <w:sz w:val="20"/>
          <w:szCs w:val="20"/>
          <w:color w:val="auto"/>
        </w:rPr>
      </w:pPr>
    </w:p>
    <w:p>
      <w:pPr>
        <w:jc w:val="center"/>
        <w:ind w:left="99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9920"/>
        <w:spacing w:after="0"/>
        <w:rPr>
          <w:sz w:val="20"/>
          <w:szCs w:val="20"/>
          <w:color w:val="auto"/>
        </w:rPr>
      </w:pPr>
      <w:r>
        <w:rPr>
          <w:rFonts w:ascii="Arial" w:cs="Arial" w:eastAsia="Arial" w:hAnsi="Arial"/>
          <w:sz w:val="16"/>
          <w:szCs w:val="16"/>
          <w:b w:val="1"/>
          <w:bCs w:val="1"/>
          <w:u w:val="single" w:color="auto"/>
          <w:color w:val="auto"/>
        </w:rPr>
        <w:t>September 30, 2019</w:t>
      </w:r>
    </w:p>
    <w:p>
      <w:pPr>
        <w:spacing w:after="0" w:line="52" w:lineRule="exact"/>
        <w:rPr>
          <w:sz w:val="20"/>
          <w:szCs w:val="20"/>
          <w:color w:val="auto"/>
        </w:rPr>
      </w:pPr>
    </w:p>
    <w:p>
      <w:pPr>
        <w:spacing w:after="0"/>
        <w:tabs>
          <w:tab w:leader="none" w:pos="10060" w:val="left"/>
          <w:tab w:leader="none" w:pos="10680" w:val="left"/>
        </w:tabs>
        <w:rPr>
          <w:sz w:val="20"/>
          <w:szCs w:val="20"/>
          <w:color w:val="auto"/>
        </w:rPr>
      </w:pPr>
      <w:r>
        <w:rPr>
          <w:rFonts w:ascii="Arial" w:cs="Arial" w:eastAsia="Arial" w:hAnsi="Arial"/>
          <w:sz w:val="18"/>
          <w:szCs w:val="18"/>
          <w:color w:val="auto"/>
        </w:rPr>
        <w:t>Cash paid for amounts included in the measurement of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During the six months ended September 30, 2019, other than the initial adoption of ASC 842 that required right of use assets and lease liabilities to be recorded, we recorded no new right of use assets arising from new lease liabilities.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and $6,900 for the three and six months ended September 30, 2019, respectively, attributable to this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November 6, 2019 and have identified the following matters requiring disclosure: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the 2019 Plan</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October 2019, we granted options from our 2019 Plan to the independent members of our Board, our officers and employees and certain consultants to purchase an aggregate of 1,575,000 shares of our common stock at an exercise price of $1.41 per share, the quoted closing market price of our common stock on the Nasdaq Capital Market on the grant date. The options were vested 25% at grant with the remaining options vesting ratably over the following 24 months.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2019 Private Placement</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Between October 30, 2019 and November 6, 2019, in a self-placed private placement and pursuant to subscription agreements from accredited investors, we sold to such investors units, at a purchase price of $1.00 per unit, consisting of an aggregate of 600,000 unregistered shares of our common stock and warrants, exercisable through November 1, 2023, to purchase 300,000 unregistered shares of our common stock at an exercise price of $2.00 per share. The purchasers of the units have no registration rights with respect to the shares of common stock, warrants or the shares of common stock issuable upon exercise of the warrants comprising the units sold. The warrants are not exercisable prior to six months and one day following issuance. We received aggregate cash proceeds of $600,000 from the sale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committed to developing differentiated new generation medications for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AV-101 (4-Chlorokynurenine or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chronic neuropathic pain, epilepsy, levodopa-induced dyskinesia and many others. AV-101 is an oral prodrug of 7-Cl-KYNA, an NMDA receptor antagonist which binds at the glycine site of the NMDA receptor. We are developing AV-101 initially for the treatment of MDD, a serious neurobiologically-based mood disorder which is a leading cause of disability globally, affecting approximately 17 million adults in the United States and nearly 300 million people worldwide according to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xml:space="preserve">). AV-101 is currently in Phase 2 development in the U.S. as an adjunctive, or add-on, treatment (together with current FDA-approved oral antidepressants (SSRIs and SNRIs)) through the ELEVATE study, our U.S. multi-center, randomized, double-blind, placebo-controlled Phase 2 clinical study to evaluate the efficacy and safety of adjunctive use of AV-101 in adult MDD patients who have an inadequate response to standard FDA-approved oral antidepressant therapy (the </w:t>
      </w:r>
      <w:r>
        <w:rPr>
          <w:rFonts w:ascii="Arial" w:cs="Arial" w:eastAsia="Arial" w:hAnsi="Arial"/>
          <w:sz w:val="16"/>
          <w:szCs w:val="16"/>
          <w:i w:val="1"/>
          <w:iCs w:val="1"/>
          <w:color w:val="auto"/>
        </w:rPr>
        <w:t>ELEVATE Study</w:t>
      </w:r>
      <w:r>
        <w:rPr>
          <w:rFonts w:ascii="Arial" w:cs="Arial" w:eastAsia="Arial" w:hAnsi="Arial"/>
          <w:sz w:val="16"/>
          <w:szCs w:val="16"/>
          <w:color w:val="auto"/>
        </w:rPr>
        <w:t>). In addition to the ELEVATE Study, we are collaborating with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and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xml:space="preserve">) on a small Phase 1b clinical trial of AV-101 in healthy volunteer U.S. Military Veterans from Operation Enduring Freedom, Operation Iraqi Freedom or Operation New Dawn (the </w:t>
      </w:r>
      <w:r>
        <w:rPr>
          <w:rFonts w:ascii="Arial" w:cs="Arial" w:eastAsia="Arial" w:hAnsi="Arial"/>
          <w:sz w:val="16"/>
          <w:szCs w:val="16"/>
          <w:i w:val="1"/>
          <w:iCs w:val="1"/>
          <w:color w:val="auto"/>
        </w:rPr>
        <w:t>Baylor Study</w:t>
      </w:r>
      <w:r>
        <w:rPr>
          <w:rFonts w:ascii="Arial" w:cs="Arial" w:eastAsia="Arial" w:hAnsi="Arial"/>
          <w:sz w:val="16"/>
          <w:szCs w:val="16"/>
          <w:color w:val="auto"/>
        </w:rPr>
        <w:t>). The FDA has granted Fast Track designation for development of AV-101 as an adjunctive, treatment for MDD. We believe AV-101 has potential as a novel treatment for multiple additional CNS indications, including as a non-opioid treatment for chronic neuropathic pain, for which the FDA has granted a second AV-101 Fast Track designation, as well as a novel oral therapy for dyskinesia associated with levodopa therapy for Parkinson’s disease and suicidal ideation.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novel, rapid-acting CNS neuroactive nasal spray for MDD. Administered in microgram doses, PH10 activates nasal chemosensory receptors that, in turn, engage neural circuits that lead to rapid antidepressant effects without the psychological side effects, systemic exposure or safety concerns often associated with current oral antidepressants and ketamine-based therapies (intravenous ketamine or esketamine nasal spray) (</w:t>
      </w:r>
      <w:r>
        <w:rPr>
          <w:rFonts w:ascii="Arial" w:cs="Arial" w:eastAsia="Arial" w:hAnsi="Arial"/>
          <w:sz w:val="16"/>
          <w:szCs w:val="16"/>
          <w:i w:val="1"/>
          <w:iCs w:val="1"/>
          <w:color w:val="auto"/>
        </w:rPr>
        <w:t>KBT</w:t>
      </w:r>
      <w:r>
        <w:rPr>
          <w:rFonts w:ascii="Arial" w:cs="Arial" w:eastAsia="Arial" w:hAnsi="Arial"/>
          <w:sz w:val="16"/>
          <w:szCs w:val="16"/>
          <w:color w:val="auto"/>
        </w:rPr>
        <w:t>). In an exploratory 30-patient Phase 2a clinical study, PH10 was well-tolerated and, at microgram doses, demonstrated rapid-onset and sustained antidepressant effects,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psychological side effects or safety concerns often associated with KBT. Based on positive results from this exploratory Phase 2a study, we are preparing for Phase 2b clinical development of PH10 in late-2020, initially as a new stand-alone treatment for MDD. In a manner similar to the potential of AV-101, with its exceptional safety profile during clinical development to date, PH10 also has potential to change the current paradigm for treatment of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with KBT, which must be administered in a clinical setting, by enabling those who respond to such therapy to transition to more convenient home-based administration of PH10 to maintain the therapeutic benefits of KBT.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is also a first-in-class, rapid-acting CNS neuroactive nasal spray administered in microgram doses. We are initially developing PH94B initially for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which affects over 20 million Americans and, according to the NIH,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The person is afraid that he or she will be humiliated, judged, and rejected. The fear that people with SAD have in social situations is so strong that they feel it is beyond their ability to control. As a result, it gets in the way of going to work, attending school, or doing everyday things.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have performance anxiety instead. They feel physical symptoms of anxiety in performance situations, such as giving a speech, playing a sports game, or dancing or playing a musical instrument on stage. SAD usually starts during youth in people who are extremely shy. Without treatment, social anxiety disorder can last for many years or a lifetime and prevent a person from reaching his or her full potential.</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PH94B is fundamentally differentiated from all current treatments for SAD. PH94B activates nasal chemosensory receptors that, in turn, engage neural circuits that lead to rapid suppression of fear and anxiety. In clinical studies to date, PH94B has not shown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social interaction and public speaking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as-needed, on-demand treatment for SAD. Additional potential CNS indications for PH94B include, general anxiety disorder (</w:t>
      </w:r>
      <w:r>
        <w:rPr>
          <w:rFonts w:ascii="Arial" w:cs="Arial" w:eastAsia="Arial" w:hAnsi="Arial"/>
          <w:sz w:val="15"/>
          <w:szCs w:val="15"/>
          <w:i w:val="1"/>
          <w:iCs w:val="1"/>
          <w:color w:val="auto"/>
        </w:rPr>
        <w:t>GAD</w:t>
      </w:r>
      <w:r>
        <w:rPr>
          <w:rFonts w:ascii="Arial" w:cs="Arial" w:eastAsia="Arial" w:hAnsi="Arial"/>
          <w:sz w:val="15"/>
          <w:szCs w:val="15"/>
          <w:color w:val="auto"/>
        </w:rPr>
        <w:t>), peripartum anxiety, preoperative anxiety, panic disorder and post-traumatic stress disorder (</w:t>
      </w:r>
      <w:r>
        <w:rPr>
          <w:rFonts w:ascii="Arial" w:cs="Arial" w:eastAsia="Arial" w:hAnsi="Arial"/>
          <w:sz w:val="15"/>
          <w:szCs w:val="15"/>
          <w:i w:val="1"/>
          <w:iCs w:val="1"/>
          <w:color w:val="auto"/>
        </w:rPr>
        <w:t>PTSD</w:t>
      </w:r>
      <w:r>
        <w:rPr>
          <w:rFonts w:ascii="Arial" w:cs="Arial" w:eastAsia="Arial" w:hAnsi="Arial"/>
          <w:sz w:val="15"/>
          <w:szCs w:val="15"/>
          <w:color w:val="auto"/>
        </w:rPr>
        <w:t>).</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our current CNS product candidates, we have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discover and develop small molecule NCEs for our CNS pipeline or for out-licensing. To advance potential RM applications of our cardiac stem cell technology, we have sublicensed to BlueRock Therapeutics LP, a next generation cell therapy and RM company recently acquired by Bayer AG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collaborations or licensing transactions involving blood, cartilage, and/or liver cells derived from hPSCs for cell-based therapy, cell repair therapy, RM and/or tissue engineering.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2019, as filed with the SEC on June 25, 2019, and in Note 3 to the accompanying unaudited Condensed Consolidated Financial Statements included in Part 1,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substantially all of our time and efforts to developing our initial CNS product candidate, AV-101, from early nonclinical studies to our ongoing Phase 2 clinical development program in MDD, including the ELEVATE Study. In addition, we have devoted resources to stem cell technology research and development, bioassay development and small molecule drug development,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with the corollary initiatives of recruiting and retaining personnel and raising working capital. As disclosed above, during our fiscal year ended March 31, 2019, we acquired the rights to develop and commercialize PH94B and PH10 and are actively pursuing initiatives to advance their nonclinical and clinical development. As of September 30, 2019, we had an accumulated deficit of approximately $192.7 million. Our net loss for the six months ended September 30, 2019 and 2018 was approximately $11.5 million and $11.6 million, respectively, including $2.25 million in non-cash expense in 2018 for the acquisition of the PH94B license and the option to acquire a similar license for PH10. We expect losses to continue for the foreseeable future, as we finalize our ELEVATE Study, pursue further clinical development of AV-101 for the adjunctive treatment of MDD, PH94B for SAD, PH10 for MDD, and for additional CNS indications with respect to each of these drug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2019</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September 30, 2019, we continued to (i) advance nonclinical development, including manufacturing, and clinical development of AV-101 as a potential new generation antidepressant and as a potential new therapeutic alternative for several CNS indications with significant unmet need, (ii) advance the nonclinical, including manufacturing, and regulatory initiatives necessary to facilitate Phase 3 clinical development of PH94B for SAD and Phase 2 clinical development of PH10 for MDD, (iii) expand the regulatory and intellectual property foundation to support broad clinical development and, ultimately, commercialization of AV-101 in the U.S. and foreign markets, and (iv) on a limited basis, advance drug rescue applications of our stem cell technology to further expand our CNS pipeline.</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In particular, during the six months ended September 30, 2019, we continued to conduct the ELEVATE Study, for which the final patient was dosed at the end of September 2019, produced supplies of AV-101, and conducted and/or initiated certain Phase 3-enabling nonclinical studies involving AV-101.</w:t>
      </w:r>
    </w:p>
    <w:p>
      <w:pPr>
        <w:spacing w:after="0" w:line="1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Pursuant to our Material Transfer Cooperative Research and Development Agreement with the VA and our arrangements with Baylor, Baylor has recently completed dosing of healthy volunteer U.S. Military Veterans in the Baylor Study to define a dose-response relationship between AV-101 and relevant biomarkers related to NMDA receptor function and other biomarkers possibly related to suicidal ideation in U.S. Military Veterans.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pursue initiatives to secure a broad portfolio of patent protection for AV-101 that covers the treatment of multiple CNS indications, unit dose formulations of AV-101 effective to treat depression, and chemical synthesis methods. With respect to CNS treatments, we obtained patents in several countries for the treatment of depression and we are pursuing patent applications related to treatment of levodopa-induced dyskinesias, certain types of neuropathic pain, tinnitus and obsessive-compulsive disorder. Additional patent applications to other aspects of prognostic testing and treatment using AV-101 are under consideration.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recent and current fiscal years, we have pursued patent applications in the U.S., Australia, China, Europe, Japan and other selected countries and regions with significant commercial potential. Several of these patent applications, including a patent for treatment of MDD with AV-101 granted in Australia, were recently allowed or have been granted in the U.S. and other major pharmaceutical markets. Based on patent issuances or allowances to-date in several countries, we believe that pending counterpart patent applications related to AV-101 currently under review in other countries also are likely to be granted, although there can be no assurance that all pending applications will ultimately be granted.</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an exclusive license from Pherin to its portfolio of patent assets around PH94B, under clinical development for the treatment of SAD. Patents have issued in several countries, including the U.S., Australia, Canada, China, Europe, Japan, Korea and Mexico.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also have an exclusive license from Pherin to its portfolio of patent assets around PH10, under clinical development for the treatment of depressive disorders.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Patents in this portfolio have issued in the U.S., Australia, China, Europe, Japan and Hong Kong. Applications are pending in Canada, Korea and Mexico.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with AV-101, we plan to seek regulatory exclusivity in countries where this is available for the therapeutic use of PH94B, with initial emphasis on treating SAD as our lead indication, and for the therapeutic use of PH10, with our lead indication being the treatment of MDD.</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0E0E0E"/>
        </w:rPr>
        <w:t>We have obtained and are pursuing patent rights to the production of several types of stem cells and cells differentiated from those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Subsequent to the completion of our public offering of common stock in February 2019, which generated $11.5 million in gross proceeds to us, we have not completed any additional financing transactions during the six months ended September 30, 2019. As a matter of course, we continue to minimize, to the greatest extent possible, cash commitments and expenditures for both internal and external research and development and general and administrative services. To further advance the nonclinical and clinical development of AV-101, PH94B, PH10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2019 and 2018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September 30, 2019 and 2018 (amounts in thousands).</w:t>
      </w:r>
    </w:p>
    <w:p>
      <w:pPr>
        <w:spacing w:after="0" w:line="241"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484"/>
        </w:trPr>
        <w:tc>
          <w:tcPr>
            <w:tcW w:w="8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(7,432)</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(7,435)</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(5,336)</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(7,435)</w:t>
            </w:r>
          </w:p>
        </w:tc>
      </w:tr>
      <w:tr>
        <w:trPr>
          <w:trHeight w:val="216"/>
        </w:trPr>
        <w:tc>
          <w:tcPr>
            <w:tcW w:w="8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(5,650)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(7,719)</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reported no revenue for either the quarter ended September 30, 2019 or September 30, 2018 and we presently have no recurring revenue generating arrangements with respect to AV-101, PH94B, PH10 or other potential product candidates. While we may potentially receive payments or royalties in the future under our December 2016 BlueRock Agreement, which has been assumed by Bayer in connection with its acquisition of BlueRock, in the event certain performance-based milestones and commercial sales are achieved, there can be no assurance that the BlueRock Agreement will provide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 decreased from $5.3 million to $4.2 million for the quarters ended September 30, 2019 and 2018, respectively. Expense for the quarter ended September 30, 2018 included $2.25 million noncash expense associated with the acquisition of our license to develop and commercialize PH94B and an option to acquire a similar license for PH10, which was subsequently exercised. While this expense did not recur in the quarter ended September 30, 2019, we incurred increased expenses for the ELEVATE Study and various AV-101 nonclinical activities, including manufacturing additional quantities of AV-101 and other developmental studies, as well as nonclinical activities, including manufacturing, supporting the continuing development of PH94B and PH10. Additional noncash expenses included in research and development expense (excluding the noncash PH94B license and PH10 option acquisition in 2018), primarily stock-based compensation and depreciation, accounted for approximately $190,000 and $474,000 in the quarters ended September 30, 2019 and 2018, respectively. The following table indicates the primary components of research and development expense for each of the periods (amounts in thousands):</w:t>
      </w:r>
    </w:p>
    <w:p>
      <w:pPr>
        <w:spacing w:after="0" w:line="168"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Three Months Ended September</w:t>
      </w:r>
    </w:p>
    <w:p>
      <w:pPr>
        <w:spacing w:after="0" w:line="44"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PH94B and PH10 license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5,261</w:t>
            </w:r>
          </w:p>
        </w:tc>
        <w:tc>
          <w:tcPr>
            <w:tcW w:w="14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Salaries and benefits expense reported for the quarter ended September 30, 2018 includes a total of approximately $319,000 for bonus payments made to our Chief Medical Officer (</w:t>
      </w:r>
      <w:r>
        <w:rPr>
          <w:rFonts w:ascii="Arial" w:cs="Arial" w:eastAsia="Arial" w:hAnsi="Arial"/>
          <w:sz w:val="15"/>
          <w:szCs w:val="15"/>
          <w:i w:val="1"/>
          <w:iCs w:val="1"/>
          <w:color w:val="auto"/>
        </w:rPr>
        <w:t>CMO</w:t>
      </w:r>
      <w:r>
        <w:rPr>
          <w:rFonts w:ascii="Arial" w:cs="Arial" w:eastAsia="Arial" w:hAnsi="Arial"/>
          <w:sz w:val="15"/>
          <w:szCs w:val="15"/>
          <w:color w:val="auto"/>
        </w:rPr>
        <w:t>), Chief Scientific Officer (</w:t>
      </w:r>
      <w:r>
        <w:rPr>
          <w:rFonts w:ascii="Arial" w:cs="Arial" w:eastAsia="Arial" w:hAnsi="Arial"/>
          <w:sz w:val="15"/>
          <w:szCs w:val="15"/>
          <w:i w:val="1"/>
          <w:iCs w:val="1"/>
          <w:color w:val="auto"/>
        </w:rPr>
        <w:t>CSO</w:t>
      </w:r>
      <w:r>
        <w:rPr>
          <w:rFonts w:ascii="Arial" w:cs="Arial" w:eastAsia="Arial" w:hAnsi="Arial"/>
          <w:sz w:val="15"/>
          <w:szCs w:val="15"/>
          <w:color w:val="auto"/>
        </w:rPr>
        <w:t>) and members of our scientific staff during the quarter based on achievement of goals and objectives for the fiscal year ended March 31, 2018. Partially offsetting the absence of a comparable bonus amount in the quarter ended September 30, 2019 is the impact of salary increases granted to our CMO, CSO and members of our scientific staff effective in April 2019. Bonuses based on the achievement of goals and objectives for the fiscal year ended March 31, 2019 were accrued during that fiscal year and had no expense impact during the quarter ended September 30, 2019.</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expense reflects the amortization of option grants made to our CSO, CMO, scientific staff and certain consultants since June 2016, all earlier outstanding grants having become fully vested and amortized. Grants awarded after September 30, 2018 account for approximately $39,000 of expense in the quarter ended September 30, 2019. Stock-based compensation expense for the quarter ended September 30, 2018 included (i) the impact of new options granted to our CMO, CSO, and members of our scientific staff in early August 2018 which options were 25% vested upon grant and vest ratably until becoming fully-vested within two years thereafter, and (ii) the modification in late August 2018 of outstanding options held by our CMO, CSO and members of our scientific staff having exercise prices over $1.56 per share to reduce the exercise price to $1.50 per share, resulting in approximately $265,000 of expense attributable to the new option grants and modifications, including immediate recognition of $104,000 attributable to the modification of exercise prices. Expense attributable to recent option grants is generally being amortized over two-year to three-year vesting periods, with one-quarter of the grants made in August 2018 and May 2019 being immediately vested and expensed upon grant, in accordance with the terms of the respective grants.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 parties, in 2018, primarily by members of our Scientific Advisory Board and CNS Clinical and Regulatory Advisory Board. The increase in 2019 expense also reflects consulting and analytical services in support of our PH94B and PH10 initiatives.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various patent applications in the U.S. and numerous foreign countries with respect to AV-101 and our stem cell technology platform. Support of the intellectual property portfolios of PH94B and PH10 contributed only nominally to this expense in 2019.</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each of the quarters presented primarily reflects the costs of conducting the ELEVATE Study, including various CRO, investigator and clinical site costs, as well as expense incurred to manufacture additional quantities of AV-101 for use in future Phase 3-enabling nonclinical trials and clinical development of AV-101 for MDD and other potential CNS indications. In addition to increased ELEVATE Study costs in 2019, we have incurred further costs associated with various Phase 3-enabling initiatives and nonclinical studies.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Project expenses for the quarter ended September 30, 2019 related to PH94B and PH10 primarily reflect manufacturing and regulatory initiatives necessary to facilitate pivotal Phase 3 clinical development of PH94B for SAD and to facilitate Phase 2 development of PH10 for MDD. As disclosed earlier, noncash expense of $2.25 million in 2018 related to the acquisition of the PH94B license and PH10 option and represents the fair value of an aggregate of 1,630,435 unregistered shares of our common stock issued to Pherin in September 2018 under the terms of the license and option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 decreased to approximately $1.1 million, from approximately $2.2 million for the quarters ended September 30, 2019 and 2018, respectively. Noncash expense, $272,000 in the quarter ended September 30, 2019, decreased from $792,000 in the quarter ended September 30, 2018 primarily due to decreases in stock-based compensation and noncash components of investor and public relations expenses, while cash-based salaries and benefits decreased by $426,000. The following table indicates the primary components of general and administrative expense for each of the periods (amounts in thousands):</w:t>
      </w:r>
    </w:p>
    <w:p>
      <w:pPr>
        <w:spacing w:after="0" w:line="192"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Three Months Ended September</w:t>
      </w:r>
    </w:p>
    <w:p>
      <w:pPr>
        <w:spacing w:after="0" w:line="44"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2,171</w:t>
            </w:r>
          </w:p>
        </w:tc>
        <w:tc>
          <w:tcPr>
            <w:tcW w:w="14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benefits expense reported for the quarter ended September 30, 2018 includes a total of approximately $435,000 for bonus payments made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Vice President-Corporate Development (</w:t>
      </w:r>
      <w:r>
        <w:rPr>
          <w:rFonts w:ascii="Arial" w:cs="Arial" w:eastAsia="Arial" w:hAnsi="Arial"/>
          <w:sz w:val="16"/>
          <w:szCs w:val="16"/>
          <w:i w:val="1"/>
          <w:iCs w:val="1"/>
          <w:color w:val="auto"/>
        </w:rPr>
        <w:t>VP Corporate Development</w:t>
      </w:r>
      <w:r>
        <w:rPr>
          <w:rFonts w:ascii="Arial" w:cs="Arial" w:eastAsia="Arial" w:hAnsi="Arial"/>
          <w:sz w:val="16"/>
          <w:szCs w:val="16"/>
          <w:color w:val="auto"/>
        </w:rPr>
        <w:t>) and a non-officer member of our administrative staff during the quarter based on achievement of goals and objectives for the fiscal year ended March 31, 2018. Partially offsetting the absence of a comparable bonus amount in the quarter ended September 30, 2019 is the impact of salary increases granted to our CEO, CFO, VP-Corporate Development and a member of our administrative staff effective in April 2019. Bonuses based on the achievement of goals and objectives for the fiscal year ended March 31, 2019 were accrued during that fiscal year and had no expense impact during the quarter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Stock-based compensation expense reflects the amortization of option grants made to our CEO, CFO, VP Corporate Development, administrative staff, independent members of our Board and certain consultants since June 2016, all earlier grants having become fully vested and amortized. Grants awarded after September 30, 2018 account for approximately $89,000 of the expense in the quarter ended September 30, 2019. Stock-based compensation expense for the quarter ended September 30, 2018 included (i) the impact of new options granted to our CEO, CFO, VP-Corporate Development and a member of our administrative staff in early August 2018 which options were 25% vested upon grant and vest ratably until becoming fully-vested within two years thereafter, and</w:t>
      </w:r>
    </w:p>
    <w:p>
      <w:pPr>
        <w:spacing w:after="0" w:line="3" w:lineRule="exact"/>
        <w:rPr>
          <w:sz w:val="20"/>
          <w:szCs w:val="20"/>
          <w:color w:val="auto"/>
        </w:rPr>
      </w:pPr>
    </w:p>
    <w:p>
      <w:pPr>
        <w:jc w:val="both"/>
        <w:ind w:firstLine="8"/>
        <w:spacing w:after="0" w:line="291" w:lineRule="auto"/>
        <w:tabs>
          <w:tab w:leader="none" w:pos="27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modification in late August 2018 of outstanding options held by our CEO, CFO, VP-Corporate Development and a member of our administrative staff having exercise prices over $1.56 per share to reduce the exercise price to $1.50 per share, resulting in approximately $459,000 of expense attributable to the new option grants and modifications, including immediate recognition of $154,000 attributable to the modification of exercise prices. Expense attributable to recent option grants is generally being amortized over two-year to three-year vesting periods, with one-quarter of the grants made in August 2018, January 2019, May 2019 and September 2019 being immediately vested and expensed upon grant, in accordance with the terms of the respective grants.</w:t>
      </w:r>
    </w:p>
    <w:p>
      <w:pPr>
        <w:spacing w:after="0" w:line="17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Board fees represents fees paid as consideration for the Board and Board Committee services to the independent members of our Board. The 2019 increase reflects the addition of a new independent member to our Board in January 2019.</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Legal, accounting and other professional fees for the quarters ended September 30, 2019 and 2018 includes expense related to routine legal fees as well as the accounting expense related to the quarterly review of our financial statements. In 2019 and 2018, we also incurred $30,000 and $3,000, respectively, attributable to services provided by international business development consultants.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quarter ended September 30, 2019, in addition to cash fees and expenses we incurred for such activities, we recognized approximately $26,000 of noncash expense attributable to the amortization of the fair value of stock and warrants granted in the prior fiscal year to various corporate development, investor relations, and market awareness service providers. At September 30, 2019, the fair value of the securities granted has been fully amortized. In the quarter ended September 30, 2018, in addition to cash fees and expenses we incurred, we granted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non-cash expense of approximately $65,000. The balance of the fair value of the securities granted was recorded as a prepaid expense at September 30, 2018 and was amortized over the remaining period of the respective contracts.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both periods, travel expense reflects costs associated with management presentations and meetings held in multiple U.S. markets, and certain international markets in 2019,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both years.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net of interest expense, totaled $15,400 for the quarter ended September 30, 2019 compared to interest expense of $2,900 for the quarter ended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The following table indicates the primary components of interest income and expense for each of the periods (amounts in thousands):</w:t>
      </w:r>
    </w:p>
    <w:p>
      <w:pPr>
        <w:spacing w:after="0" w:line="235"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Three Months Ended September</w:t>
      </w:r>
    </w:p>
    <w:p>
      <w:pPr>
        <w:spacing w:after="0" w:line="44"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expense on premium financing and capital lease (2018)</w:t>
            </w:r>
          </w:p>
        </w:tc>
        <w:tc>
          <w:tcPr>
            <w:tcW w:w="8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7"/>
        </w:trPr>
        <w:tc>
          <w:tcPr>
            <w:tcW w:w="8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completion of our public offering in February 2019, which generated $11.5 million in gross proceeds to us, during the current fiscal year, we deposited a portion of the proceeds in interest-bearing cash equivalent accounts and earned interest income. Interest expense in both periods relates to interest paid on insurance premium financing notes and on a lease of office equipment treated as a capitalized lease in 2018 and as a financing lease subject to ASC 842 in 2019.</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$313,800 and $283,600 for the quarters ended September 30, 2019 and 2018,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2019 and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September 30, 2019 and 2018 (amounts in thousands).</w:t>
      </w:r>
    </w:p>
    <w:p>
      <w:pPr>
        <w:spacing w:after="0" w:line="218"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484"/>
        </w:trPr>
        <w:tc>
          <w:tcPr>
            <w:tcW w:w="8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(11,642)</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(11,647)</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(11,545)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(11,649)</w:t>
            </w:r>
          </w:p>
        </w:tc>
      </w:tr>
      <w:tr>
        <w:trPr>
          <w:trHeight w:val="216"/>
        </w:trPr>
        <w:tc>
          <w:tcPr>
            <w:tcW w:w="8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(12,161)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(12,206)</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reported no revenue for either the six months ended September 30, 2019 or 2018 and we presently have no recurring revenue generating arrangements with respect to AV-101, PH94B, PH10 or other potential product candidates. While we may potentially receive payments or royalties in the future under our December 2016 BlueRock Agreement in the event certain performance-based milestones and commercial sales are achieved, there can be no assurance that the BlueRock Agreement will provide revenue to us in the near term or at all.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 increased to $8.5 million compared to $8.0 million for the six months ended September 30, 2019 and 2018, respectively. Continuing expenses of the ELEVATE Study and various AV-101 nonclinical activities, including manufacturing additional quantities of AV-101 and other developmental studies, as well as nonclinical activities supporting the continuing development of PH94B for SAD and PH10 for MDD are the primary contributors to the increase in research and development expense, more than offsetting the $2.25 million noncash expense in the six months ended September 30, 2018 associated with the acquisition of our license to develop and commercialize PH94B and an option to acquire a similar license for PH10, which was subsequently exercised. Additional noncash expenses included in research and development expense (excluding the noncash PH94B license and PH10 option acquisition in 2018), primarily stock compensation and depreciation, accounted for approximately $607,000 and $729,000 in the six months ended September 30, 2019 and 2018, respectively. The following table indicates the primary components of research and development expense for each of the periods (amounts in thousands):</w:t>
      </w:r>
    </w:p>
    <w:p>
      <w:pPr>
        <w:spacing w:after="0" w:line="384"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PH94B and PH10 licenses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Salaries and benefits expense reported for the six months ended September 30, 2018 includes a total of approximately $319,000 for bonus payments made to our CMO, CSO and members of our scientific staff during the second quarter based on achievement of goals and objectives for the fiscal year ended March 31, 2018. Partially offsetting the absence of a comparable bonus amount in the six months ended September 30, 2019 is the impact of salary increases granted to our CMO, CSO and members of our scientific staff effective in April 2019. Bonuses based on the achievement of goals and objectives for the fiscal year ended March 31, 2019 were accrued during that fiscal year and had no expense impact during the six months ended September 30, 2019.</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expense reflects the amortization of option grants made to our CSO, CMO, scientific staff and certain consultants since June 2016, all earlier outstanding grants having become fully vested and amortized. Grants awarded after September 30, 2018 account for approximately $135,000 of expense in the six months ended September 30, 2019. Stock-based compensation expense for the six months ended September 30, 2018 included (i) the impact of new options granted to our CMO, CSO, and members of our scientific staff in early August 2018 which options were 25% vested upon grant and vest ratably until becoming fully-vested within two years thereafter, and (ii) the modification in late August 2018 of outstanding options held by our CMO, CSO and members of our scientific staff having exercise prices over $1.56 per share to reduce the exercise price to $1.50 per share, resulting in approximately $362,000 of expense attributable to the new option grants and modifications, including immediate recognition of $104,000 attributable to the modification of exercise prices. Expense attributable to recent option grants is generally being amortized over two-year to three-year vesting periods, with one-quarter of the grants made in August 2018 and May 2019 being immediately vested and expensed upon grant, in accordance with the terms of the respective grants.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 parties, in 2018, primarily by members of our Scientific Advisory Board and CNS Clinical and Regulatory Advisory Board. The increase in 2019 expense also reflects consulting and analytical services in support of our PH94B and PH10 initiatives.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various patent applications in the U.S. and numerous foreign countries with respect to AV-101 and our stem cell technology platform. Support of the intellectual property portfolios of PH94B and PH10 contributed only nominally to this expense in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each of the periods presented primarily reflects the costs of conducting the ELEVATE Study, including various CRO, investigator and clinical site costs, as well as expense incurred to manufacture additional quantities of AV-101 for use in future Phase 3-enabling nonclinical trials and clinical development of AV-101 for MDD and other potential CNS indications. In addition to increased ELEVATE Study costs in 2019, we have incurred further costs associated with various Phase 3-enabling initiatives and nonclinical studies.</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Expenses for the six months ended September 30, 2019 related to PH94B and PH10 primarily reflect manufacturing and regulatory initiatives necessary to facilitate pivotal Phase 3 clinical development of PH94B for SAD and to facilitate Phase 2 development of PH10 for MDD. As disclosed earlier, noncash expense of $2.25 million in 2018 related to the acquisition of the PH94B license and PH10 option and represents the fair value of an aggregate of 1,630,435 unregistered shares of our common stock issued to Pherin in September 2018 under the terms of the license and option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 decreased to approximately $3.1 million, from approximately $3.6 million for the six months ended September 30, 2019 and 2018, respectively. Noncash expense, $1,044,000 for the six months ended September 30, 2019, decreased from $1,295,000 for the six months ended September 30, 2018, primarily due to reductions in stock-based compensation and cash and noncash components of investor and public relations expenses, coupled with a decrease in cash-based salaries and benefits expense. The following table indicates the primary components of general and administrative expense for each of the periods (amounts in thousands):</w:t>
      </w:r>
    </w:p>
    <w:p>
      <w:pPr>
        <w:spacing w:after="0" w:line="192"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3,637</w:t>
            </w:r>
          </w:p>
        </w:tc>
        <w:tc>
          <w:tcPr>
            <w:tcW w:w="14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Salaries and benefits expense reported for the six months ended September 30, 2018 includes a total of approximately $435,000 for bonus payments made to our CEO, CFO, VP-Corporate Development and a non-officer member of our administrative staff during the second quarter based on achievement of goals and objectives for the fiscal year ended March 31, 2018. Partially offsetting the absence of a comparable bonus amount in the six months ended September 30, 2019 is the impact of salary increases granted to our CEO, CFO, VP-Corporate Development and a member of our administrative staff effective in April 2019. Bonuses based on the achievement of goals and objectives for the fiscal year ended March 31, 2019 were accrued during that fiscal year and had no expense impact during the six months ended September 30, 2019.</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Stock-based compensation expense reflects the amortization of option grants made to our CEO, CFO, VP Corporate Development, administrative staff, independent members of our Board and certain consultants since June 2016, all earlier grants having become fully vested and amortized. Grants awarded after September 30, 2018 account for approximately $274,000 of the expense in the six months ended September 30, 2019. Stock-based compensation expense for the six months ended September 30, 2018 included (i) the impact of new options granted to our CEO, CFO, VP-Corporate Development and a member of our administrative staff in early August 2018 which options were 25% vested upon grant and vest ratably until becoming fully-vested within two years thereafter, and</w:t>
      </w:r>
    </w:p>
    <w:p>
      <w:pPr>
        <w:spacing w:after="0" w:line="3" w:lineRule="exact"/>
        <w:rPr>
          <w:sz w:val="20"/>
          <w:szCs w:val="20"/>
          <w:color w:val="auto"/>
        </w:rPr>
      </w:pPr>
    </w:p>
    <w:p>
      <w:pPr>
        <w:jc w:val="both"/>
        <w:ind w:firstLine="8"/>
        <w:spacing w:after="0" w:line="291" w:lineRule="auto"/>
        <w:tabs>
          <w:tab w:leader="none" w:pos="27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modification in late August 2018 of outstanding options held by our CEO, CFO, VP-Corporate Development and a member of our administrative staff having exercise prices over $1.56 per share to reduce the exercise price to $1.50 per share, resulting in approximately $310,000 of expense attributable to the new option grants and modifications, including immediate recognition of $154,000 attributable to the modification of exercise prices. Expense attributable to recent option grants is generally being amortized over two-year to three-year vesting periods, with one-quarter of the grants made in August 2018, January 2019, May 2019 and September 2019 being immediately vested and expensed upon grant, in accordance with the terms of the respective grants.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 The 2019 increase reflects the addition of a new independent member to our Board in January 2019.</w:t>
      </w:r>
    </w:p>
    <w:p>
      <w:pPr>
        <w:spacing w:after="0" w:line="186"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Legal, accounting and other professional fees for the six months ended September 30, 2019 and 2018 includes expense related to routine legal fees as well as the accounting expense related to the annual audit of the prior year’s financial statements and the review of the quarterly financial statements for the current fiscal year. In 2019 and 2018, we also incurred $60,000 and $13,000, respectively, attributable to services provided by international business development consultants.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six months ended September 30, 2019, in addition to cash fees and expenses we incurred for such activities, we recognized $105,900 of noncash expense attributable to the amortization of the fair value of stock and warrants granted in the prior fiscal year to various corporate development, investor relations, and market awareness service providers. At September 30, 2019, the fair value of the securities granted has been fully amortized. In the six months ended September 30, 2018, in addition to cash fees and expenses, we granted an aggregate of 100,000 unregistered shares of our common stock to certain investor relations, market awareness and financial advisory service providers as full or partial compensation for their services and recognized noncash expense of approximately $123,000 representing the fair value of the stock at the time of issuance in the quarter ended June 30, 2018; in the quarter ended September 30, 2018 we granted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non-cash expense of approximately $65,000. The balance of the fair value of the securities granted was recorded as a prepaid expense and was amortized over the remaining period of the respective contracts, certain of which extended into 2019.</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both periods, travel expense reflects costs associated with management presentations and meetings held in multiple U.S. markets, and certain international markets in 2019,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both years.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4" w:lineRule="exact"/>
        <w:rPr>
          <w:sz w:val="20"/>
          <w:szCs w:val="20"/>
          <w:color w:val="auto"/>
        </w:rPr>
      </w:pPr>
    </w:p>
    <w:p>
      <w:pPr>
        <w:jc w:val="both"/>
        <w:spacing w:after="0" w:line="368" w:lineRule="auto"/>
        <w:rPr>
          <w:sz w:val="20"/>
          <w:szCs w:val="20"/>
          <w:color w:val="auto"/>
        </w:rPr>
      </w:pPr>
      <w:r>
        <w:rPr>
          <w:rFonts w:ascii="Arial" w:cs="Arial" w:eastAsia="Arial" w:hAnsi="Arial"/>
          <w:sz w:val="15"/>
          <w:szCs w:val="15"/>
          <w:color w:val="auto"/>
        </w:rPr>
        <w:t>Interest income, net of interest expense, totaled $31,900 for the six months ended September 30, 2019 compared to interest expense of $5,000 for the six months ended September 30, 2018. The following table indicates the primary components of interest income and expense for each of the periods (amounts in thousands):</w:t>
      </w:r>
    </w:p>
    <w:p>
      <w:pPr>
        <w:spacing w:after="0" w:line="112"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expense on premium financing and capital lease (2018)</w:t>
            </w:r>
          </w:p>
        </w:tc>
        <w:tc>
          <w:tcPr>
            <w:tcW w:w="8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7"/>
        </w:trPr>
        <w:tc>
          <w:tcPr>
            <w:tcW w:w="8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completion of our public offering in February 2019, which generated $11.5 million in gross proceeds to us, during the quarter ended June 30, 2019, we deposited a portion of the proceeds in interest-bearing cash equivalent accounts and earned interest income. Interest expense in both periods relates to interest paid on insurance premium financing notes and on a lease of office equipment treated as a capitalized lease in 2018 and as a financing lease subject to ASC 842 in 2019.</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$616,300 and $557,100 for the six months ended September 30, 2019 and 2018,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in May 1998 through September 30,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such as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At September 30, 2019, we had cash and cash equivalents of approximately $4.1 million. As disclosed in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the Condensed Consolidated Financial Statements included in Item 1 of this Report, since September 30, 2019, we have completed a self-placed private placement of units consisting of unregistered shares of our common stock and warrants to purchase unregistered shares of our common stock pursuant to which we have received cash proceeds of $600,000 (the </w:t>
      </w:r>
      <w:r>
        <w:rPr>
          <w:rFonts w:ascii="Arial" w:cs="Arial" w:eastAsia="Arial" w:hAnsi="Arial"/>
          <w:sz w:val="16"/>
          <w:szCs w:val="16"/>
          <w:i w:val="1"/>
          <w:iCs w:val="1"/>
          <w:color w:val="auto"/>
        </w:rPr>
        <w:t>Fall 2019 Private Placement</w:t>
      </w:r>
      <w:r>
        <w:rPr>
          <w:rFonts w:ascii="Arial" w:cs="Arial" w:eastAsia="Arial" w:hAnsi="Arial"/>
          <w:sz w:val="16"/>
          <w:szCs w:val="16"/>
          <w:color w:val="auto"/>
        </w:rPr>
        <w:t xml:space="preserve">). Nevertheless, we believe that our cash position at September 30, 2019, including the proceeds from the Fall 2019 Private Placement,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finalize our ELEVATE study, prepare for and launch a pivotal Phase 3 clinical trial of PH94B for SAD, prepare for additional Phase 2 clinical studies and certain nonclinical studies involving AV-101 and prepare for a Phase 2b clinical trial of PH10 for MDD, and raises substantial doubt that we can continue as a going concern. When necessary and advantageous, we plan to raise additional capital, primarily through the sale of our equity securities in one or more private placements to accredited investors or in public offerings.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is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8"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Six Months Ended September</w:t>
      </w:r>
    </w:p>
    <w:p>
      <w:pPr>
        <w:spacing w:after="0" w:line="21"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6350</wp:posOffset>
            </wp:positionV>
            <wp:extent cx="15659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5910"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r>
      <w:tr>
        <w:trPr>
          <w:trHeight w:val="22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w:t>
            </w: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40" w:type="dxa"/>
            <w:vAlign w:val="bottom"/>
          </w:tcPr>
          <w:p>
            <w:pPr>
              <w:spacing w:after="0"/>
              <w:rPr>
                <w:sz w:val="19"/>
                <w:szCs w:val="19"/>
                <w:color w:val="auto"/>
              </w:rPr>
            </w:pPr>
          </w:p>
        </w:tc>
      </w:tr>
      <w:tr>
        <w:trPr>
          <w:trHeight w:val="256"/>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6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25"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cash used in operations results primarily from the conduct of our ELEVATE Study, which commenced at the end of the fourth quarter of our fiscal year ended March 31, 2018, and the nonclinical advancement of PH94B and PH10. Cash used in investing activities in 2018 reflects the cost of tenant improvements at our office and laboratory facilities in South San Francisco, CA, substantially all of which were reimbursed by our landlord under the terms of our November 2016 lease extension, which reimbursement is reflected in operating activities. Cash provided by financing activities in 2018 reflects the first cash proceeds from our Summer 2018 Private Placement net of routine insurance premium financing note and lease payments in both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elsewhere in this Report.</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Annual Report on Form 10-K for our fiscal year ended March 31, 2019 filed with the Securities and Exchange Commission on June 25, 2019, we identified two material weaknesses in our internal control over financial reporting relating to (i) segregation of duties and (ii) the functionality of our accounting software. Management does not believe that these weaknesses have resulted in any deficient financial reporting and believes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2019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manufacturing and regulatory approval before any of them may be commercialized, and there can be no assurance that any of them will ever achieve regulatory approval. Any DR NCE we produce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6" w:lineRule="exact"/>
        <w:rPr>
          <w:sz w:val="20"/>
          <w:szCs w:val="20"/>
          <w:color w:val="auto"/>
        </w:rPr>
      </w:pPr>
    </w:p>
    <w:p>
      <w:pPr>
        <w:jc w:val="both"/>
        <w:ind w:left="660" w:hanging="652"/>
        <w:spacing w:after="0" w:line="30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FDA advisory committee may recommend, or the FDA may require, a REMS safety program as a condition of approval or post-approval;</w:t>
      </w:r>
    </w:p>
    <w:p>
      <w:pPr>
        <w:spacing w:after="0" w:line="247"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6" w:lineRule="exact"/>
        <w:rPr>
          <w:rFonts w:ascii="Arial" w:cs="Arial" w:eastAsia="Arial" w:hAnsi="Arial"/>
          <w:sz w:val="18"/>
          <w:szCs w:val="18"/>
          <w:color w:val="auto"/>
        </w:rPr>
      </w:pPr>
    </w:p>
    <w:p>
      <w:pPr>
        <w:ind w:left="660" w:right="20" w:hanging="652"/>
        <w:spacing w:after="0" w:line="33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FDA or the applicable foreign regulatory agency may determine that the manufacturing processes or facilities of third-party contract manufacturers with which we contract do not conform to applicable requirements, including current Good Manufacturing Practices (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 combination product with a drug primary mode of action generally</w:t>
      </w:r>
      <w:r>
        <w:rPr>
          <w:rFonts w:ascii="Arial" w:cs="Arial" w:eastAsia="Arial" w:hAnsi="Arial"/>
          <w:sz w:val="16"/>
          <w:szCs w:val="16"/>
          <w:color w:val="auto"/>
        </w:rPr>
        <w:t xml:space="preserve"> </w:t>
      </w:r>
      <w:r>
        <w:rPr>
          <w:rFonts w:ascii="Arial" w:cs="Arial" w:eastAsia="Arial" w:hAnsi="Arial"/>
          <w:sz w:val="16"/>
          <w:szCs w:val="16"/>
          <w:color w:val="231F20"/>
        </w:rPr>
        <w:t xml:space="preserve">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w:t>
      </w:r>
      <w:r>
        <w:rPr>
          <w:rFonts w:ascii="Arial" w:cs="Arial" w:eastAsia="Arial" w:hAnsi="Arial"/>
          <w:sz w:val="16"/>
          <w:szCs w:val="16"/>
          <w:color w:val="231F20"/>
        </w:rPr>
        <w:t xml:space="preserve"> </w:t>
      </w:r>
      <w:r>
        <w:rPr>
          <w:rFonts w:ascii="Arial" w:cs="Arial" w:eastAsia="Arial" w:hAnsi="Arial"/>
          <w:sz w:val="16"/>
          <w:szCs w:val="16"/>
          <w:color w:val="000000"/>
        </w:rPr>
        <w:t>combination products are subject to cGMP requirements applicable to both drugs and 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been granted Fast Track designation from the FDA for development of AV-101 for the adjunctive treatment of MDD and for the treatment of NP. However, these designations may not actually lead to faster development or regulatory review or approval processes for AV-101. Further, there is no guarantee the FDA will grant Fast Track designation for AV-101 as a treatment option for other CNS indications or for any of our other product candidates in the future.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However, these FDA Fast Track designations may not lead to a faster development or regulatory review or approval process for AV-101 and the FDA may withdraw Fast Track designation of AV-101 for either or both indications if it believes that the respective designation is no longer supported by data from our clinical development programs.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may apply for Fast Track designation for AV-101 as a treatment option for other CNS indications, and for our other product candidates. The FDA has broad discretion whether or not to grant a Fast Track designation, and even if we believe AV-101, PH94B, PH10 and/or other product candidates may be eligible for this designation, we cannot be sure that the review or approval will compare to conventional FDA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results of preclinical studies and early clinical trials of AV-101, PH94B, PH10 and/or our other future product candidates, if any, including positive results, may not be predictive of the results of later-stage clinical trials. AV-101, PH94B, PH10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our ELEVATE Study, any future clinical study of AV-101, one or more of the future Phase 3 clinical trials of PH94B for SAD or a future Phase 2 clinical trial of PH10 for MDD fail(s) to produce positive results, the development timeline and regulatory approval and commercialization prospects for AV-101, PH94B, or PH10 and, correspondingly, our business and financial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example, the results of planned clinical trials may be adversely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AV-101 are identified during the Baylor Study, other investigator-sponsored clinical trials, in our clinical trials of AV-101, including our ELEVATE study, or our clinical trials of PH94B or PH10, it may adversely affect or delay our clinical development and commercialization of AV-101, PH94B or PH10.</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clinical trials and could result in a more restrictive label or the delay or denial of regulatory approval. AV-101 was previously tested by the NIMH in the NIMH Study, is currently being tested by Baylor in the Baylor Study and may be subjected to testing in the future for other CNS indications in additional investigator-sponsored clinical trials.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the NIMH Study, if treatment-related SAEs or other undesirable side effects or safety concerns, or unexpected characteristics attributable to AV-101 are observed in the Baylor Study other investigator-sponsored clinical trials of AV-101, our clinical trials of AV-101, including our ELEVATE Study, or in our future clinical trials of PH94B or PH10, it may adversely affect or delay our clinical development and commercialization of AV-101, PH94B or PH10,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7"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PH94B, PH10 or other our product candidates could result in increased costs to us and could delay, prevent or limit our ability to generate revenue and continue our business.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our ELEVATE Study, at least two pivotal Phase 3 clinical trials, additional toxicology and other standard nonclinical and clinical safety studies, as well as certain standard smaller clinical studies prior to the submission of any NDA for regulatory approval for AV-101 as an add-on treatment for MDD in patients with an inadequate response to current ADs, or any other CNS indication. Similarly, 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on-demand treatment for SAD or any CNS other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treatment for MDD, or any other CNS indication. Successful completion of our nonclinical and clinical trials is a prerequisite to submitting an NDA and, consequently, the ultimate approval required before commercial marketing of any product candidate we may develop. Except as disclosed herein, we do not know whether the Baylor Study, our ELEVATE Study or any of our future-planned nonclinical and clinical trials of AV-101, PH94B, PH10 or any other product candidate will be completed on schedule, if at all, as the commencement and completion of nonclinical and clinical trials can be delayed or prevented for a number of reasons, including, among others:</w:t>
      </w:r>
    </w:p>
    <w:p>
      <w:pPr>
        <w:spacing w:after="0" w:line="391" w:lineRule="exact"/>
        <w:rPr>
          <w:sz w:val="20"/>
          <w:szCs w:val="20"/>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4" w:lineRule="exact"/>
        <w:rPr>
          <w:rFonts w:ascii="Arial" w:cs="Arial" w:eastAsia="Arial" w:hAnsi="Arial"/>
          <w:sz w:val="18"/>
          <w:szCs w:val="18"/>
          <w:color w:val="auto"/>
        </w:rPr>
      </w:pPr>
    </w:p>
    <w:p>
      <w:pPr>
        <w:ind w:left="660" w:hanging="652"/>
        <w:spacing w:after="0" w:line="3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0"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difficulties obtaining Institutional Review Board (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5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ectPr>
          <w:pgSz w:w="11900" w:h="16838" w:orient="portrait"/>
          <w:cols w:equalWidth="0" w:num="1">
            <w:col w:w="11420"/>
          </w:cols>
          <w:pgMar w:left="240" w:top="131" w:right="23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221"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AV-101, PH94B, PH10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AV-101, PH94B, PH10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PH94B, PH10 or other product candidates may be harmed and our ability to generate product revenue will be delayed.</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AV-101, PH94B, PH10 or other future product candidates may be delayed and we may not be able to obtain regulatory approval for or commercialize AV-101, PH94B, PH10 or other future product candidates and our business could be substantially harmed.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By strategic design, we do not have the internal staff resources to independently conduct nonclinical and clinical trials of our product candidates completely on our own. We rely on our extensive network of strategic relationships with various academic research centers, medical institutions, nonclinical and clinical investigators, contract laboratories and other third parties, such as CROs,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Baylor or other independent investigators does not relieve us of our regulatory responsibilities. We and our CROs, Baylor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Baylor or the VA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4" w:lineRule="exact"/>
        <w:rPr>
          <w:sz w:val="20"/>
          <w:szCs w:val="20"/>
          <w:color w:val="auto"/>
        </w:rPr>
      </w:pPr>
    </w:p>
    <w:p>
      <w:pPr>
        <w:jc w:val="both"/>
        <w:spacing w:after="0" w:line="368"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currently have, nor do we plan to acquire or develop, internal infrastructure or technical capabilities to manufacture, formulate,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AV-101, PH94B and PH10 API and AV-101, PH94B and PH10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AV-101, PH94B and PH10 API and finished drug product, that conforms to our specifications and the strict regulatory requirements of the FDA or applicable foreign regulatory agencies, production of sufficient supplies of our product candidates, including AV-101, PH94B and PH10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PH94B and PH10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With respect to AV-101, PH94B and PH10, we do not yet have long-term supply agreements in place with our CMOs and each batch of AV-101, PH94B and PH10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AV-101, PH94B and PH10 API and finished drug product will be adequate to support our planned nonclinical and clinical studies of AV-101, PH94B and PH10, no assurance can be given that unanticipated supply shortages or CMO-related delays in the manufacture and formulation of AV-101, PH94B or PH10 API and/or finished drug product will not occur in the future.</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anf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Even if we receive marketing approval for AV-101, PH94B, PH10 or any other product candidate in the U.S., we may never receive regulatory approval to market AV-101, PH94B, PH10 or any other product candidate outside of the U.S.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market AV-101, PH94B, PH10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AV-101, PH94B and PH10 will not be regulated as controlled substances.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5" w:lineRule="exact"/>
        <w:rPr>
          <w:sz w:val="20"/>
          <w:szCs w:val="20"/>
          <w:color w:val="auto"/>
        </w:rPr>
      </w:pPr>
    </w:p>
    <w:p>
      <w:pPr>
        <w:ind w:left="660" w:hanging="652"/>
        <w:spacing w:after="0" w:line="3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0"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4"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20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5"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on-demand treatment for SAD having the same mechanism of pharmacological action and safety profile as our PH94B.</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ADs, we believe our principal competitors may be Axsome’s AX-05,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benzodiazepines such as alprazolam, and beta blockers such as propranolol.</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Eli Lilly, GlaxoSmithKline, IntraCellular, Janssen, Lundbeck, Merck, Novartis, Ono, Otsuka, Pfizer,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a sublingual formulation of the sodium channel blocker riluzole in development by Biohaven.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MDD, and we are planning for Phase 2a studies of AV-101 for treatment of NP and LID, for Phase 3 development of PH94B for on-demand treatment of SAD, and a Phase 2b study of PH10 for treatment of MDD, we may fail to pursue additional development opportunities for AV-101, PH94B or PH10,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PH94B and PH10, with additional limited focus on NCE DR and, through a third-party collaboration, RM. As a result, we may forego or delay pursuit of opportunities with other product candidates or for other potential CNS-related indications for AV-101, PH94B and/or PH10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1" w:lineRule="exact"/>
        <w:rPr>
          <w:sz w:val="20"/>
          <w:szCs w:val="20"/>
          <w:color w:val="auto"/>
        </w:rPr>
      </w:pPr>
    </w:p>
    <w:p>
      <w:pPr>
        <w:jc w:val="both"/>
        <w:ind w:left="660" w:hanging="652"/>
        <w:spacing w:after="0" w:line="30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58" w:lineRule="exact"/>
        <w:rPr>
          <w:rFonts w:ascii="Arial" w:cs="Arial" w:eastAsia="Arial" w:hAnsi="Arial"/>
          <w:sz w:val="16"/>
          <w:szCs w:val="16"/>
          <w:color w:val="auto"/>
        </w:rPr>
      </w:pPr>
    </w:p>
    <w:p>
      <w:pPr>
        <w:jc w:val="both"/>
        <w:ind w:left="660" w:hanging="652"/>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660" w:hanging="652"/>
        <w:spacing w:after="0" w:line="30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8"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8" w:lineRule="exact"/>
        <w:rPr>
          <w:rFonts w:ascii="Arial" w:cs="Arial" w:eastAsia="Arial" w:hAnsi="Arial"/>
          <w:sz w:val="18"/>
          <w:szCs w:val="18"/>
          <w:color w:val="auto"/>
        </w:rPr>
      </w:pPr>
    </w:p>
    <w:p>
      <w:pPr>
        <w:jc w:val="both"/>
        <w:ind w:left="660" w:hanging="652"/>
        <w:spacing w:after="0" w:line="334"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42" w:lineRule="exact"/>
        <w:rPr>
          <w:rFonts w:ascii="Arial" w:cs="Arial" w:eastAsia="Arial" w:hAnsi="Arial"/>
          <w:sz w:val="15"/>
          <w:szCs w:val="15"/>
          <w:color w:val="auto"/>
        </w:rPr>
      </w:pPr>
    </w:p>
    <w:p>
      <w:pPr>
        <w:ind w:left="660" w:hanging="652"/>
        <w:spacing w:after="0" w:line="26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PH94B and PH10,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4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development stage biopharmaceutical company. Although we have one drug candidate in Phase 2 development and are preparing to advance another drug candidate into Phase 2 development and a third drug candidate into pivotal Phase 3 clinical trials,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7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AV-101, PH94B, PH10 and/or other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4"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DR NCEs using our stem cell technology, and we cannot provide any assurance that we will successfully develop and commercialize AV-101, PH94B, PH10 or acquire or license additional product candidates or discover and develop DR NCEs, or that, if produced, AV-101, PH94B, PH10 or any other product candidate will be successfully commercialized.</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PH94B, PH10,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PH94B, PH10,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 NCEs and no operating history with respect to the production of DR NCEs, and we may never be able to produce a DR NCE.</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If we are unable to develop and commercialize AV-101, PH94B, PH10 or acquire or license additional product candidates, or produce suitable DR NCEs, we may not be able to generate sufficient revenues to execute our business plan, which likely would result in significant harm to our financial position and results of operations, which could adversely impact our stock price.</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With respect to DR,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 NCEs, independently or with partners, including:</w:t>
      </w:r>
    </w:p>
    <w:p>
      <w:pPr>
        <w:spacing w:after="0" w:line="18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identify potential DR candidates in the public domain, obtain sufficient quantities of them, and assess them using our bioassay systems;</w:t>
      </w:r>
    </w:p>
    <w:p>
      <w:pPr>
        <w:spacing w:after="0" w:line="247" w:lineRule="exact"/>
        <w:rPr>
          <w:rFonts w:ascii="Arial" w:cs="Arial" w:eastAsia="Arial" w:hAnsi="Arial"/>
          <w:sz w:val="16"/>
          <w:szCs w:val="16"/>
          <w:color w:val="auto"/>
        </w:rPr>
      </w:pPr>
    </w:p>
    <w:p>
      <w:pPr>
        <w:ind w:left="660" w:right="20" w:hanging="652"/>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seek to rescue DR candidates that are not available to us in the public domain, the extent to which third parties may be willing to out-license or sell certain DR candidates to us on commercially reasonable terms;</w:t>
      </w:r>
    </w:p>
    <w:p>
      <w:pPr>
        <w:spacing w:after="0" w:line="186"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6" w:lineRule="exact"/>
        <w:rPr>
          <w:rFonts w:ascii="Arial" w:cs="Arial" w:eastAsia="Arial" w:hAnsi="Arial"/>
          <w:sz w:val="18"/>
          <w:szCs w:val="18"/>
          <w:color w:val="auto"/>
        </w:rPr>
      </w:pPr>
    </w:p>
    <w:p>
      <w:pPr>
        <w:ind w:left="660" w:right="20" w:hanging="652"/>
        <w:spacing w:after="0" w:line="33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 NCEs internally, or, if we sell or out-license them to partners, the resources such partners choose to dedicate to development and commercialization of any DR NCEs they acquire or license from us.</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do acquire additional product candidates or produce proprietary DR NCEs, we can give no assurance that we will be able to develop and commercialize them as marketable drugs, on our own or in collaboration with others. Before we generate any revenues from AV-101, PH94B, PH10 or additional acquired or licensed products candidates or any DR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 candidates and DR NCEs, then our DR programs will be adversely affected.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Success of our subsidiary, VistaStem,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 candidates and DR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 business will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 will be limited and our DR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 NCEs for which there proves to be no demand.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generate revenue from our DR activities, we must produce proprietary DR NCEs for which there proves to be demand within the healthcare marketplace, and, if we intend to out-license a particular DR NCE for development and commercialization prior to market approval, then also among pharmaceutical companies and other potential collaborators. However, we may produce DR NCEs for which there proves to be no or limited demand in the healthcare market and/or among pharmaceutical companies and others. If we misinterpret market conditions, underestimate development costs and/or seek to rescue the wrong DR candidates, we may fail to generate sufficient revenue or other value, on our own or in collaboration with others, to justify our investments, and our DR business may be adversely affected.</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 candidates and DR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 and RM business opportunities and results of operations.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3"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0" w:lineRule="exact"/>
        <w:rPr>
          <w:sz w:val="20"/>
          <w:szCs w:val="20"/>
          <w:color w:val="auto"/>
        </w:rPr>
      </w:pPr>
    </w:p>
    <w:p>
      <w:pPr>
        <w:jc w:val="both"/>
        <w:spacing w:after="0" w:line="368"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$24.6 million and $14.3 million during our fiscal years ended March 31, 2019 and 2018, respectively, and approximately $11.5 million for the six months ended September 30, 2019. At September 30, 2019, we had an accumulated deficit of approximately $192.7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PH94B, PH10 or another future product candidate, or we enter into one or more development and commercialization agreements with respect to AV-101, PH94B, PH10 or one or more other future product candidates. Our ability to generate revenue depends on a number of factors, including, but not limited to, our ability to:</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7"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audited consolidated financial statements for the year ended March 31, 2019 included in our Annual Report on Form 10-K for the year ended March 31, 2019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preparation for and launch of our ELEVATE Study, as well as research and development and regulatory expenses related to the production of PH94B and PH10 and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 and our cardiac stem cell technology for potential RM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September 30, 2019, we had cash and cash equivalents of approximately $4.1 million. We do not believe this amount alone is sufficient to enable us to fund our planned operations for at least the twelve months following the issuance of the financial statements included elsewhere in this Report. We expect to seek additional capital to produce PH94B study material, conduct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Most recently, we completed dosing patients enrolled in the ELEVATE Study, and we expect to report top line results from the ELEVATE Study by the end of 2019. If the results of the ELEVATE Study are supportive of further clinical studies, including a larger, Phase 3 pivotal study, we will experience a substantial increase in research and development costs. This, in turn, will require that we seek additional capital that may result in debt or dilution to our current stockholders. Even if the results of the ELEVATE Study do not warrant additional clinical development of AV-101 as an add-on treatment for MDD, we will continue to incur costs associated with other development programs for AV-101, as well as PH94B and PH10.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2019 and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so long as the market value of our common stock held by non-affiliates remains below $75 million.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jc w:val="both"/>
        <w:spacing w:after="0" w:line="368"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2019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of March 31, 2019, we had federal and state net operating loss carryforwards of approximately $109.0 million and $63.6 million, respectively, which begin to expire in fiscal 2020.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PH94B, PH10, any DR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PH94B, PH10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current political environment in the U.S. has led many incumbents and political candidates to propose various measures to reduce the prices for pharmaceuticals. As we near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AV-101, PH94B, PH10 and also to hPSC technology.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own and have licensed issued and allowed patents and patent applications relating to AV-101, PH94B and PH10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8"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were evaluated in early (often pre-clinical) studies. In addition, even some reports in the trade press and public announcements made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in our two granted U.S. patents related to (i) unit dose formulations of AV-101 effective to treat depression and (ii) methods of treating depression with AV-101, respectively. However, it was submitted in our pending AV-101 patent applications that make similar claims, and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sectPr>
          <w:pgSz w:w="11900" w:h="16838" w:orient="portrait"/>
          <w:cols w:equalWidth="0" w:num="1">
            <w:col w:w="11420"/>
          </w:cols>
          <w:pgMar w:left="240" w:top="131" w:right="23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5"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spacing w:after="0" w:line="195" w:lineRule="exact"/>
        <w:rPr>
          <w:sz w:val="20"/>
          <w:szCs w:val="20"/>
          <w:color w:val="auto"/>
        </w:rPr>
      </w:pPr>
    </w:p>
    <w:p>
      <w:pPr>
        <w:jc w:val="both"/>
        <w:spacing w:after="0" w:line="36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AV-101, PH94B or PH10,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4" w:lineRule="exact"/>
        <w:rPr>
          <w:sz w:val="20"/>
          <w:szCs w:val="20"/>
          <w:color w:val="auto"/>
        </w:rPr>
      </w:pPr>
    </w:p>
    <w:p>
      <w:pPr>
        <w:jc w:val="both"/>
        <w:ind w:left="660" w:hanging="652"/>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issued patents related to AV-101, PH94B, PH10 or any pending patent applications, if issued and challenged by others, will include or maintain claims having a scope sufficient to protect AV-101, PH94B, PH10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6"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20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17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7" w:lineRule="exact"/>
        <w:rPr>
          <w:rFonts w:ascii="Arial" w:cs="Arial" w:eastAsia="Arial" w:hAnsi="Arial"/>
          <w:sz w:val="16"/>
          <w:szCs w:val="16"/>
          <w:color w:val="auto"/>
        </w:rPr>
      </w:pPr>
    </w:p>
    <w:p>
      <w:pPr>
        <w:ind w:left="660" w:hanging="652"/>
        <w:spacing w:after="0" w:line="26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subject to claims challenging the inventorship or ownership of our patents and other intellectual property.</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4" w:lineRule="exact"/>
        <w:rPr>
          <w:rFonts w:ascii="Arial" w:cs="Arial" w:eastAsia="Arial" w:hAnsi="Arial"/>
          <w:sz w:val="18"/>
          <w:szCs w:val="18"/>
          <w:color w:val="auto"/>
        </w:rPr>
      </w:pPr>
    </w:p>
    <w:p>
      <w:pPr>
        <w:ind w:left="660" w:right="20" w:hanging="652"/>
        <w:spacing w:after="0" w:line="26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6"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1"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AV-101, PH94B or PH10 is used in another drug company’s product candidate and that product candidate is the first to obtain FDA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8"/>
          <w:szCs w:val="18"/>
          <w:i w:val="1"/>
          <w:iCs w:val="1"/>
          <w:color w:val="auto"/>
        </w:rPr>
        <w:t>Mayo Collaborative Services, DBA Mayo</w:t>
      </w:r>
      <w:r>
        <w:rPr>
          <w:rFonts w:ascii="Arial" w:cs="Arial" w:eastAsia="Arial" w:hAnsi="Arial"/>
          <w:sz w:val="18"/>
          <w:szCs w:val="18"/>
          <w:color w:val="auto"/>
        </w:rPr>
        <w:t xml:space="preserve"> </w:t>
      </w:r>
      <w:r>
        <w:rPr>
          <w:rFonts w:ascii="Arial" w:cs="Arial" w:eastAsia="Arial" w:hAnsi="Arial"/>
          <w:sz w:val="18"/>
          <w:szCs w:val="18"/>
          <w:i w:val="1"/>
          <w:iCs w:val="1"/>
          <w:color w:val="auto"/>
        </w:rPr>
        <w:t>Medical Laboratories, et al. v. Prometheus Laboratories, Inc.</w:t>
      </w:r>
      <w:r>
        <w:rPr>
          <w:rFonts w:ascii="Arial" w:cs="Arial" w:eastAsia="Arial" w:hAnsi="Arial"/>
          <w:sz w:val="18"/>
          <w:szCs w:val="18"/>
          <w:color w:val="auto"/>
        </w:rPr>
        <w:t>, the Court held that several claims drawn to measuring drug metabolite levels from patient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8" w:lineRule="exact"/>
        <w:rPr>
          <w:sz w:val="20"/>
          <w:szCs w:val="20"/>
          <w:color w:val="auto"/>
        </w:rPr>
      </w:pPr>
    </w:p>
    <w:p>
      <w:pPr>
        <w:ind w:left="660" w:right="20" w:hanging="652"/>
        <w:spacing w:after="0" w:line="26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4" w:lineRule="exact"/>
        <w:rPr>
          <w:rFonts w:ascii="Arial" w:cs="Arial" w:eastAsia="Arial" w:hAnsi="Arial"/>
          <w:sz w:val="18"/>
          <w:szCs w:val="18"/>
          <w:color w:val="auto"/>
        </w:rPr>
      </w:pPr>
    </w:p>
    <w:p>
      <w:pPr>
        <w:ind w:left="660" w:hanging="652"/>
        <w:spacing w:after="0" w:line="26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ectPr>
          <w:pgSz w:w="11900" w:h="16838" w:orient="portrait"/>
          <w:cols w:equalWidth="0" w:num="1">
            <w:col w:w="11420"/>
          </w:cols>
          <w:pgMar w:left="240" w:top="131" w:right="239" w:bottom="6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52"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September 30, 2019; (ii) 4.0 million shares of Series B 10% Convertible Preferred stock, of which approximately 1.2 million shares remain issued and outstanding at September 30, 2019; and (iii) 3.0 million shares of Series C Convertible Preferred Stock, of which approximately 2.3 million shares are issued and outstanding at September 30, 2019.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2019 Private Placement</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Between October 30, 2019 and November 6, 2019, in a self-placed private placement and pursuant to subscription agreements from accredited investors, we sold to such investors units, at a purchase price of $1.00 per unit, consisting of an aggregate of 600,000 unregistered shares of our common stock and warrants, exercisable through November 1, 2023, to purchase 300,000 unregistered shares of our common stock at an exercise price of $2.00 per share. The purchasers of the units have no registration rights with respect to the shares of common stock, warrants or the shares of common stock issuable upon exercise of the warrants comprising the units sold. The warrants are not exercisable prior to six months and one day following issuance. We received aggregate cash proceeds of $600,000 from the sale of the units.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Proceeds from the offering will be used for general corporate purposes. The sales described above were made in reliance on Section 4(a)(2) of the Securities Act as transactions by an issuer not involving any public offering, Regulation D of the Securities Act, and/or Section 3(a)(9) under the Securities Act. In these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or directors of the Company or other persons closely associated with the Company, (ii) each investor made representations that he or she was an accredited investor as defined in Rule 501 of Regulation D under the Securities Act (and the Company had no reason to believe that such representations were incorrect), (iii) each purchaser gave assurance of investment intent, and (iv) offers and sales within the offering were made only to a limited number of persons.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4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7"/>
        </w:trPr>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Number</w:t>
            </w:r>
          </w:p>
        </w:tc>
        <w:tc>
          <w:tcPr>
            <w:tcW w:w="34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96"/>
        </w:trPr>
        <w:tc>
          <w:tcPr>
            <w:tcW w:w="680" w:type="dxa"/>
            <w:vAlign w:val="bottom"/>
            <w:gridSpan w:val="2"/>
            <w:shd w:val="clear" w:color="auto" w:fill="CCEEFF"/>
          </w:tcPr>
          <w:p>
            <w:pPr>
              <w:jc w:val="center"/>
              <w:ind w:left="292"/>
              <w:spacing w:after="0" w:line="17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Subscription Agreement for Fall 2019 Private Placement</w:t>
            </w:r>
          </w:p>
        </w:tc>
      </w:tr>
      <w:tr>
        <w:trPr>
          <w:trHeight w:val="216"/>
        </w:trPr>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2"/>
            <w:shd w:val="clear" w:color="auto" w:fill="CCEEFF"/>
          </w:tcPr>
          <w:p>
            <w:pPr>
              <w:jc w:val="center"/>
              <w:ind w:left="292"/>
              <w:spacing w:after="0" w:line="17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Warrant for Fall 2019 Private Placement</w:t>
            </w:r>
          </w:p>
        </w:tc>
      </w:tr>
      <w:tr>
        <w:trPr>
          <w:trHeight w:val="216"/>
        </w:trPr>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r>
      <w:tr>
        <w:trPr>
          <w:trHeight w:val="175"/>
        </w:trPr>
        <w:tc>
          <w:tcPr>
            <w:tcW w:w="680" w:type="dxa"/>
            <w:vAlign w:val="bottom"/>
            <w:gridSpan w:val="2"/>
            <w:shd w:val="clear" w:color="auto" w:fill="CCEEFF"/>
          </w:tcPr>
          <w:p>
            <w:pPr>
              <w:jc w:val="center"/>
              <w:ind w:left="292"/>
              <w:spacing w:after="0" w:line="176" w:lineRule="exact"/>
              <w:rPr>
                <w:sz w:val="20"/>
                <w:szCs w:val="20"/>
                <w:color w:val="auto"/>
              </w:rPr>
            </w:pPr>
            <w:r>
              <w:rPr>
                <w:rFonts w:ascii="Arial" w:cs="Arial" w:eastAsia="Arial" w:hAnsi="Arial"/>
                <w:sz w:val="18"/>
                <w:szCs w:val="18"/>
                <w:color w:val="auto"/>
                <w:w w:val="85"/>
              </w:rPr>
              <w:t>31.</w:t>
            </w:r>
            <w:r>
              <w:rPr>
                <w:rFonts w:ascii="Arial" w:cs="Arial" w:eastAsia="Arial" w:hAnsi="Arial"/>
                <w:sz w:val="18"/>
                <w:szCs w:val="18"/>
                <w:u w:val="single" w:color="auto"/>
                <w:color w:val="auto"/>
                <w:w w:val="85"/>
              </w:rPr>
              <w:t>1</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Certification of the Principal Executive Officer required by Rule 13a-14(a) under the Securities Exchange Act of 1934, as amended, as adopted</w:t>
            </w: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75"/>
        </w:trPr>
        <w:tc>
          <w:tcPr>
            <w:tcW w:w="680" w:type="dxa"/>
            <w:vAlign w:val="bottom"/>
            <w:gridSpan w:val="2"/>
            <w:shd w:val="clear" w:color="auto" w:fill="CCEEFF"/>
          </w:tcPr>
          <w:p>
            <w:pPr>
              <w:jc w:val="center"/>
              <w:ind w:left="292"/>
              <w:spacing w:after="0" w:line="176" w:lineRule="exact"/>
              <w:rPr>
                <w:sz w:val="20"/>
                <w:szCs w:val="20"/>
                <w:color w:val="auto"/>
              </w:rPr>
            </w:pPr>
            <w:r>
              <w:rPr>
                <w:rFonts w:ascii="Arial" w:cs="Arial" w:eastAsia="Arial" w:hAnsi="Arial"/>
                <w:sz w:val="18"/>
                <w:szCs w:val="18"/>
                <w:color w:val="auto"/>
                <w:w w:val="85"/>
              </w:rPr>
              <w:t>31.</w:t>
            </w:r>
            <w:r>
              <w:rPr>
                <w:rFonts w:ascii="Arial" w:cs="Arial" w:eastAsia="Arial" w:hAnsi="Arial"/>
                <w:sz w:val="18"/>
                <w:szCs w:val="18"/>
                <w:u w:val="single" w:color="auto"/>
                <w:color w:val="auto"/>
                <w:w w:val="85"/>
              </w:rPr>
              <w:t>2</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Certification of the Principal Financial Officer required by Rule 13a-14(a) under the Securities Exchange Act of 1934, as amended, as adopted</w:t>
            </w:r>
          </w:p>
        </w:tc>
      </w:tr>
      <w:tr>
        <w:trPr>
          <w:trHeight w:val="236"/>
        </w:trPr>
        <w:tc>
          <w:tcPr>
            <w:tcW w:w="3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r>
    </w:tbl>
    <w:p>
      <w:pPr>
        <w:spacing w:after="0" w:line="207" w:lineRule="exact"/>
        <w:rPr>
          <w:sz w:val="20"/>
          <w:szCs w:val="20"/>
          <w:color w:val="auto"/>
        </w:rPr>
      </w:pPr>
    </w:p>
    <w:p>
      <w:pPr>
        <w:ind w:left="1380" w:hanging="941"/>
        <w:spacing w:after="0" w:line="267" w:lineRule="auto"/>
        <w:tabs>
          <w:tab w:leader="none" w:pos="1380"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273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7368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101.INS</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r>
      <w:tr>
        <w:trPr>
          <w:trHeight w:val="216"/>
        </w:trPr>
        <w:tc>
          <w:tcPr>
            <w:tcW w:w="1120" w:type="dxa"/>
            <w:vAlign w:val="bottom"/>
          </w:tcPr>
          <w:p>
            <w:pPr>
              <w:ind w:left="200"/>
              <w:spacing w:after="0"/>
              <w:rPr>
                <w:sz w:val="20"/>
                <w:szCs w:val="20"/>
                <w:color w:val="auto"/>
              </w:rPr>
            </w:pPr>
            <w:r>
              <w:rPr>
                <w:rFonts w:ascii="Arial" w:cs="Arial" w:eastAsia="Arial" w:hAnsi="Arial"/>
                <w:sz w:val="18"/>
                <w:szCs w:val="18"/>
                <w:color w:val="auto"/>
              </w:rPr>
              <w:t>101.SCH</w:t>
            </w:r>
          </w:p>
        </w:tc>
        <w:tc>
          <w:tcPr>
            <w:tcW w:w="1030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101.CAL</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20" w:type="dxa"/>
            <w:vAlign w:val="bottom"/>
          </w:tcPr>
          <w:p>
            <w:pPr>
              <w:ind w:left="200"/>
              <w:spacing w:after="0"/>
              <w:rPr>
                <w:sz w:val="20"/>
                <w:szCs w:val="20"/>
                <w:color w:val="auto"/>
              </w:rPr>
            </w:pPr>
            <w:r>
              <w:rPr>
                <w:rFonts w:ascii="Arial" w:cs="Arial" w:eastAsia="Arial" w:hAnsi="Arial"/>
                <w:sz w:val="18"/>
                <w:szCs w:val="18"/>
                <w:color w:val="auto"/>
              </w:rPr>
              <w:t>101.DEF</w:t>
            </w:r>
          </w:p>
        </w:tc>
        <w:tc>
          <w:tcPr>
            <w:tcW w:w="103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101.LAB</w:t>
            </w:r>
          </w:p>
        </w:tc>
        <w:tc>
          <w:tcPr>
            <w:tcW w:w="10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120" w:type="dxa"/>
            <w:vAlign w:val="bottom"/>
          </w:tcPr>
          <w:p>
            <w:pPr>
              <w:ind w:left="220"/>
              <w:spacing w:after="0"/>
              <w:rPr>
                <w:sz w:val="20"/>
                <w:szCs w:val="20"/>
                <w:color w:val="auto"/>
              </w:rPr>
            </w:pPr>
            <w:r>
              <w:rPr>
                <w:rFonts w:ascii="Arial" w:cs="Arial" w:eastAsia="Arial" w:hAnsi="Arial"/>
                <w:sz w:val="18"/>
                <w:szCs w:val="18"/>
                <w:color w:val="auto"/>
              </w:rPr>
              <w:t>101.PRE</w:t>
            </w:r>
          </w:p>
        </w:tc>
        <w:tc>
          <w:tcPr>
            <w:tcW w:w="1030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6" w:lineRule="exact"/>
        <w:rPr>
          <w:sz w:val="20"/>
          <w:szCs w:val="20"/>
          <w:color w:val="auto"/>
        </w:rPr>
      </w:pPr>
    </w:p>
    <w:p>
      <w:pPr>
        <w:ind w:firstLine="175"/>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ectPr>
          <w:pgSz w:w="11900" w:h="16838" w:orient="portrait"/>
          <w:cols w:equalWidth="0" w:num="1">
            <w:col w:w="11420"/>
          </w:cols>
          <w:pgMar w:left="240" w:top="341" w:right="239" w:bottom="1440" w:gutter="0" w:footer="0" w:header="0"/>
        </w:sectPr>
      </w:pP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VistaGen Therapeutics, Inc., a Nevada corporation (the “</w:t>
      </w:r>
      <w:r>
        <w:rPr>
          <w:rFonts w:ascii="Arial" w:cs="Arial" w:eastAsia="Arial" w:hAnsi="Arial"/>
          <w:sz w:val="15"/>
          <w:szCs w:val="15"/>
          <w:i w:val="1"/>
          <w:iCs w:val="1"/>
          <w:color w:val="auto"/>
        </w:rPr>
        <w:t>Company</w:t>
      </w:r>
      <w:r>
        <w:rPr>
          <w:rFonts w:ascii="Arial" w:cs="Arial" w:eastAsia="Arial" w:hAnsi="Arial"/>
          <w:sz w:val="15"/>
          <w:szCs w:val="15"/>
          <w:color w:val="auto"/>
        </w:rPr>
        <w:t>”)</w:t>
      </w:r>
    </w:p>
    <w:p>
      <w:pPr>
        <w:spacing w:after="0" w:line="191"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Purchase of Units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167640</wp:posOffset>
            </wp:positionV>
            <wp:extent cx="7251065" cy="1955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1955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30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6"/>
          <w:szCs w:val="16"/>
          <w:b w:val="1"/>
          <w:bCs w:val="1"/>
          <w:color w:val="auto"/>
        </w:rPr>
        <w:t>Instructions:</w:t>
      </w:r>
      <w:r>
        <w:rPr>
          <w:sz w:val="20"/>
          <w:szCs w:val="20"/>
          <w:color w:val="auto"/>
        </w:rPr>
        <w:tab/>
      </w:r>
      <w:r>
        <w:rPr>
          <w:rFonts w:ascii="Arial" w:cs="Arial" w:eastAsia="Arial" w:hAnsi="Arial"/>
          <w:sz w:val="16"/>
          <w:szCs w:val="16"/>
          <w:color w:val="auto"/>
        </w:rPr>
        <w:t>Complete and sign this Subscription Agreement. Please be sure to initial the appropriate “Accredited Investor” category in Box C.</w:t>
      </w:r>
    </w:p>
    <w:p>
      <w:pPr>
        <w:spacing w:after="0" w:line="253" w:lineRule="exact"/>
        <w:rPr>
          <w:sz w:val="20"/>
          <w:szCs w:val="20"/>
          <w:color w:val="auto"/>
        </w:rPr>
      </w:pPr>
    </w:p>
    <w:p>
      <w:pPr>
        <w:ind w:left="20" w:right="20"/>
        <w:spacing w:after="0" w:line="267" w:lineRule="auto"/>
        <w:rPr>
          <w:sz w:val="20"/>
          <w:szCs w:val="20"/>
          <w:color w:val="auto"/>
        </w:rPr>
      </w:pPr>
      <w:r>
        <w:rPr>
          <w:rFonts w:ascii="Arial" w:cs="Arial" w:eastAsia="Arial" w:hAnsi="Arial"/>
          <w:sz w:val="18"/>
          <w:szCs w:val="18"/>
          <w:color w:val="auto"/>
        </w:rPr>
        <w:t>A completed and originally executed copy of, and the other documents required to be delivered with, this Subscription Agreement, must be delivered to the following address:</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Dotson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5580" w:hanging="413"/>
        <w:spacing w:after="0"/>
        <w:tabs>
          <w:tab w:leader="none" w:pos="55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577-3600</w:t>
      </w:r>
    </w:p>
    <w:p>
      <w:pPr>
        <w:spacing w:after="0" w:line="31" w:lineRule="exact"/>
        <w:rPr>
          <w:rFonts w:ascii="Arial" w:cs="Arial" w:eastAsia="Arial" w:hAnsi="Arial"/>
          <w:sz w:val="16"/>
          <w:szCs w:val="16"/>
          <w:color w:val="auto"/>
        </w:rPr>
      </w:pPr>
    </w:p>
    <w:p>
      <w:pPr>
        <w:ind w:left="4920"/>
        <w:spacing w:after="0"/>
        <w:rPr>
          <w:rFonts w:ascii="Arial" w:cs="Arial" w:eastAsia="Arial" w:hAnsi="Arial"/>
          <w:sz w:val="16"/>
          <w:szCs w:val="16"/>
          <w:color w:val="auto"/>
        </w:rPr>
      </w:pPr>
      <w:r>
        <w:rPr>
          <w:rFonts w:ascii="Arial" w:cs="Arial" w:eastAsia="Arial" w:hAnsi="Arial"/>
          <w:sz w:val="18"/>
          <w:szCs w:val="18"/>
          <w:u w:val="single" w:color="auto"/>
          <w:color w:val="0000FF"/>
        </w:rPr>
        <w:t>jdotson@vistagen.com</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jc w:val="both"/>
        <w:ind w:firstLine="8"/>
        <w:spacing w:after="0" w:line="287"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The undersigned (the “</w:t>
      </w:r>
      <w:r>
        <w:rPr>
          <w:rFonts w:ascii="Arial" w:cs="Arial" w:eastAsia="Arial" w:hAnsi="Arial"/>
          <w:sz w:val="16"/>
          <w:szCs w:val="16"/>
          <w:i w:val="1"/>
          <w:iCs w:val="1"/>
          <w:color w:val="auto"/>
        </w:rPr>
        <w:t>Subscriber</w:t>
      </w:r>
      <w:r>
        <w:rPr>
          <w:rFonts w:ascii="Arial" w:cs="Arial" w:eastAsia="Arial" w:hAnsi="Arial"/>
          <w:sz w:val="16"/>
          <w:szCs w:val="16"/>
          <w:color w:val="auto"/>
        </w:rPr>
        <w:t>”) hereby irrevocably subscribes for and agrees to purchase from the Company the number of units of the Company (“</w:t>
      </w:r>
      <w:r>
        <w:rPr>
          <w:rFonts w:ascii="Arial" w:cs="Arial" w:eastAsia="Arial" w:hAnsi="Arial"/>
          <w:sz w:val="16"/>
          <w:szCs w:val="16"/>
          <w:i w:val="1"/>
          <w:iCs w:val="1"/>
          <w:color w:val="auto"/>
        </w:rPr>
        <w:t>Units</w:t>
      </w:r>
      <w:r>
        <w:rPr>
          <w:rFonts w:ascii="Arial" w:cs="Arial" w:eastAsia="Arial" w:hAnsi="Arial"/>
          <w:sz w:val="16"/>
          <w:szCs w:val="16"/>
          <w:color w:val="auto"/>
        </w:rPr>
        <w:t>”) at the price and for the aggregate consideration set forth in Box A of Section 7 below (the “</w:t>
      </w:r>
      <w:r>
        <w:rPr>
          <w:rFonts w:ascii="Arial" w:cs="Arial" w:eastAsia="Arial" w:hAnsi="Arial"/>
          <w:sz w:val="16"/>
          <w:szCs w:val="16"/>
          <w:i w:val="1"/>
          <w:iCs w:val="1"/>
          <w:color w:val="auto"/>
        </w:rPr>
        <w:t>Subscription Price</w:t>
      </w:r>
      <w:r>
        <w:rPr>
          <w:rFonts w:ascii="Arial" w:cs="Arial" w:eastAsia="Arial" w:hAnsi="Arial"/>
          <w:sz w:val="16"/>
          <w:szCs w:val="16"/>
          <w:color w:val="auto"/>
        </w:rPr>
        <w:t>”). Each Unit will consist of (i) one share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(ii) a warrant to purchase one-half (1/2) of one unregistered share of the Company’s Common Stock (the “</w:t>
      </w:r>
      <w:r>
        <w:rPr>
          <w:rFonts w:ascii="Arial" w:cs="Arial" w:eastAsia="Arial" w:hAnsi="Arial"/>
          <w:sz w:val="16"/>
          <w:szCs w:val="16"/>
          <w:i w:val="1"/>
          <w:iCs w:val="1"/>
          <w:color w:val="auto"/>
        </w:rPr>
        <w:t>Warrant Shares</w:t>
      </w:r>
      <w:r>
        <w:rPr>
          <w:rFonts w:ascii="Arial" w:cs="Arial" w:eastAsia="Arial" w:hAnsi="Arial"/>
          <w:sz w:val="16"/>
          <w:szCs w:val="16"/>
          <w:color w:val="auto"/>
        </w:rPr>
        <w:t>”) of the Company at a price of Two Dollars ($2.00) per share (each warrant to purchase shares of Common Stock, a “</w:t>
      </w:r>
      <w:r>
        <w:rPr>
          <w:rFonts w:ascii="Arial" w:cs="Arial" w:eastAsia="Arial" w:hAnsi="Arial"/>
          <w:sz w:val="16"/>
          <w:szCs w:val="16"/>
          <w:i w:val="1"/>
          <w:iCs w:val="1"/>
          <w:color w:val="auto"/>
        </w:rPr>
        <w:t>Warrant</w:t>
      </w:r>
      <w:r>
        <w:rPr>
          <w:rFonts w:ascii="Arial" w:cs="Arial" w:eastAsia="Arial" w:hAnsi="Arial"/>
          <w:sz w:val="16"/>
          <w:szCs w:val="16"/>
          <w:color w:val="auto"/>
        </w:rPr>
        <w:t>”). The Warrants shall first become exercisable on May 2, 2020 and will expire on November 1, 2023. The Subscription Price for each Unit shall be equal to One Dollar ($1.00) per Unit. The Subscriber acknowledges that this Subscription Agreement is subject to acceptance by the Company on or before close of business on November 1, 2019 (the “</w:t>
      </w:r>
      <w:r>
        <w:rPr>
          <w:rFonts w:ascii="Arial" w:cs="Arial" w:eastAsia="Arial" w:hAnsi="Arial"/>
          <w:sz w:val="16"/>
          <w:szCs w:val="16"/>
          <w:i w:val="1"/>
          <w:iCs w:val="1"/>
          <w:color w:val="auto"/>
        </w:rPr>
        <w:t>Closing Date</w:t>
      </w:r>
      <w:r>
        <w:rPr>
          <w:rFonts w:ascii="Arial" w:cs="Arial" w:eastAsia="Arial" w:hAnsi="Arial"/>
          <w:sz w:val="16"/>
          <w:szCs w:val="16"/>
          <w:color w:val="auto"/>
        </w:rPr>
        <w:t>”). The Company may also accept this Subscription Agreement in part on or before the Closing Date. The Company agrees that if this Subscription Agreement is not accepted in part or in full on or before the Closing Date, any funds related to the portion of this Subscription Agreement not accepted will be promptly returned to the undersigned, without interest.</w:t>
      </w:r>
    </w:p>
    <w:p>
      <w:pPr>
        <w:spacing w:after="0" w:line="135" w:lineRule="exact"/>
        <w:rPr>
          <w:rFonts w:ascii="Arial" w:cs="Arial" w:eastAsia="Arial" w:hAnsi="Arial"/>
          <w:sz w:val="16"/>
          <w:szCs w:val="16"/>
          <w:color w:val="auto"/>
        </w:rPr>
      </w:pPr>
    </w:p>
    <w:p>
      <w:pPr>
        <w:ind w:right="20" w:firstLine="8"/>
        <w:spacing w:after="0" w:line="330" w:lineRule="auto"/>
        <w:tabs>
          <w:tab w:leader="none" w:pos="3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may also accept this Subscription Agreement in part. The Company and Subscriber agree that if this Subscription Agreement is not accepted in full, any funds related to the portion of this Subscription Agreement not accepted will be promptly returned to the Subscriber, without interest.</w:t>
      </w:r>
    </w:p>
    <w:p>
      <w:pPr>
        <w:spacing w:after="0" w:line="100" w:lineRule="exact"/>
        <w:rPr>
          <w:rFonts w:ascii="Arial" w:cs="Arial" w:eastAsia="Arial" w:hAnsi="Arial"/>
          <w:sz w:val="16"/>
          <w:szCs w:val="16"/>
          <w:color w:val="auto"/>
        </w:rPr>
      </w:pPr>
    </w:p>
    <w:p>
      <w:pPr>
        <w:jc w:val="both"/>
        <w:ind w:firstLine="8"/>
        <w:spacing w:after="0" w:line="258"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Warranties and Agreements</w:t>
      </w:r>
      <w:r>
        <w:rPr>
          <w:rFonts w:ascii="Arial" w:cs="Arial" w:eastAsia="Arial" w:hAnsi="Arial"/>
          <w:sz w:val="18"/>
          <w:szCs w:val="18"/>
          <w:color w:val="auto"/>
        </w:rPr>
        <w:t>. By executing this Subscription Agreement, the Subscriber represents, warrants and covenants (on its own behalf and, if applicable, on behalf of each beneficial purchaser for whom it is contracting hereunder) to the Company (and acknowledges that the Company is relying thereon) that:</w:t>
      </w:r>
    </w:p>
    <w:p>
      <w:pPr>
        <w:spacing w:after="0" w:line="221" w:lineRule="exact"/>
        <w:rPr>
          <w:rFonts w:ascii="Arial" w:cs="Arial" w:eastAsia="Arial" w:hAnsi="Arial"/>
          <w:sz w:val="18"/>
          <w:szCs w:val="18"/>
          <w:color w:val="auto"/>
        </w:rPr>
      </w:pPr>
    </w:p>
    <w:p>
      <w:pPr>
        <w:ind w:left="1060" w:hanging="405"/>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it is authorized to consummate the purchase of the Units;</w:t>
      </w:r>
    </w:p>
    <w:p>
      <w:pPr>
        <w:spacing w:after="0" w:line="251" w:lineRule="exact"/>
        <w:rPr>
          <w:rFonts w:ascii="Arial" w:cs="Arial" w:eastAsia="Arial" w:hAnsi="Arial"/>
          <w:sz w:val="18"/>
          <w:szCs w:val="18"/>
          <w:color w:val="auto"/>
        </w:rPr>
      </w:pPr>
    </w:p>
    <w:p>
      <w:pPr>
        <w:jc w:val="both"/>
        <w:ind w:firstLine="655"/>
        <w:spacing w:after="0" w:line="297" w:lineRule="auto"/>
        <w:tabs>
          <w:tab w:leader="none" w:pos="1067" w:val="left"/>
        </w:tabs>
        <w:numPr>
          <w:ilvl w:val="1"/>
          <w:numId w:val="29"/>
        </w:numPr>
        <w:rPr>
          <w:rFonts w:ascii="Arial" w:cs="Arial" w:eastAsia="Arial" w:hAnsi="Arial"/>
          <w:sz w:val="16"/>
          <w:szCs w:val="16"/>
          <w:color w:val="auto"/>
        </w:rPr>
      </w:pPr>
      <w:r>
        <w:rPr>
          <w:rFonts w:ascii="Arial" w:cs="Arial" w:eastAsia="Arial" w:hAnsi="Arial"/>
          <w:sz w:val="16"/>
          <w:szCs w:val="16"/>
          <w:color w:val="auto"/>
        </w:rPr>
        <w:t>it understands that the shares of Common Stock, the Warrants and the Warrant Shares (collectively, the “</w:t>
      </w:r>
      <w:r>
        <w:rPr>
          <w:rFonts w:ascii="Arial" w:cs="Arial" w:eastAsia="Arial" w:hAnsi="Arial"/>
          <w:sz w:val="16"/>
          <w:szCs w:val="16"/>
          <w:i w:val="1"/>
          <w:iCs w:val="1"/>
          <w:color w:val="auto"/>
        </w:rPr>
        <w:t>Securities</w:t>
      </w:r>
      <w:r>
        <w:rPr>
          <w:rFonts w:ascii="Arial" w:cs="Arial" w:eastAsia="Arial" w:hAnsi="Arial"/>
          <w:sz w:val="16"/>
          <w:szCs w:val="16"/>
          <w:color w:val="auto"/>
        </w:rPr>
        <w:t>”) have not been and will not be registered under the Securities Act of 1933 (the “</w:t>
      </w:r>
      <w:r>
        <w:rPr>
          <w:rFonts w:ascii="Arial" w:cs="Arial" w:eastAsia="Arial" w:hAnsi="Arial"/>
          <w:sz w:val="16"/>
          <w:szCs w:val="16"/>
          <w:i w:val="1"/>
          <w:iCs w:val="1"/>
          <w:color w:val="auto"/>
        </w:rPr>
        <w:t>Securities Act</w:t>
      </w:r>
      <w:r>
        <w:rPr>
          <w:rFonts w:ascii="Arial" w:cs="Arial" w:eastAsia="Arial" w:hAnsi="Arial"/>
          <w:sz w:val="16"/>
          <w:szCs w:val="16"/>
          <w:color w:val="auto"/>
        </w:rPr>
        <w:t>”), or any applicable state securities laws, and that the offer and sale of the Units and Warrants to it is being made in reliance on a private placement exemption available under Section 4(a)(2) of the Securities Act and Rule 506 of Regulation D under the Securities Act (“</w:t>
      </w:r>
      <w:r>
        <w:rPr>
          <w:rFonts w:ascii="Arial" w:cs="Arial" w:eastAsia="Arial" w:hAnsi="Arial"/>
          <w:sz w:val="16"/>
          <w:szCs w:val="16"/>
          <w:i w:val="1"/>
          <w:iCs w:val="1"/>
          <w:color w:val="auto"/>
        </w:rPr>
        <w:t>Regulation D</w:t>
      </w:r>
      <w:r>
        <w:rPr>
          <w:rFonts w:ascii="Arial" w:cs="Arial" w:eastAsia="Arial" w:hAnsi="Arial"/>
          <w:sz w:val="16"/>
          <w:szCs w:val="16"/>
          <w:color w:val="auto"/>
        </w:rPr>
        <w:t>”) to accredited investors (“</w:t>
      </w:r>
      <w:r>
        <w:rPr>
          <w:rFonts w:ascii="Arial" w:cs="Arial" w:eastAsia="Arial" w:hAnsi="Arial"/>
          <w:sz w:val="16"/>
          <w:szCs w:val="16"/>
          <w:i w:val="1"/>
          <w:iCs w:val="1"/>
          <w:color w:val="auto"/>
        </w:rPr>
        <w:t>Accredited Investors</w:t>
      </w:r>
      <w:r>
        <w:rPr>
          <w:rFonts w:ascii="Arial" w:cs="Arial" w:eastAsia="Arial" w:hAnsi="Arial"/>
          <w:sz w:val="16"/>
          <w:szCs w:val="16"/>
          <w:color w:val="auto"/>
        </w:rPr>
        <w:t>”), as defined in Rule 501(a) of Regulation 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8" w:name="page69"/>
    <w:bookmarkEnd w:id="68"/>
    <w:p>
      <w:pPr>
        <w:jc w:val="both"/>
        <w:ind w:firstLine="655"/>
        <w:spacing w:after="0" w:line="293" w:lineRule="auto"/>
        <w:tabs>
          <w:tab w:leader="none" w:pos="10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has reviewed copies of any documents considered by it to be important in making an investment decision whether to purchase the Units. In addition, it has had access to such additional information, if any, concerning the Company as it has considered necessary in connection with its investment decision to acquire the Units, and it acknowledges that it has been offered the opportunity to ask questions and receive answers from management of the Company concerning the terms and conditions of the offering of the Units, and to obtain any additional information which the Company possesses or can acquire without unreasonable effort or expense that is necessary to verify the accuracy of the information contained in any documents provided to it;</w:t>
      </w:r>
    </w:p>
    <w:p>
      <w:pPr>
        <w:spacing w:after="0" w:line="129" w:lineRule="exact"/>
        <w:rPr>
          <w:rFonts w:ascii="Arial" w:cs="Arial" w:eastAsia="Arial" w:hAnsi="Arial"/>
          <w:sz w:val="16"/>
          <w:szCs w:val="16"/>
          <w:color w:val="auto"/>
        </w:rPr>
      </w:pPr>
    </w:p>
    <w:p>
      <w:pPr>
        <w:ind w:firstLine="655"/>
        <w:spacing w:after="0" w:line="267" w:lineRule="auto"/>
        <w:tabs>
          <w:tab w:leader="none" w:pos="10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45" w:lineRule="exact"/>
        <w:rPr>
          <w:rFonts w:ascii="Arial" w:cs="Arial" w:eastAsia="Arial" w:hAnsi="Arial"/>
          <w:sz w:val="18"/>
          <w:szCs w:val="18"/>
          <w:color w:val="auto"/>
        </w:rPr>
      </w:pPr>
    </w:p>
    <w:p>
      <w:pPr>
        <w:jc w:val="both"/>
        <w:ind w:firstLine="655"/>
        <w:spacing w:after="0" w:line="255" w:lineRule="auto"/>
        <w:tabs>
          <w:tab w:leader="none" w:pos="10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an Accredited Investor acquiring the Units for its own account or, if the Units are to be purchased for one or more accounts (“</w:t>
      </w:r>
      <w:r>
        <w:rPr>
          <w:rFonts w:ascii="Arial" w:cs="Arial" w:eastAsia="Arial" w:hAnsi="Arial"/>
          <w:sz w:val="18"/>
          <w:szCs w:val="18"/>
          <w:i w:val="1"/>
          <w:iCs w:val="1"/>
          <w:color w:val="auto"/>
        </w:rPr>
        <w:t>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with respect to whom it is exercising sole investment discretion, each such investor account is an Accredited Investor on a like basis. In each case,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undersigned has completed the Accredited Investor Status questionnaire attached hereto to indicate under which category of Rule 501(a) the investor qualifies as an Accredited Investor;</w:t>
      </w:r>
    </w:p>
    <w:p>
      <w:pPr>
        <w:spacing w:after="0" w:line="157" w:lineRule="exact"/>
        <w:rPr>
          <w:rFonts w:ascii="Arial" w:cs="Arial" w:eastAsia="Arial" w:hAnsi="Arial"/>
          <w:sz w:val="18"/>
          <w:szCs w:val="18"/>
          <w:color w:val="auto"/>
        </w:rPr>
      </w:pPr>
    </w:p>
    <w:p>
      <w:pPr>
        <w:jc w:val="both"/>
        <w:ind w:firstLine="655"/>
        <w:spacing w:after="0" w:line="255" w:lineRule="auto"/>
        <w:tabs>
          <w:tab w:leader="none" w:pos="10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 may sell or otherwise dispose of any of the Units pursuant to registration thereof under the Securities Act and any applicable state securities laws or pursuant to an exemption from such registration requirements;</w:t>
      </w:r>
    </w:p>
    <w:p>
      <w:pPr>
        <w:spacing w:after="0" w:line="157" w:lineRule="exact"/>
        <w:rPr>
          <w:rFonts w:ascii="Arial" w:cs="Arial" w:eastAsia="Arial" w:hAnsi="Arial"/>
          <w:sz w:val="18"/>
          <w:szCs w:val="18"/>
          <w:color w:val="auto"/>
        </w:rPr>
      </w:pPr>
    </w:p>
    <w:p>
      <w:pPr>
        <w:ind w:firstLine="655"/>
        <w:spacing w:after="0" w:line="330" w:lineRule="auto"/>
        <w:tabs>
          <w:tab w:leader="none" w:pos="10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100" w:lineRule="exact"/>
        <w:rPr>
          <w:rFonts w:ascii="Arial" w:cs="Arial" w:eastAsia="Arial" w:hAnsi="Arial"/>
          <w:sz w:val="16"/>
          <w:szCs w:val="16"/>
          <w:color w:val="auto"/>
        </w:rPr>
      </w:pPr>
    </w:p>
    <w:p>
      <w:pPr>
        <w:jc w:val="both"/>
        <w:ind w:firstLine="655"/>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118" w:lineRule="exact"/>
        <w:rPr>
          <w:rFonts w:ascii="Arial" w:cs="Arial" w:eastAsia="Arial" w:hAnsi="Arial"/>
          <w:sz w:val="16"/>
          <w:szCs w:val="16"/>
          <w:color w:val="auto"/>
        </w:rPr>
      </w:pPr>
    </w:p>
    <w:p>
      <w:pPr>
        <w:jc w:val="both"/>
        <w:ind w:firstLine="655"/>
        <w:spacing w:after="0" w:line="254" w:lineRule="auto"/>
        <w:tabs>
          <w:tab w:leader="none" w:pos="10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Subscriber nor, to the extent it has them, any of its shareholders, members, managers, general or limited partners, directors, affiliates or executive officers (collectively with the Subscriber, the “</w:t>
      </w:r>
      <w:r>
        <w:rPr>
          <w:rFonts w:ascii="Arial" w:cs="Arial" w:eastAsia="Arial" w:hAnsi="Arial"/>
          <w:sz w:val="18"/>
          <w:szCs w:val="18"/>
          <w:i w:val="1"/>
          <w:iCs w:val="1"/>
          <w:color w:val="auto"/>
        </w:rPr>
        <w:t>Covered Persons</w:t>
      </w:r>
      <w:r>
        <w:rPr>
          <w:rFonts w:ascii="Arial" w:cs="Arial" w:eastAsia="Arial" w:hAnsi="Arial"/>
          <w:sz w:val="18"/>
          <w:szCs w:val="18"/>
          <w:color w:val="auto"/>
        </w:rPr>
        <w:t>”), are subject to any of the “Bad Actor” disqualifications described in Rule 506(d)(1)(i) to (viii) under the Securities Act (a “</w:t>
      </w:r>
      <w:r>
        <w:rPr>
          <w:rFonts w:ascii="Arial" w:cs="Arial" w:eastAsia="Arial" w:hAnsi="Arial"/>
          <w:sz w:val="18"/>
          <w:szCs w:val="18"/>
          <w:i w:val="1"/>
          <w:iCs w:val="1"/>
          <w:color w:val="auto"/>
        </w:rPr>
        <w:t>Disqualification Event</w:t>
      </w:r>
      <w:r>
        <w:rPr>
          <w:rFonts w:ascii="Arial" w:cs="Arial" w:eastAsia="Arial" w:hAnsi="Arial"/>
          <w:sz w:val="18"/>
          <w:szCs w:val="18"/>
          <w:color w:val="auto"/>
        </w:rPr>
        <w:t>”), except for a Disqualification Event covered by Rule 506(d)(2) or (d)(3). The Subscriber has exercised reasonable care to determine whether any Covered Person is subject to a Disqualification Event. The purchase of the Units by the Subscriber will not subject the Company to any Disqualification Event;</w:t>
      </w:r>
    </w:p>
    <w:p>
      <w:pPr>
        <w:spacing w:after="0" w:line="157" w:lineRule="exact"/>
        <w:rPr>
          <w:rFonts w:ascii="Arial" w:cs="Arial" w:eastAsia="Arial" w:hAnsi="Arial"/>
          <w:sz w:val="18"/>
          <w:szCs w:val="18"/>
          <w:color w:val="auto"/>
        </w:rPr>
      </w:pPr>
    </w:p>
    <w:p>
      <w:pPr>
        <w:jc w:val="both"/>
        <w:ind w:firstLine="655"/>
        <w:spacing w:after="0" w:line="288" w:lineRule="auto"/>
        <w:tabs>
          <w:tab w:leader="none" w:pos="10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Company, (B) outside the U.S. in accordance with Rule 904 of Regulation S under the Securities Act, (C) within the U.S. or to or for the account or benefit of a U.S. Person in accordance with an exemption from the registration requirements of the Securities Act and all applicable state securities laws, (D) in a transaction that does not require registration under the Securities Act or any applicable U.S. state securities laws or (E) 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Company a written opinion of counsel, reasonably satisfactory to the Company, prior to such sale or transfer;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69" w:name="page70"/>
    <w:bookmarkEnd w:id="69"/>
    <w:p>
      <w:pPr>
        <w:jc w:val="both"/>
        <w:ind w:firstLine="655"/>
        <w:spacing w:after="0" w:line="297"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 and of the fact that the undersigned may not be able to resell the Securities except in accordance with applicable securities legislation and regulations;</w:t>
      </w:r>
    </w:p>
    <w:p>
      <w:pPr>
        <w:spacing w:after="0" w:line="126" w:lineRule="exact"/>
        <w:rPr>
          <w:rFonts w:ascii="Arial" w:cs="Arial" w:eastAsia="Arial" w:hAnsi="Arial"/>
          <w:sz w:val="16"/>
          <w:szCs w:val="16"/>
          <w:color w:val="auto"/>
        </w:rPr>
      </w:pPr>
    </w:p>
    <w:p>
      <w:pPr>
        <w:ind w:left="1040" w:hanging="38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person has made to the Subscriber any written or oral representations:</w:t>
      </w:r>
    </w:p>
    <w:p>
      <w:pPr>
        <w:spacing w:after="0" w:line="183" w:lineRule="exact"/>
        <w:rPr>
          <w:rFonts w:ascii="Arial" w:cs="Arial" w:eastAsia="Arial" w:hAnsi="Arial"/>
          <w:sz w:val="18"/>
          <w:szCs w:val="18"/>
          <w:color w:val="auto"/>
        </w:rPr>
      </w:pPr>
    </w:p>
    <w:p>
      <w:pPr>
        <w:ind w:left="1680" w:hanging="379"/>
        <w:spacing w:after="0"/>
        <w:tabs>
          <w:tab w:leader="none" w:pos="1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any person will resell or repurchase any of the Securities;</w:t>
      </w:r>
    </w:p>
    <w:p>
      <w:pPr>
        <w:spacing w:after="0" w:line="183" w:lineRule="exact"/>
        <w:rPr>
          <w:rFonts w:ascii="Arial" w:cs="Arial" w:eastAsia="Arial" w:hAnsi="Arial"/>
          <w:sz w:val="18"/>
          <w:szCs w:val="18"/>
          <w:color w:val="auto"/>
        </w:rPr>
      </w:pPr>
    </w:p>
    <w:p>
      <w:pPr>
        <w:ind w:left="1740" w:hanging="439"/>
        <w:spacing w:after="0"/>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any person will refund the purchase price of the Securities; or</w:t>
      </w:r>
    </w:p>
    <w:p>
      <w:pPr>
        <w:spacing w:after="0" w:line="183" w:lineRule="exact"/>
        <w:rPr>
          <w:rFonts w:ascii="Arial" w:cs="Arial" w:eastAsia="Arial" w:hAnsi="Arial"/>
          <w:sz w:val="18"/>
          <w:szCs w:val="18"/>
          <w:color w:val="auto"/>
        </w:rPr>
      </w:pPr>
    </w:p>
    <w:p>
      <w:pPr>
        <w:ind w:left="1780" w:hanging="479"/>
        <w:spacing w:after="0"/>
        <w:tabs>
          <w:tab w:leader="none" w:pos="1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to the future price or value of any of the Securities;</w:t>
      </w:r>
    </w:p>
    <w:p>
      <w:pPr>
        <w:spacing w:after="0" w:line="183" w:lineRule="exact"/>
        <w:rPr>
          <w:rFonts w:ascii="Arial" w:cs="Arial" w:eastAsia="Arial" w:hAnsi="Arial"/>
          <w:sz w:val="18"/>
          <w:szCs w:val="18"/>
          <w:color w:val="auto"/>
        </w:rPr>
      </w:pPr>
    </w:p>
    <w:p>
      <w:pPr>
        <w:ind w:firstLine="655"/>
        <w:spacing w:after="0" w:line="267" w:lineRule="auto"/>
        <w:tabs>
          <w:tab w:leader="none" w:pos="11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understands and acknowledges that certificates representing the Shares and the Warrant Shares shall bear the following legend or another legend of substantially similar substance:</w:t>
      </w:r>
    </w:p>
    <w:p>
      <w:pPr>
        <w:spacing w:after="0" w:line="113" w:lineRule="exact"/>
        <w:rPr>
          <w:sz w:val="20"/>
          <w:szCs w:val="20"/>
          <w:color w:val="auto"/>
        </w:rPr>
      </w:pPr>
    </w:p>
    <w:p>
      <w:pPr>
        <w:jc w:val="both"/>
        <w:ind w:firstLine="647"/>
        <w:spacing w:after="0" w:line="252" w:lineRule="auto"/>
        <w:rPr>
          <w:sz w:val="20"/>
          <w:szCs w:val="20"/>
          <w:color w:val="auto"/>
        </w:rPr>
      </w:pPr>
      <w:r>
        <w:rPr>
          <w:rFonts w:ascii="Arial" w:cs="Arial" w:eastAsia="Arial" w:hAnsi="Arial"/>
          <w:sz w:val="18"/>
          <w:szCs w:val="18"/>
          <w:b w:val="1"/>
          <w:bCs w:val="1"/>
          <w:color w:val="auto"/>
        </w:rPr>
        <w:t>“THE SECURITIES REPRESENTED HEREBY HAVE NOT BEEN REGISTERED UNDER THE U.S.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OR UNDER ANY STATE SECURITIES LAWS. THE HOLDER HEREOF, BY PURCHASING THESE SECURITIES, AGREES FOR THE BENEFIT OF THE COMPANY, THAT THESE SECURITIES MAY BE OFFERED, SOLD, PLEDGED OR OTHERWISE TRANSFERRED ONLY (A) TO THE COMPANY,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SECURITIES ACT OR ANY APPLICABLE STATE SECURITIES LAWS, OR (E) PURSUANT TO AN EFFECTIVE REGISTRATION STATEMENT UNDER THE SECURITIES ACT, AND, IN THE CASE OF (C) AND (D), THE SELLER FURNISHES TO THE COMPANY A WRITTEN OPINION OF COUNSEL OF RECOGNIZED STANDING IN FORM AND SUBSTANCE SATISFACTORY TO THE COMPANY TO SUCH EFFECT.”</w:t>
      </w:r>
    </w:p>
    <w:p>
      <w:pPr>
        <w:spacing w:after="0" w:line="164" w:lineRule="exact"/>
        <w:rPr>
          <w:sz w:val="20"/>
          <w:szCs w:val="20"/>
          <w:color w:val="auto"/>
        </w:rPr>
      </w:pPr>
    </w:p>
    <w:p>
      <w:pPr>
        <w:ind w:firstLine="655"/>
        <w:spacing w:after="0" w:line="267" w:lineRule="auto"/>
        <w:tabs>
          <w:tab w:leader="none" w:pos="10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consents to the Company making a notation on its records or giving instructions to any transfer agent of the Shares in order to implement the restrictions on transfer set forth and described herein.</w:t>
      </w:r>
    </w:p>
    <w:p>
      <w:pPr>
        <w:spacing w:after="0" w:line="145" w:lineRule="exact"/>
        <w:rPr>
          <w:rFonts w:ascii="Arial" w:cs="Arial" w:eastAsia="Arial" w:hAnsi="Arial"/>
          <w:sz w:val="18"/>
          <w:szCs w:val="18"/>
          <w:color w:val="auto"/>
        </w:rPr>
      </w:pPr>
    </w:p>
    <w:p>
      <w:pPr>
        <w:ind w:right="20" w:firstLine="655"/>
        <w:spacing w:after="0" w:line="267" w:lineRule="auto"/>
        <w:tabs>
          <w:tab w:leader="none" w:pos="10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office or other address of the undersigned at which the undersigned received and accepted the offer to purchase the Units is the address listed in Box B of Section 6 below.</w:t>
      </w:r>
    </w:p>
    <w:p>
      <w:pPr>
        <w:spacing w:after="0" w:line="145" w:lineRule="exact"/>
        <w:rPr>
          <w:rFonts w:ascii="Arial" w:cs="Arial" w:eastAsia="Arial" w:hAnsi="Arial"/>
          <w:sz w:val="18"/>
          <w:szCs w:val="18"/>
          <w:color w:val="auto"/>
        </w:rPr>
      </w:pPr>
    </w:p>
    <w:p>
      <w:pPr>
        <w:jc w:val="both"/>
        <w:ind w:firstLine="655"/>
        <w:spacing w:after="0" w:line="258" w:lineRule="auto"/>
        <w:tabs>
          <w:tab w:leader="none" w:pos="10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Company in filing reports, questionnaires, undertakings and other documents with respect to the issuance of the Units.</w:t>
      </w:r>
    </w:p>
    <w:p>
      <w:pPr>
        <w:spacing w:after="0" w:line="154" w:lineRule="exact"/>
        <w:rPr>
          <w:rFonts w:ascii="Arial" w:cs="Arial" w:eastAsia="Arial" w:hAnsi="Arial"/>
          <w:sz w:val="18"/>
          <w:szCs w:val="18"/>
          <w:color w:val="auto"/>
        </w:rPr>
      </w:pPr>
    </w:p>
    <w:p>
      <w:pPr>
        <w:ind w:firstLine="655"/>
        <w:spacing w:after="0" w:line="267" w:lineRule="auto"/>
        <w:tabs>
          <w:tab w:leader="none" w:pos="10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subscription agreement has been duly and validly authorized, executed and delivered by and constitutes a legal, valid, binding and enforceable obligation of the Subscriber; and</w:t>
      </w:r>
    </w:p>
    <w:p>
      <w:pPr>
        <w:spacing w:after="0" w:line="145" w:lineRule="exact"/>
        <w:rPr>
          <w:rFonts w:ascii="Arial" w:cs="Arial" w:eastAsia="Arial" w:hAnsi="Arial"/>
          <w:sz w:val="18"/>
          <w:szCs w:val="18"/>
          <w:color w:val="auto"/>
        </w:rPr>
      </w:pPr>
    </w:p>
    <w:p>
      <w:pPr>
        <w:ind w:left="1040" w:hanging="385"/>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is not an affiliate (as defined in Rule 144 under the Securities Act) of the Company and is not acting on behalf of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0" w:name="page71"/>
    <w:bookmarkEnd w:id="70"/>
    <w:p>
      <w:pPr>
        <w:ind w:firstLine="8"/>
        <w:spacing w:after="0" w:line="267" w:lineRule="auto"/>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 As a material inducement of Subscriber to enter into this Subscription Agreement and subscribe for the Units, the Company represents and warrants to Subscriber, as of the date hereof, as follows:</w:t>
      </w:r>
    </w:p>
    <w:p>
      <w:pPr>
        <w:spacing w:after="0" w:line="145" w:lineRule="exact"/>
        <w:rPr>
          <w:rFonts w:ascii="Arial" w:cs="Arial" w:eastAsia="Arial" w:hAnsi="Arial"/>
          <w:sz w:val="18"/>
          <w:szCs w:val="18"/>
          <w:color w:val="auto"/>
        </w:rPr>
      </w:pPr>
    </w:p>
    <w:p>
      <w:pPr>
        <w:jc w:val="both"/>
        <w:ind w:firstLine="655"/>
        <w:spacing w:after="0" w:line="284" w:lineRule="auto"/>
        <w:tabs>
          <w:tab w:leader="none" w:pos="1127"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The Company is a corporation duly organized, validly existing and in good standing under the laws of the State of Nevada, has full power to carry on its business as and where such business is now being conducted and to own, lease and operate the properties and assets now owned or operated by it, and is duly qualified to do business and is in good standing in each jurisdiction where the conduct of its business or the ownership of its properties requires such qualification, except where the failure to be so qualified would not have a Material Adverse Effect on the Company.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means any circumstance, change in, or effect on the Company that, individually or in the aggregate with any other similar circumstances, changes 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effects on, the Company taken as a whole: (i) is, or is reasonably expected to be, materially adverse to the business, operations, assets, liabilities, employee relationships, customer or supplier relationships, prospects, results of operations or the condition (financial or otherwise) of the Company taken as a whole, or (ii) is reasonably expected to adversely affect the ability of the Company to operate or conduct the Company’s business in the manner in which it is currently operated or conducted or proposed to be operated or conducted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deemed in and of themselves, either alone or in combination, to constitute, and none of the following shall be taken into account in determining whether there has been or will be, a Material Adverse Effect: (A) any change, event, state of facts or development generally affecting the general political, economic or business conditions of the United States, (B) any change, event, state of facts or development generally affecting the industry in which the Company operates, (C) any change, event, state of facts or development arising from or relating to compliance with the terms of this Subscription Agreement, (D) acts of war (whether or not declared), the commencement, continuation or escalation of a war, acts of armed hostility, sabotage or terrorism or other international or national calamity or any material worsening of such conditions, (E) changes in laws or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after date hereof or in interpretations thereof, or (F) any matter disclosed in this Subscription Agreement (including the schedules hereto).</w:t>
      </w:r>
    </w:p>
    <w:p>
      <w:pPr>
        <w:spacing w:after="0" w:line="141" w:lineRule="exact"/>
        <w:rPr>
          <w:rFonts w:ascii="Arial" w:cs="Arial" w:eastAsia="Arial" w:hAnsi="Arial"/>
          <w:sz w:val="16"/>
          <w:szCs w:val="16"/>
          <w:color w:val="auto"/>
        </w:rPr>
      </w:pPr>
    </w:p>
    <w:p>
      <w:pPr>
        <w:jc w:val="both"/>
        <w:ind w:firstLine="655"/>
        <w:spacing w:after="0" w:line="293" w:lineRule="auto"/>
        <w:tabs>
          <w:tab w:leader="none" w:pos="1067"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Board of Directors of the Company has duly authorized the execution, delivery and performance of this Subscription Agreement by the Company, and the consummation of the transactions contemplated hereby. This Subscription Agreement has been (or upon delivery will be) duly executed by the Company when delivered in accordance with the terms hereof, and will constitute, assuming due authorization and execution and delivery by each of the parties thereto, a valid and binding obligation of the Company enforceable against the Company in accordance with its terms. The Securities, when issued, will be validly issued, fully-paid and non-assessable.</w:t>
      </w:r>
    </w:p>
    <w:p>
      <w:pPr>
        <w:spacing w:after="0" w:line="129" w:lineRule="exact"/>
        <w:rPr>
          <w:rFonts w:ascii="Arial" w:cs="Arial" w:eastAsia="Arial" w:hAnsi="Arial"/>
          <w:sz w:val="16"/>
          <w:szCs w:val="16"/>
          <w:color w:val="auto"/>
        </w:rPr>
      </w:pPr>
    </w:p>
    <w:p>
      <w:pPr>
        <w:jc w:val="both"/>
        <w:ind w:firstLine="655"/>
        <w:spacing w:after="0" w:line="287" w:lineRule="auto"/>
        <w:tabs>
          <w:tab w:leader="none" w:pos="1084"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the Agreement and Securities and the consummation of the transactions contemplated by this Agreement and the Securities,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spacing w:after="0" w:line="135" w:lineRule="exact"/>
        <w:rPr>
          <w:rFonts w:ascii="Arial" w:cs="Arial" w:eastAsia="Arial" w:hAnsi="Arial"/>
          <w:sz w:val="16"/>
          <w:szCs w:val="16"/>
          <w:color w:val="auto"/>
        </w:rPr>
      </w:pPr>
    </w:p>
    <w:p>
      <w:pPr>
        <w:ind w:right="20" w:firstLine="655"/>
        <w:spacing w:after="0" w:line="267" w:lineRule="auto"/>
        <w:tabs>
          <w:tab w:leader="none" w:pos="1067"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The Company represents that it has not paid, and shall not pay, any commissions or other remuneration, directly or indirectly, to any third party for the sale of the Securities. There are no brokers or other fees due with respect to the sale of the Securities.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1" w:name="page72"/>
    <w:bookmarkEnd w:id="71"/>
    <w:p>
      <w:pPr>
        <w:jc w:val="both"/>
        <w:ind w:firstLine="655"/>
        <w:spacing w:after="0" w:line="255" w:lineRule="auto"/>
        <w:tabs>
          <w:tab w:leader="none" w:pos="105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Material Disclosure</w:t>
      </w:r>
      <w:r>
        <w:rPr>
          <w:rFonts w:ascii="Arial" w:cs="Arial" w:eastAsia="Arial" w:hAnsi="Arial"/>
          <w:sz w:val="18"/>
          <w:szCs w:val="18"/>
          <w:color w:val="auto"/>
        </w:rPr>
        <w:t>. No representation, warranty or statement contained in this Section 3 or any disclosure furnished by the Company pursuant to this Agreement or pursuant to its filings with the Securities and Exchange Commission contains or will contain at closing hereunder any untrue statement of material fact or omits or will omit at such closing to state a material fact necessary to make the statements therein, in light of the circumstances under which they were made, not misleading.</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80" w:hanging="425"/>
        <w:spacing w:after="0"/>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Company’s obligation to issue and sell the Units to Subscribers is subject to the fulfillment (or waiver by the Company) of the following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77" w:lineRule="exact"/>
        <w:rPr>
          <w:rFonts w:ascii="Arial" w:cs="Arial" w:eastAsia="Arial" w:hAnsi="Arial"/>
          <w:sz w:val="16"/>
          <w:szCs w:val="16"/>
          <w:color w:val="auto"/>
        </w:rPr>
      </w:pPr>
    </w:p>
    <w:p>
      <w:pPr>
        <w:ind w:right="20" w:firstLine="1301"/>
        <w:spacing w:after="0" w:line="330" w:lineRule="auto"/>
        <w:tabs>
          <w:tab w:leader="none" w:pos="1674"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Subscribers in this Subscription Agreement shall be true and correct in all material respects when made, and shall be true and correct in all material respects upon issuance of the Units;</w:t>
      </w:r>
    </w:p>
    <w:p>
      <w:pPr>
        <w:spacing w:after="0" w:line="100" w:lineRule="exact"/>
        <w:rPr>
          <w:rFonts w:ascii="Arial" w:cs="Arial" w:eastAsia="Arial" w:hAnsi="Arial"/>
          <w:sz w:val="16"/>
          <w:szCs w:val="16"/>
          <w:color w:val="auto"/>
        </w:rPr>
      </w:pPr>
    </w:p>
    <w:p>
      <w:pPr>
        <w:ind w:firstLine="1301"/>
        <w:spacing w:after="0" w:line="267" w:lineRule="auto"/>
        <w:tabs>
          <w:tab w:leader="none" w:pos="1723"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Accredited Investor Questionnaire</w:t>
      </w:r>
      <w:r>
        <w:rPr>
          <w:rFonts w:ascii="Arial" w:cs="Arial" w:eastAsia="Arial" w:hAnsi="Arial"/>
          <w:sz w:val="18"/>
          <w:szCs w:val="18"/>
          <w:color w:val="auto"/>
        </w:rPr>
        <w:t>. All Subscribers shall have completed and delivered to the Company the Accredited Investor section of the Subscriber’s signature page attached hereto; and</w:t>
      </w:r>
    </w:p>
    <w:p>
      <w:pPr>
        <w:spacing w:after="0" w:line="145" w:lineRule="exact"/>
        <w:rPr>
          <w:rFonts w:ascii="Arial" w:cs="Arial" w:eastAsia="Arial" w:hAnsi="Arial"/>
          <w:sz w:val="18"/>
          <w:szCs w:val="18"/>
          <w:color w:val="auto"/>
        </w:rPr>
      </w:pPr>
    </w:p>
    <w:p>
      <w:pPr>
        <w:ind w:firstLine="1301"/>
        <w:spacing w:after="0" w:line="330" w:lineRule="auto"/>
        <w:tabs>
          <w:tab w:leader="none" w:pos="1772"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Approval of Subscribers</w:t>
      </w:r>
      <w:r>
        <w:rPr>
          <w:rFonts w:ascii="Arial" w:cs="Arial" w:eastAsia="Arial" w:hAnsi="Arial"/>
          <w:sz w:val="16"/>
          <w:szCs w:val="16"/>
          <w:color w:val="auto"/>
        </w:rPr>
        <w:t>. The Company, in its reasonable discretion, shall have approved the participation and amount of participation of any Subscribers who are either individuals that are non-United States citizens or are entities domiciled in any jurisdiction other than the United States.</w:t>
      </w:r>
    </w:p>
    <w:p>
      <w:pPr>
        <w:spacing w:after="0" w:line="100" w:lineRule="exact"/>
        <w:rPr>
          <w:rFonts w:ascii="Arial" w:cs="Arial" w:eastAsia="Arial" w:hAnsi="Arial"/>
          <w:sz w:val="16"/>
          <w:szCs w:val="16"/>
          <w:color w:val="auto"/>
        </w:rPr>
      </w:pPr>
    </w:p>
    <w:p>
      <w:pPr>
        <w:ind w:left="1080" w:hanging="425"/>
        <w:spacing w:after="0"/>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Subscriber’s obligation to purchase the Units is subject to the fulfillment (or waiver by such Subscriber) of the following conditions:</w:t>
      </w:r>
    </w:p>
    <w:p>
      <w:pPr>
        <w:spacing w:after="0" w:line="206" w:lineRule="exact"/>
        <w:rPr>
          <w:rFonts w:ascii="Arial" w:cs="Arial" w:eastAsia="Arial" w:hAnsi="Arial"/>
          <w:sz w:val="16"/>
          <w:szCs w:val="16"/>
          <w:color w:val="auto"/>
        </w:rPr>
      </w:pPr>
    </w:p>
    <w:p>
      <w:pPr>
        <w:ind w:right="20" w:firstLine="1301"/>
        <w:spacing w:after="0" w:line="267" w:lineRule="auto"/>
        <w:tabs>
          <w:tab w:leader="none" w:pos="1674"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Subscription Agreement shall be true and correct when made, and shall be true and correct in all material respects upon issuance of the Units; and</w:t>
      </w:r>
    </w:p>
    <w:p>
      <w:pPr>
        <w:spacing w:after="0" w:line="145" w:lineRule="exact"/>
        <w:rPr>
          <w:rFonts w:ascii="Arial" w:cs="Arial" w:eastAsia="Arial" w:hAnsi="Arial"/>
          <w:sz w:val="18"/>
          <w:szCs w:val="18"/>
          <w:color w:val="auto"/>
        </w:rPr>
      </w:pPr>
    </w:p>
    <w:p>
      <w:pPr>
        <w:jc w:val="both"/>
        <w:ind w:firstLine="1301"/>
        <w:spacing w:after="0" w:line="255" w:lineRule="auto"/>
        <w:tabs>
          <w:tab w:leader="none" w:pos="1723"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shall have obtained all permits and qualifications required under federal and/or state law and/or foreign law for the offer and sale of the Units, or shall have the availability of exemptions therefrom. Upon sale of the Units, the Company shall file a Form D with the United States Securities and Exchange Commission in a timely manner as well as any “blue sky” filings required by the states in which Subscribers are located.</w:t>
      </w:r>
    </w:p>
    <w:p>
      <w:pPr>
        <w:spacing w:after="0" w:line="157" w:lineRule="exact"/>
        <w:rPr>
          <w:rFonts w:ascii="Arial" w:cs="Arial" w:eastAsia="Arial" w:hAnsi="Arial"/>
          <w:sz w:val="18"/>
          <w:szCs w:val="18"/>
          <w:color w:val="auto"/>
        </w:rPr>
      </w:pPr>
    </w:p>
    <w:p>
      <w:pPr>
        <w:ind w:right="20" w:firstLine="8"/>
        <w:spacing w:after="0" w:line="368" w:lineRule="auto"/>
        <w:tabs>
          <w:tab w:leader="none" w:pos="347"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Legends</w:t>
      </w:r>
      <w:r>
        <w:rPr>
          <w:rFonts w:ascii="Arial" w:cs="Arial" w:eastAsia="Arial" w:hAnsi="Arial"/>
          <w:sz w:val="15"/>
          <w:szCs w:val="15"/>
          <w:color w:val="auto"/>
        </w:rPr>
        <w:t>. Subscriber understands and agrees that the Company will cause any necessary restrictive legends to be placed upon any instruments(s) evidencing ownership of the Units, together with any other legend that may be required by federal or state securities laws or deemed necessary or desirable by the Company.</w:t>
      </w:r>
    </w:p>
    <w:p>
      <w:pPr>
        <w:spacing w:after="0" w:line="77" w:lineRule="exact"/>
        <w:rPr>
          <w:rFonts w:ascii="Arial" w:cs="Arial" w:eastAsia="Arial" w:hAnsi="Arial"/>
          <w:sz w:val="15"/>
          <w:szCs w:val="15"/>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5"/>
        <w:spacing w:after="0" w:line="289" w:lineRule="auto"/>
        <w:tabs>
          <w:tab w:leader="none" w:pos="107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Subscriber covenants and agrees that it will keep confidential and will not disclose or divulge any confidential or proprietary information that such Subscriber may obtain from the Company pursuant to financial statements, reports, and other materials submitted by the Company to such Subscriber in connection with this Subscription Agreement, or as a result of discussions with or inquiry made to the Company, unless such information is known, or until such information becomes known, to the public through no action by Subscriber;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Subscriber may disclose such information to its attorneys, accountants, consultants, assignees or transferees and other professionals to the extent necessary in connection with his or her investment in the Company so long as any such professional to whom such information is disclosed is made aware of Subscriber’s obligations hereunder and such professional agrees to be likewise bound as though such professional were a party hereto.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2" w:name="page73"/>
    <w:bookmarkEnd w:id="72"/>
    <w:p>
      <w:pPr>
        <w:jc w:val="both"/>
        <w:ind w:firstLine="655"/>
        <w:spacing w:after="0" w:line="30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covenants, representations and warranties contained in this Subscription Agreement shall be binding on Subscriber’s and the Company’s heirs and legal representatives and shall inure to the benefit of the respective successors and assigns of the Company. The rights and obligations of this Subscription Agreement may not be assigned by any party without the prior written consent of the other party.</w:t>
      </w:r>
    </w:p>
    <w:p>
      <w:pPr>
        <w:spacing w:after="0" w:line="112" w:lineRule="exact"/>
        <w:rPr>
          <w:rFonts w:ascii="Arial" w:cs="Arial" w:eastAsia="Arial" w:hAnsi="Arial"/>
          <w:sz w:val="16"/>
          <w:szCs w:val="16"/>
          <w:color w:val="auto"/>
        </w:rPr>
      </w:pPr>
    </w:p>
    <w:p>
      <w:pPr>
        <w:ind w:firstLine="655"/>
        <w:spacing w:after="0" w:line="274" w:lineRule="auto"/>
        <w:tabs>
          <w:tab w:leader="none" w:pos="107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but all of which together shall constitute one and the same instrument.</w:t>
      </w:r>
    </w:p>
    <w:p>
      <w:pPr>
        <w:spacing w:after="0" w:line="133" w:lineRule="exact"/>
        <w:rPr>
          <w:rFonts w:ascii="Arial" w:cs="Arial" w:eastAsia="Arial" w:hAnsi="Arial"/>
          <w:sz w:val="18"/>
          <w:szCs w:val="18"/>
          <w:color w:val="auto"/>
        </w:rPr>
      </w:pPr>
    </w:p>
    <w:p>
      <w:pPr>
        <w:jc w:val="both"/>
        <w:ind w:firstLine="655"/>
        <w:spacing w:after="0" w:line="262" w:lineRule="auto"/>
        <w:tabs>
          <w:tab w:leader="none" w:pos="106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Execution by Facsimile</w:t>
      </w:r>
      <w:r>
        <w:rPr>
          <w:rFonts w:ascii="Arial" w:cs="Arial" w:eastAsia="Arial" w:hAnsi="Arial"/>
          <w:sz w:val="18"/>
          <w:szCs w:val="18"/>
          <w:b w:val="1"/>
          <w:bCs w:val="1"/>
          <w:color w:val="auto"/>
        </w:rPr>
        <w:t>.</w:t>
      </w:r>
      <w:r>
        <w:rPr>
          <w:rFonts w:ascii="Arial" w:cs="Arial" w:eastAsia="Arial" w:hAnsi="Arial"/>
          <w:sz w:val="18"/>
          <w:szCs w:val="18"/>
          <w:color w:val="auto"/>
        </w:rPr>
        <w:t xml:space="preserve"> Execution and delivery of this Agreement by facsimile transmission (including the delivery of documents in Adobe PDF format) shall constitute execution and delivery of this Agreement for all purposes, with the same force and effect as execution and delivery of an original manually signed copy hereof.</w:t>
      </w:r>
    </w:p>
    <w:p>
      <w:pPr>
        <w:spacing w:after="0" w:line="150" w:lineRule="exact"/>
        <w:rPr>
          <w:rFonts w:ascii="Arial" w:cs="Arial" w:eastAsia="Arial" w:hAnsi="Arial"/>
          <w:sz w:val="18"/>
          <w:szCs w:val="18"/>
          <w:color w:val="auto"/>
        </w:rPr>
      </w:pPr>
    </w:p>
    <w:p>
      <w:pPr>
        <w:jc w:val="both"/>
        <w:ind w:firstLine="655"/>
        <w:spacing w:after="0" w:line="285" w:lineRule="auto"/>
        <w:tabs>
          <w:tab w:leader="none" w:pos="107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Subscription Agreement shall be governed by and construed in accordance with the laws of the State of Nevada applicable to contracts to be wholly performed within such state and without regard to conflicts of laws provisions. THE PARTIES HERETO EACH HEREBY IRREVOCABLY AND UNCONDITIONALLY SUBMIT TO THE EXCLUSIVE JURISDICTION OF THE STATE AND FEDERAL COURTS SITTING IN THE CITY OF SOUTH SAN FRANCISCO, COUNTY OF SAN MATEO. THE PARTIES HERETO EACH AGREE THAT ALL ACTIONS OR PROCEEDINGS ARISING OUT OF OR RELATING TO THIS SUBSCRIPTION AGREEMENT AND/OR THE OFFERING DOCUMENTS OR THE TRANSACTIONS CONTEMPLATED THEREBY MUST BE LITIGATED EXCLUSIVELY IN ANY SUCH STATE OR FEDERAL COURT THAT SITS IN THE CITY OF SOUTH SAN FRANCISCO, COUNTY OF SAN MATEO, AND ACCORDINGLY, THE PARTIES EACH IRREVOCABLY WAIVE ANY OBJECTION WHICH IT MAY NOW OR HEREAFTER HAVE TO THE LAYING OF THE VENUE OF ANY SUCH LITIGATION IN ANY SUCH COURT. Each of Subscriber and Company hereby irrevocably waive and agree not to assert, by way of motion, as a defense, or otherwise, in every suit, action or other proceeding arising out of or based on this Subscription Agreement and brought in any such court, any claim that Subscriber or the Company is not subject personally to the jurisdiction of the above named courts, that Subscriber’s or the Company’s property, as applicable, is exempt or immune from attachment or execution, that the suit, action or proceeding is brought in an inconvenient forum or that the venue of the suit, action or proceeding is improper.</w:t>
      </w:r>
    </w:p>
    <w:p>
      <w:pPr>
        <w:spacing w:after="0" w:line="140" w:lineRule="exact"/>
        <w:rPr>
          <w:rFonts w:ascii="Arial" w:cs="Arial" w:eastAsia="Arial" w:hAnsi="Arial"/>
          <w:sz w:val="16"/>
          <w:szCs w:val="16"/>
          <w:color w:val="auto"/>
        </w:rPr>
      </w:pPr>
    </w:p>
    <w:p>
      <w:pPr>
        <w:jc w:val="both"/>
        <w:ind w:firstLine="655"/>
        <w:spacing w:after="0" w:line="297" w:lineRule="auto"/>
        <w:tabs>
          <w:tab w:leader="none" w:pos="105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hereunder shall be in writing and shall be delivered by certified or registered mail (first class postage pre-paid), guaranteed overnight delivery, or facsimile transmission if such transmission is confirmed by delivery by certified or registered mail (first class postage pre-paid) or guaranteed overnight delivery, to the following addresses and facsimile numbers (or to such other addresses or facsimile numbers which such party shall subsequently designate in writing to the other party):</w:t>
      </w:r>
    </w:p>
    <w:p>
      <w:pPr>
        <w:spacing w:after="0" w:line="194" w:lineRule="exact"/>
        <w:rPr>
          <w:rFonts w:ascii="Arial" w:cs="Arial" w:eastAsia="Arial" w:hAnsi="Arial"/>
          <w:sz w:val="16"/>
          <w:szCs w:val="16"/>
          <w:color w:val="auto"/>
        </w:rPr>
      </w:pPr>
    </w:p>
    <w:p>
      <w:pPr>
        <w:ind w:left="1680" w:hanging="379"/>
        <w:spacing w:after="0"/>
        <w:tabs>
          <w:tab w:leader="none" w:pos="1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to the Company, to the address first set forth above.</w:t>
      </w:r>
    </w:p>
    <w:p>
      <w:pPr>
        <w:spacing w:after="0" w:line="251" w:lineRule="exact"/>
        <w:rPr>
          <w:rFonts w:ascii="Arial" w:cs="Arial" w:eastAsia="Arial" w:hAnsi="Arial"/>
          <w:sz w:val="18"/>
          <w:szCs w:val="18"/>
          <w:color w:val="auto"/>
        </w:rPr>
      </w:pPr>
    </w:p>
    <w:p>
      <w:pPr>
        <w:ind w:left="1740" w:hanging="439"/>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to Subscriber to the address set forth next to its name on the signature page hereto.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3" w:name="page74"/>
    <w:bookmarkEnd w:id="73"/>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PARTICULARS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INFORMATION IN RESPONSE TO THIS SECTION WILL BE KEPT STRICTLY CONFIDENTIAL</w:t>
      </w:r>
    </w:p>
    <w:p>
      <w:pPr>
        <w:spacing w:after="0" w:line="38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BOX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1125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11252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Particulars of Purchase of Units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Units subscribed for: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Subscription Price ($1.05 X number of Units)</w:t>
      </w:r>
    </w:p>
    <w:p>
      <w:pPr>
        <w:spacing w:after="0" w:line="200" w:lineRule="exact"/>
        <w:rPr>
          <w:sz w:val="20"/>
          <w:szCs w:val="20"/>
          <w:color w:val="auto"/>
        </w:rPr>
      </w:pPr>
    </w:p>
    <w:p>
      <w:pPr>
        <w:spacing w:after="0" w:line="26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BOX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747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747770"/>
                    </a:xfrm>
                    <a:prstGeom prst="rect">
                      <a:avLst/>
                    </a:prstGeom>
                    <a:noFill/>
                  </pic:spPr>
                </pic:pic>
              </a:graphicData>
            </a:graphic>
          </wp:anchor>
        </w:drawing>
      </w:r>
    </w:p>
    <w:p>
      <w:pPr>
        <w:spacing w:after="0" w:line="204" w:lineRule="exact"/>
        <w:rPr>
          <w:sz w:val="20"/>
          <w:szCs w:val="20"/>
          <w:color w:val="auto"/>
        </w:rPr>
      </w:pPr>
    </w:p>
    <w:p>
      <w:pPr>
        <w:jc w:val="both"/>
        <w:ind w:left="20"/>
        <w:spacing w:after="0" w:line="377" w:lineRule="auto"/>
        <w:rPr>
          <w:sz w:val="20"/>
          <w:szCs w:val="20"/>
          <w:color w:val="auto"/>
        </w:rPr>
      </w:pPr>
      <w:r>
        <w:rPr>
          <w:rFonts w:ascii="Arial" w:cs="Arial" w:eastAsia="Arial" w:hAnsi="Arial"/>
          <w:sz w:val="15"/>
          <w:szCs w:val="15"/>
          <w:b w:val="1"/>
          <w:bCs w:val="1"/>
          <w:color w:val="auto"/>
        </w:rPr>
        <w:t xml:space="preserve">Subscriber Information </w:t>
      </w:r>
      <w:r>
        <w:rPr>
          <w:rFonts w:ascii="Arial" w:cs="Arial" w:eastAsia="Arial" w:hAnsi="Arial"/>
          <w:sz w:val="15"/>
          <w:szCs w:val="15"/>
          <w:color w:val="auto"/>
        </w:rPr>
        <w:t>For individual subscribers this address should be Subscriber’s primary legal residence. For entities other than individual</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please provide address information for the entity’s primary place of business. Information regarding a joint subscriber should also be included.</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Street Address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Street Address (2)</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and State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Zip Code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 Name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Alternate Contact</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No.</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No. / E-mail Address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ID # or Social Security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583" w:right="7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BOX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Accredited Investor Status</w:t>
      </w:r>
    </w:p>
    <w:p>
      <w:pPr>
        <w:spacing w:after="0" w:line="23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The Subscriber represents and warrants that it is an “accredited investor”, as defined in Rule 501(a) under the Securities Act, by virtue of satisfying one or more of the categories indicated below </w:t>
      </w:r>
      <w:r>
        <w:rPr>
          <w:rFonts w:ascii="Arial" w:cs="Arial" w:eastAsia="Arial" w:hAnsi="Arial"/>
          <w:sz w:val="18"/>
          <w:szCs w:val="18"/>
          <w:b w:val="1"/>
          <w:bCs w:val="1"/>
          <w:color w:val="auto"/>
        </w:rPr>
        <w:t>(please write your initials on the line next to each applicable category)</w:t>
      </w:r>
      <w:r>
        <w:rPr>
          <w:rFonts w:ascii="Arial" w:cs="Arial" w:eastAsia="Arial" w:hAnsi="Arial"/>
          <w:sz w:val="18"/>
          <w:szCs w:val="18"/>
          <w:color w:val="auto"/>
        </w:rPr>
        <w:t>:</w:t>
      </w:r>
    </w:p>
    <w:p>
      <w:pPr>
        <w:spacing w:after="0" w:line="186" w:lineRule="exact"/>
        <w:rPr>
          <w:sz w:val="20"/>
          <w:szCs w:val="20"/>
          <w:color w:val="auto"/>
        </w:rPr>
      </w:pPr>
    </w:p>
    <w:p>
      <w:pPr>
        <w:ind w:left="1080" w:hanging="695"/>
        <w:spacing w:after="0"/>
        <w:tabs>
          <w:tab w:leader="none" w:pos="108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Category 1.</w:t>
      </w:r>
      <w:r>
        <w:rPr>
          <w:rFonts w:ascii="Arial" w:cs="Arial" w:eastAsia="Arial" w:hAnsi="Arial"/>
          <w:sz w:val="16"/>
          <w:szCs w:val="16"/>
          <w:color w:val="auto"/>
        </w:rPr>
        <w:t>A bank, as defined in section 3(a)(2) of the Securities Act.</w:t>
      </w:r>
    </w:p>
    <w:p>
      <w:pPr>
        <w:spacing w:after="0" w:line="23" w:lineRule="exact"/>
        <w:rPr>
          <w:sz w:val="20"/>
          <w:szCs w:val="20"/>
          <w:color w:val="auto"/>
        </w:rPr>
      </w:pPr>
    </w:p>
    <w:p>
      <w:pPr>
        <w:jc w:val="both"/>
        <w:ind w:left="2560" w:right="20"/>
        <w:spacing w:after="0" w:line="245" w:lineRule="auto"/>
        <w:rPr>
          <w:sz w:val="20"/>
          <w:szCs w:val="20"/>
          <w:color w:val="auto"/>
        </w:rPr>
      </w:pPr>
      <w:r>
        <w:rPr>
          <w:rFonts w:ascii="Arial" w:cs="Arial" w:eastAsia="Arial" w:hAnsi="Arial"/>
          <w:sz w:val="18"/>
          <w:szCs w:val="18"/>
          <w:color w:val="auto"/>
        </w:rPr>
        <w:t>A savings and loan association or other institution, as defined in section 3(a)(5)(A) of the Securities Act, whether acting in its individual or fiduciary capacity.</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 broker or dealer registered pursuant to section 15 of the Securities Exchange Act of 1934.</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An insurance company as defined in section 2(a)(13) of the Securities Act.</w:t>
      </w:r>
    </w:p>
    <w:p>
      <w:pPr>
        <w:spacing w:after="0" w:line="9" w:lineRule="exact"/>
        <w:rPr>
          <w:sz w:val="20"/>
          <w:szCs w:val="20"/>
          <w:color w:val="auto"/>
        </w:rPr>
      </w:pPr>
    </w:p>
    <w:p>
      <w:pPr>
        <w:jc w:val="both"/>
        <w:ind w:left="2560"/>
        <w:spacing w:after="0" w:line="249" w:lineRule="auto"/>
        <w:rPr>
          <w:sz w:val="20"/>
          <w:szCs w:val="20"/>
          <w:color w:val="auto"/>
        </w:rPr>
      </w:pPr>
      <w:r>
        <w:rPr>
          <w:rFonts w:ascii="Arial" w:cs="Arial" w:eastAsia="Arial" w:hAnsi="Arial"/>
          <w:sz w:val="18"/>
          <w:szCs w:val="18"/>
          <w:color w:val="auto"/>
        </w:rPr>
        <w:t>An investment company registered under the Investment Corporation Act of 1940 or a business development company as defined in section 2(a)(48) of that Act.</w:t>
      </w:r>
    </w:p>
    <w:p>
      <w:pPr>
        <w:spacing w:after="0" w:line="2" w:lineRule="exact"/>
        <w:rPr>
          <w:sz w:val="20"/>
          <w:szCs w:val="20"/>
          <w:color w:val="auto"/>
        </w:rPr>
      </w:pPr>
    </w:p>
    <w:p>
      <w:pPr>
        <w:jc w:val="both"/>
        <w:ind w:left="2560" w:right="20"/>
        <w:spacing w:after="0" w:line="249" w:lineRule="auto"/>
        <w:rPr>
          <w:sz w:val="20"/>
          <w:szCs w:val="20"/>
          <w:color w:val="auto"/>
        </w:rPr>
      </w:pPr>
      <w:r>
        <w:rPr>
          <w:rFonts w:ascii="Arial" w:cs="Arial" w:eastAsia="Arial" w:hAnsi="Arial"/>
          <w:sz w:val="18"/>
          <w:szCs w:val="18"/>
          <w:color w:val="auto"/>
        </w:rPr>
        <w:t>A Small Business Investment Corporation licensed by the U.S. Small Business Administration under section 301(c) or (d) of the Small Business Investment Act of 1958.</w:t>
      </w:r>
    </w:p>
    <w:p>
      <w:pPr>
        <w:spacing w:after="0" w:line="2" w:lineRule="exact"/>
        <w:rPr>
          <w:sz w:val="20"/>
          <w:szCs w:val="20"/>
          <w:color w:val="auto"/>
        </w:rPr>
      </w:pPr>
    </w:p>
    <w:p>
      <w:pPr>
        <w:jc w:val="both"/>
        <w:ind w:left="2560"/>
        <w:spacing w:after="0" w:line="281" w:lineRule="auto"/>
        <w:rPr>
          <w:sz w:val="20"/>
          <w:szCs w:val="20"/>
          <w:color w:val="auto"/>
        </w:rPr>
      </w:pPr>
      <w:r>
        <w:rPr>
          <w:rFonts w:ascii="Arial" w:cs="Arial" w:eastAsia="Arial" w:hAnsi="Arial"/>
          <w:sz w:val="16"/>
          <w:szCs w:val="16"/>
          <w:color w:val="auto"/>
        </w:rPr>
        <w:t>A plan established and maintained by a state, its political subdivisions, or any agency or instrumentality of a state or its political subdivisions, for the benefit of its employees, if such plan has total assets in excess of $5,000,000.</w:t>
      </w:r>
    </w:p>
    <w:p>
      <w:pPr>
        <w:jc w:val="both"/>
        <w:ind w:left="2560" w:right="20"/>
        <w:spacing w:after="0" w:line="294" w:lineRule="auto"/>
        <w:rPr>
          <w:sz w:val="20"/>
          <w:szCs w:val="20"/>
          <w:color w:val="auto"/>
        </w:rPr>
      </w:pPr>
      <w:r>
        <w:rPr>
          <w:rFonts w:ascii="Arial" w:cs="Arial" w:eastAsia="Arial" w:hAnsi="Arial"/>
          <w:sz w:val="16"/>
          <w:szCs w:val="16"/>
          <w:color w:val="auto"/>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70" w:lineRule="exact"/>
        <w:rPr>
          <w:sz w:val="20"/>
          <w:szCs w:val="20"/>
          <w:color w:val="auto"/>
        </w:rPr>
      </w:pPr>
    </w:p>
    <w:p>
      <w:pPr>
        <w:ind w:left="1080" w:hanging="695"/>
        <w:spacing w:after="0"/>
        <w:tabs>
          <w:tab w:leader="none" w:pos="108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2.</w:t>
      </w:r>
      <w:r>
        <w:rPr>
          <w:rFonts w:ascii="Arial" w:cs="Arial" w:eastAsia="Arial" w:hAnsi="Arial"/>
          <w:sz w:val="15"/>
          <w:szCs w:val="15"/>
          <w:color w:val="auto"/>
        </w:rPr>
        <w:t>Any private business development company as defined in section 202(a)(22) of the Investment Advisers Act of 1940.</w:t>
      </w:r>
    </w:p>
    <w:p>
      <w:pPr>
        <w:spacing w:after="0" w:line="224" w:lineRule="exact"/>
        <w:rPr>
          <w:rFonts w:ascii="MS PGothic" w:cs="MS PGothic" w:eastAsia="MS PGothic" w:hAnsi="MS PGothic"/>
          <w:sz w:val="18"/>
          <w:szCs w:val="18"/>
          <w:color w:val="auto"/>
        </w:rPr>
      </w:pPr>
    </w:p>
    <w:p>
      <w:pPr>
        <w:ind w:left="2560" w:hanging="2175"/>
        <w:spacing w:after="0" w:line="258" w:lineRule="auto"/>
        <w:tabs>
          <w:tab w:leader="none" w:pos="1078"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3.An organization described in Section 501(c)(3) of the Internal Revenue Code, a corporation, a Massachusetts or similar business trust, or a partnership, not formed for the specific purpose of acquiring the Securities, with total assets in excess of $5,000,000.</w:t>
      </w:r>
    </w:p>
    <w:p>
      <w:pPr>
        <w:spacing w:after="0" w:line="194" w:lineRule="exact"/>
        <w:rPr>
          <w:rFonts w:ascii="MS PGothic" w:cs="MS PGothic" w:eastAsia="MS PGothic" w:hAnsi="MS PGothic"/>
          <w:sz w:val="18"/>
          <w:szCs w:val="18"/>
          <w:color w:val="auto"/>
        </w:rPr>
      </w:pPr>
    </w:p>
    <w:p>
      <w:pPr>
        <w:ind w:left="1080" w:hanging="695"/>
        <w:spacing w:after="0"/>
        <w:tabs>
          <w:tab w:leader="none" w:pos="108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4.</w:t>
      </w:r>
      <w:r>
        <w:rPr>
          <w:rFonts w:ascii="Arial" w:cs="Arial" w:eastAsia="Arial" w:hAnsi="Arial"/>
          <w:sz w:val="16"/>
          <w:szCs w:val="16"/>
          <w:color w:val="auto"/>
        </w:rPr>
        <w:t>A director or executive officer of the Company.</w:t>
      </w:r>
    </w:p>
    <w:p>
      <w:pPr>
        <w:spacing w:after="0" w:line="224" w:lineRule="exact"/>
        <w:rPr>
          <w:rFonts w:ascii="MS PGothic" w:cs="MS PGothic" w:eastAsia="MS PGothic" w:hAnsi="MS PGothic"/>
          <w:sz w:val="18"/>
          <w:szCs w:val="18"/>
          <w:color w:val="auto"/>
        </w:rPr>
      </w:pPr>
    </w:p>
    <w:p>
      <w:pPr>
        <w:ind w:left="2560" w:hanging="2175"/>
        <w:spacing w:after="0" w:line="267" w:lineRule="auto"/>
        <w:tabs>
          <w:tab w:leader="none" w:pos="1078"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5.A natural person whose individual net worth, or joint net worth with that person’s spouse, at the time of this purchase exceeds $1,000,000, excluding the value of the person’s primary residence, if any.</w:t>
      </w:r>
    </w:p>
    <w:p>
      <w:pPr>
        <w:spacing w:after="0" w:line="186" w:lineRule="exact"/>
        <w:rPr>
          <w:rFonts w:ascii="MS PGothic" w:cs="MS PGothic" w:eastAsia="MS PGothic" w:hAnsi="MS PGothic"/>
          <w:sz w:val="18"/>
          <w:szCs w:val="18"/>
          <w:color w:val="auto"/>
        </w:rPr>
      </w:pPr>
    </w:p>
    <w:p>
      <w:pPr>
        <w:ind w:left="2560" w:hanging="2175"/>
        <w:spacing w:after="0" w:line="258" w:lineRule="auto"/>
        <w:tabs>
          <w:tab w:leader="none" w:pos="1078"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6.A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94" w:lineRule="exact"/>
        <w:rPr>
          <w:rFonts w:ascii="MS PGothic" w:cs="MS PGothic" w:eastAsia="MS PGothic" w:hAnsi="MS PGothic"/>
          <w:sz w:val="18"/>
          <w:szCs w:val="18"/>
          <w:color w:val="auto"/>
        </w:rPr>
      </w:pPr>
    </w:p>
    <w:p>
      <w:pPr>
        <w:ind w:left="2560" w:hanging="2175"/>
        <w:spacing w:after="0" w:line="258" w:lineRule="auto"/>
        <w:tabs>
          <w:tab w:leader="none" w:pos="1078"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7.A trust, with total assets in excess of $5,000,000, not formed for the specific purpose of acquiring the Securities, whose purchase is directed by a sophisticated person as described in Rule 506(b)(2)(ii) of Regulation D under the U.S. Securities Act.</w:t>
      </w:r>
    </w:p>
    <w:p>
      <w:pPr>
        <w:spacing w:after="0" w:line="194" w:lineRule="exact"/>
        <w:rPr>
          <w:rFonts w:ascii="MS PGothic" w:cs="MS PGothic" w:eastAsia="MS PGothic" w:hAnsi="MS PGothic"/>
          <w:sz w:val="18"/>
          <w:szCs w:val="18"/>
          <w:color w:val="auto"/>
        </w:rPr>
      </w:pPr>
    </w:p>
    <w:p>
      <w:pPr>
        <w:ind w:left="1080" w:hanging="695"/>
        <w:spacing w:after="0"/>
        <w:tabs>
          <w:tab w:leader="none" w:pos="108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Category 8.</w:t>
      </w:r>
      <w:r>
        <w:rPr>
          <w:rFonts w:ascii="Arial" w:cs="Arial" w:eastAsia="Arial" w:hAnsi="Arial"/>
          <w:sz w:val="16"/>
          <w:szCs w:val="16"/>
          <w:color w:val="auto"/>
        </w:rPr>
        <w:t>An entity in which each of the equity owners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 xml:space="preserve">IN WITNESS WHEREOF, </w:t>
      </w:r>
      <w:r>
        <w:rPr>
          <w:rFonts w:ascii="Arial" w:cs="Arial" w:eastAsia="Arial" w:hAnsi="Arial"/>
          <w:sz w:val="16"/>
          <w:szCs w:val="16"/>
          <w:b w:val="1"/>
          <w:bCs w:val="1"/>
          <w:color w:val="auto"/>
        </w:rPr>
        <w:t>the Company has executed this Subscription Agreement as of the Closing Date.</w:t>
      </w:r>
    </w:p>
    <w:p>
      <w:pPr>
        <w:spacing w:after="0" w:line="253" w:lineRule="exact"/>
        <w:rPr>
          <w:sz w:val="20"/>
          <w:szCs w:val="20"/>
          <w:color w:val="auto"/>
        </w:rPr>
      </w:pPr>
    </w:p>
    <w:p>
      <w:pPr>
        <w:jc w:val="right"/>
        <w:ind w:right="1859"/>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Jerrold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[SUBSCRIBER SIGNATURE PAGE FOLLOWS]</w:t>
      </w:r>
    </w:p>
    <w:p>
      <w:pPr>
        <w:spacing w:after="0" w:line="200" w:lineRule="exact"/>
        <w:rPr>
          <w:sz w:val="20"/>
          <w:szCs w:val="20"/>
          <w:color w:val="auto"/>
        </w:rPr>
      </w:pPr>
    </w:p>
    <w:p>
      <w:pPr>
        <w:spacing w:after="0" w:line="3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6" w:right="1440" w:bottom="1440" w:gutter="0" w:footer="0" w:header="0"/>
        </w:sectPr>
      </w:pPr>
    </w:p>
    <w:bookmarkStart w:id="76" w:name="page77"/>
    <w:bookmarkEnd w:id="76"/>
    <w:p>
      <w:pPr>
        <w:ind w:left="2420"/>
        <w:spacing w:after="0"/>
        <w:rPr>
          <w:sz w:val="20"/>
          <w:szCs w:val="20"/>
          <w:color w:val="auto"/>
        </w:rPr>
      </w:pPr>
      <w:r>
        <w:rPr>
          <w:rFonts w:ascii="Arial" w:cs="Arial" w:eastAsia="Arial" w:hAnsi="Arial"/>
          <w:sz w:val="16"/>
          <w:szCs w:val="16"/>
          <w:u w:val="single" w:color="auto"/>
          <w:color w:val="auto"/>
        </w:rPr>
        <w:t>SUBSCRIBER SIGNATURE PAGE TO SUBSCRIPTION AGREEMENT</w:t>
      </w:r>
    </w:p>
    <w:p>
      <w:pPr>
        <w:sectPr>
          <w:pgSz w:w="11900" w:h="16838" w:orient="portrait"/>
          <w:cols w:equalWidth="0" w:num="1">
            <w:col w:w="9559"/>
          </w:cols>
          <w:pgMar w:left="900" w:top="710" w:right="1440"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SUBSCRIBED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__ day of _________, 2019</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(if 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Name (Typed or Printed)</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SUBSCRIBED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SIGNATURE OF JOINT SUBSCRIBER (if 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__ day of _________, 2019</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By:_________________________________</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Title (if 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Subscriber Name (Typed or Printed)</w:t>
      </w:r>
    </w:p>
    <w:p>
      <w:pPr>
        <w:spacing w:after="0" w:line="222" w:lineRule="exact"/>
        <w:rPr>
          <w:sz w:val="20"/>
          <w:szCs w:val="20"/>
          <w:color w:val="auto"/>
        </w:rPr>
      </w:pPr>
    </w:p>
    <w:p>
      <w:pPr>
        <w:sectPr>
          <w:pgSz w:w="11900" w:h="16838" w:orient="portrait"/>
          <w:cols w:equalWidth="0" w:num="2">
            <w:col w:w="4340" w:space="720"/>
            <w:col w:w="4499"/>
          </w:cols>
          <w:pgMar w:left="900" w:top="7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710" w:right="1440" w:bottom="1440" w:gutter="0" w:footer="0" w:header="0"/>
          <w:type w:val="continuous"/>
        </w:sectPr>
      </w:pPr>
    </w:p>
    <w:bookmarkStart w:id="77" w:name="page78"/>
    <w:bookmarkEnd w:id="77"/>
    <w:p>
      <w:pPr>
        <w:ind w:left="10520"/>
        <w:spacing w:after="0"/>
        <w:rPr>
          <w:sz w:val="20"/>
          <w:szCs w:val="20"/>
          <w:color w:val="auto"/>
        </w:rPr>
      </w:pPr>
      <w:r>
        <w:rPr>
          <w:rFonts w:ascii="Arial" w:cs="Arial" w:eastAsia="Arial" w:hAnsi="Arial"/>
          <w:sz w:val="16"/>
          <w:szCs w:val="16"/>
          <w:b w:val="1"/>
          <w:bCs w:val="1"/>
          <w:color w:val="auto"/>
        </w:rPr>
        <w:t>Exhibit 10.2</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THIS WARRANT AND THE SHARES PURCHASABLE HEREUNDER ARE SUBJECT TO RESTRICTIONS ON TRANSFER CONTAINED IN THAT CERTAIN SUBSCRIPTION AGREEMENT DATED _____________ __, 2019, WHICH RESTRICTIONS ON TRANSFER ARE INCORPORATED HEREIN BY REFERENCE.</w:t>
      </w:r>
    </w:p>
    <w:p>
      <w:pPr>
        <w:spacing w:after="0" w:line="127"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Dated: __________ __, 2019</w:t>
      </w:r>
      <w:r>
        <w:rPr>
          <w:sz w:val="20"/>
          <w:szCs w:val="20"/>
          <w:color w:val="auto"/>
        </w:rPr>
        <w:tab/>
      </w:r>
      <w:r>
        <w:rPr>
          <w:rFonts w:ascii="Arial" w:cs="Arial" w:eastAsia="Arial" w:hAnsi="Arial"/>
          <w:sz w:val="15"/>
          <w:szCs w:val="15"/>
          <w:b w:val="1"/>
          <w:bCs w:val="1"/>
          <w:i w:val="1"/>
          <w:iCs w:val="1"/>
          <w:color w:val="auto"/>
        </w:rPr>
        <w:t>Warrant Number: CSW-___</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certifies that ___________________________, or its permitted assigns (each a “</w:t>
      </w:r>
      <w:r>
        <w:rPr>
          <w:rFonts w:ascii="Arial" w:cs="Arial" w:eastAsia="Arial" w:hAnsi="Arial"/>
          <w:sz w:val="16"/>
          <w:szCs w:val="16"/>
          <w:i w:val="1"/>
          <w:iCs w:val="1"/>
          <w:color w:val="auto"/>
        </w:rPr>
        <w:t>Holder</w:t>
      </w:r>
      <w:r>
        <w:rPr>
          <w:rFonts w:ascii="Arial" w:cs="Arial" w:eastAsia="Arial" w:hAnsi="Arial"/>
          <w:sz w:val="16"/>
          <w:szCs w:val="16"/>
          <w:color w:val="auto"/>
        </w:rPr>
        <w:t>”), for value received, is entitled to purchase, at an exercise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price equal to Two dollars ($2.00) per share (the “</w:t>
      </w:r>
      <w:r>
        <w:rPr>
          <w:rFonts w:ascii="Arial" w:cs="Arial" w:eastAsia="Arial" w:hAnsi="Arial"/>
          <w:sz w:val="16"/>
          <w:szCs w:val="16"/>
          <w:i w:val="1"/>
          <w:iCs w:val="1"/>
          <w:color w:val="auto"/>
        </w:rPr>
        <w:t>Exercise Price</w:t>
      </w:r>
      <w:r>
        <w:rPr>
          <w:rFonts w:ascii="Arial" w:cs="Arial" w:eastAsia="Arial" w:hAnsi="Arial"/>
          <w:sz w:val="16"/>
          <w:szCs w:val="16"/>
          <w:color w:val="auto"/>
        </w:rPr>
        <w:t>”) from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 (_____) shares of fully paid and nonassessable shares of the Company’s Common Stock, $0.001 par value (“</w:t>
      </w:r>
      <w:r>
        <w:rPr>
          <w:rFonts w:ascii="Arial" w:cs="Arial" w:eastAsia="Arial" w:hAnsi="Arial"/>
          <w:sz w:val="16"/>
          <w:szCs w:val="16"/>
          <w:i w:val="1"/>
          <w:iCs w:val="1"/>
          <w:color w:val="auto"/>
        </w:rPr>
        <w:t>Common Stock</w:t>
      </w:r>
      <w:r>
        <w:rPr>
          <w:rFonts w:ascii="Arial" w:cs="Arial" w:eastAsia="Arial" w:hAnsi="Arial"/>
          <w:sz w:val="16"/>
          <w:szCs w:val="16"/>
          <w:color w:val="auto"/>
        </w:rPr>
        <w:t>”).</w:t>
      </w:r>
    </w:p>
    <w:p>
      <w:pPr>
        <w:spacing w:after="0" w:line="173" w:lineRule="exact"/>
        <w:rPr>
          <w:sz w:val="20"/>
          <w:szCs w:val="20"/>
          <w:color w:val="auto"/>
        </w:rPr>
      </w:pPr>
    </w:p>
    <w:p>
      <w:pPr>
        <w:jc w:val="both"/>
        <w:ind w:firstLine="1293"/>
        <w:spacing w:after="0" w:line="267" w:lineRule="auto"/>
        <w:rPr>
          <w:sz w:val="20"/>
          <w:szCs w:val="20"/>
          <w:color w:val="auto"/>
        </w:rPr>
      </w:pPr>
      <w:r>
        <w:rPr>
          <w:rFonts w:ascii="Arial" w:cs="Arial" w:eastAsia="Arial" w:hAnsi="Arial"/>
          <w:sz w:val="18"/>
          <w:szCs w:val="18"/>
          <w:color w:val="auto"/>
        </w:rPr>
        <w:t>This Warrant shall be exercisable at any time from time to time from and after May 2, 2020 (such date being referred to herein as the “Initial Exercise Date”) up to and including 5:00 p.m. (Pacific Time) on November 2, 2023.</w:t>
      </w:r>
    </w:p>
    <w:p>
      <w:pPr>
        <w:spacing w:after="0" w:line="119" w:lineRule="exact"/>
        <w:rPr>
          <w:sz w:val="20"/>
          <w:szCs w:val="20"/>
          <w:color w:val="auto"/>
        </w:rPr>
      </w:pPr>
    </w:p>
    <w:p>
      <w:pPr>
        <w:jc w:val="both"/>
        <w:ind w:firstLine="1301"/>
        <w:spacing w:after="0" w:line="254" w:lineRule="auto"/>
        <w:tabs>
          <w:tab w:leader="none" w:pos="193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by certified or official bank check or by wire transfer to an account designated by the Company.</w:t>
      </w:r>
    </w:p>
    <w:p>
      <w:pPr>
        <w:spacing w:after="0" w:line="198" w:lineRule="exact"/>
        <w:rPr>
          <w:rFonts w:ascii="Arial" w:cs="Arial" w:eastAsia="Arial" w:hAnsi="Arial"/>
          <w:sz w:val="18"/>
          <w:szCs w:val="18"/>
          <w:color w:val="auto"/>
        </w:rPr>
      </w:pPr>
    </w:p>
    <w:p>
      <w:pPr>
        <w:jc w:val="both"/>
        <w:ind w:firstLine="1301"/>
        <w:spacing w:after="0" w:line="253" w:lineRule="auto"/>
        <w:tabs>
          <w:tab w:leader="none" w:pos="203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Shares to be Fully Paid; Reservation of Shares</w:t>
      </w:r>
      <w:r>
        <w:rPr>
          <w:rFonts w:ascii="Arial" w:cs="Arial" w:eastAsia="Arial" w:hAnsi="Arial"/>
          <w:sz w:val="18"/>
          <w:szCs w:val="18"/>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199" w:lineRule="exact"/>
        <w:rPr>
          <w:rFonts w:ascii="Arial" w:cs="Arial" w:eastAsia="Arial" w:hAnsi="Arial"/>
          <w:sz w:val="18"/>
          <w:szCs w:val="18"/>
          <w:color w:val="auto"/>
        </w:rPr>
      </w:pPr>
    </w:p>
    <w:p>
      <w:pPr>
        <w:jc w:val="both"/>
        <w:ind w:firstLine="1301"/>
        <w:spacing w:after="0" w:line="293" w:lineRule="auto"/>
        <w:tabs>
          <w:tab w:leader="none" w:pos="203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Adjustment of Exercise Price and Number of Shares</w:t>
      </w:r>
      <w:r>
        <w:rPr>
          <w:rFonts w:ascii="Arial" w:cs="Arial" w:eastAsia="Arial" w:hAnsi="Arial"/>
          <w:sz w:val="16"/>
          <w:szCs w:val="16"/>
          <w:color w:val="auto"/>
        </w:rPr>
        <w:t>. The Exercise Price and the number of shares purchasable upon the exercise of this Warrant shall be subject to adjustment from time to time upon the occurrence of certain events described in this Section 3.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ind w:firstLine="1455"/>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131" w:lineRule="exact"/>
        <w:rPr>
          <w:sz w:val="20"/>
          <w:szCs w:val="20"/>
          <w:color w:val="auto"/>
        </w:rPr>
      </w:pPr>
    </w:p>
    <w:p>
      <w:pPr>
        <w:jc w:val="both"/>
        <w:ind w:firstLine="1455"/>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Reclassification</w:t>
      </w:r>
      <w:r>
        <w:rPr>
          <w:rFonts w:ascii="Arial" w:cs="Arial" w:eastAsia="Arial" w:hAnsi="Arial"/>
          <w:sz w:val="16"/>
          <w:szCs w:val="16"/>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108" w:lineRule="exact"/>
        <w:rPr>
          <w:sz w:val="20"/>
          <w:szCs w:val="20"/>
          <w:color w:val="auto"/>
        </w:rPr>
      </w:pPr>
    </w:p>
    <w:p>
      <w:pPr>
        <w:jc w:val="both"/>
        <w:ind w:firstLine="1455"/>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03" w:lineRule="exact"/>
        <w:rPr>
          <w:sz w:val="20"/>
          <w:szCs w:val="20"/>
          <w:color w:val="auto"/>
        </w:rPr>
      </w:pPr>
    </w:p>
    <w:p>
      <w:pPr>
        <w:ind w:left="1460"/>
        <w:spacing w:after="0"/>
        <w:tabs>
          <w:tab w:leader="none" w:pos="2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Other Notices</w:t>
      </w:r>
      <w:r>
        <w:rPr>
          <w:rFonts w:ascii="Arial" w:cs="Arial" w:eastAsia="Arial" w:hAnsi="Arial"/>
          <w:sz w:val="16"/>
          <w:szCs w:val="16"/>
          <w:color w:val="auto"/>
        </w:rPr>
        <w:t>. If at any time:</w:t>
      </w:r>
    </w:p>
    <w:p>
      <w:pPr>
        <w:spacing w:after="0" w:line="157" w:lineRule="exact"/>
        <w:rPr>
          <w:sz w:val="20"/>
          <w:szCs w:val="20"/>
          <w:color w:val="auto"/>
        </w:rPr>
      </w:pPr>
    </w:p>
    <w:p>
      <w:pPr>
        <w:ind w:left="3000" w:hanging="729"/>
        <w:spacing w:after="0"/>
        <w:tabs>
          <w:tab w:leader="none" w:pos="3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Common Stock;</w:t>
      </w:r>
    </w:p>
    <w:p>
      <w:pPr>
        <w:spacing w:after="0" w:line="156" w:lineRule="exact"/>
        <w:rPr>
          <w:rFonts w:ascii="Arial" w:cs="Arial" w:eastAsia="Arial" w:hAnsi="Arial"/>
          <w:sz w:val="18"/>
          <w:szCs w:val="18"/>
          <w:color w:val="auto"/>
        </w:rPr>
      </w:pPr>
    </w:p>
    <w:p>
      <w:pPr>
        <w:ind w:left="3000" w:hanging="729"/>
        <w:spacing w:after="0"/>
        <w:tabs>
          <w:tab w:leader="none" w:pos="3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be a Change of Control; or</w:t>
      </w:r>
    </w:p>
    <w:p>
      <w:pPr>
        <w:spacing w:after="0" w:line="156" w:lineRule="exact"/>
        <w:rPr>
          <w:rFonts w:ascii="Arial" w:cs="Arial" w:eastAsia="Arial" w:hAnsi="Arial"/>
          <w:sz w:val="18"/>
          <w:szCs w:val="18"/>
          <w:color w:val="auto"/>
        </w:rPr>
      </w:pPr>
    </w:p>
    <w:p>
      <w:pPr>
        <w:ind w:left="3000" w:hanging="729"/>
        <w:spacing w:after="0"/>
        <w:tabs>
          <w:tab w:leader="none" w:pos="3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w:t>
      </w:r>
    </w:p>
    <w:p>
      <w:pPr>
        <w:jc w:val="both"/>
        <w:ind w:firstLine="8"/>
        <w:spacing w:after="0" w:line="251" w:lineRule="auto"/>
        <w:tabs>
          <w:tab w:leader="none" w:pos="2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any such Change of Control or dissolution, liquidation, or winding-up,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or conversion, as the case may be.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79" w:name="page80"/>
    <w:bookmarkEnd w:id="79"/>
    <w:p>
      <w:pPr>
        <w:jc w:val="both"/>
        <w:ind w:firstLine="1301"/>
        <w:spacing w:after="0" w:line="255" w:lineRule="auto"/>
        <w:tabs>
          <w:tab w:leader="none" w:pos="19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Voting or Dividend Rights</w:t>
      </w:r>
      <w:r>
        <w:rPr>
          <w:rFonts w:ascii="Arial" w:cs="Arial" w:eastAsia="Arial" w:hAnsi="Arial"/>
          <w:sz w:val="18"/>
          <w:szCs w:val="18"/>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130" w:lineRule="exact"/>
        <w:rPr>
          <w:rFonts w:ascii="Arial" w:cs="Arial" w:eastAsia="Arial" w:hAnsi="Arial"/>
          <w:sz w:val="18"/>
          <w:szCs w:val="18"/>
          <w:color w:val="auto"/>
        </w:rPr>
      </w:pPr>
    </w:p>
    <w:p>
      <w:pPr>
        <w:jc w:val="both"/>
        <w:ind w:firstLine="1301"/>
        <w:spacing w:after="0" w:line="289" w:lineRule="auto"/>
        <w:tabs>
          <w:tab w:leader="none" w:pos="204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Warrants Transferable</w:t>
      </w:r>
      <w:r>
        <w:rPr>
          <w:rFonts w:ascii="Arial" w:cs="Arial" w:eastAsia="Arial" w:hAnsi="Arial"/>
          <w:sz w:val="16"/>
          <w:szCs w:val="16"/>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106" w:lineRule="exact"/>
        <w:rPr>
          <w:rFonts w:ascii="Arial" w:cs="Arial" w:eastAsia="Arial" w:hAnsi="Arial"/>
          <w:sz w:val="16"/>
          <w:szCs w:val="16"/>
          <w:color w:val="auto"/>
        </w:rPr>
      </w:pPr>
    </w:p>
    <w:p>
      <w:pPr>
        <w:jc w:val="both"/>
        <w:ind w:firstLine="1301"/>
        <w:spacing w:after="0" w:line="255" w:lineRule="auto"/>
        <w:tabs>
          <w:tab w:leader="none" w:pos="205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Lost Warrants</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130" w:lineRule="exact"/>
        <w:rPr>
          <w:rFonts w:ascii="Arial" w:cs="Arial" w:eastAsia="Arial" w:hAnsi="Arial"/>
          <w:sz w:val="18"/>
          <w:szCs w:val="18"/>
          <w:color w:val="auto"/>
        </w:rPr>
      </w:pPr>
    </w:p>
    <w:p>
      <w:pPr>
        <w:jc w:val="both"/>
        <w:ind w:firstLine="1301"/>
        <w:spacing w:after="0" w:line="306" w:lineRule="auto"/>
        <w:tabs>
          <w:tab w:leader="none" w:pos="201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affected in accordance with this Section 7 shall be binding upon the Company and the Holder.</w:t>
      </w:r>
    </w:p>
    <w:p>
      <w:pPr>
        <w:spacing w:after="0" w:line="91" w:lineRule="exact"/>
        <w:rPr>
          <w:rFonts w:ascii="Arial" w:cs="Arial" w:eastAsia="Arial" w:hAnsi="Arial"/>
          <w:sz w:val="16"/>
          <w:szCs w:val="16"/>
          <w:color w:val="auto"/>
        </w:rPr>
      </w:pPr>
    </w:p>
    <w:p>
      <w:pPr>
        <w:jc w:val="both"/>
        <w:ind w:firstLine="1301"/>
        <w:spacing w:after="0" w:line="258" w:lineRule="auto"/>
        <w:tabs>
          <w:tab w:leader="none" w:pos="19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127" w:lineRule="exact"/>
        <w:rPr>
          <w:rFonts w:ascii="Arial" w:cs="Arial" w:eastAsia="Arial" w:hAnsi="Arial"/>
          <w:sz w:val="18"/>
          <w:szCs w:val="18"/>
          <w:color w:val="auto"/>
        </w:rPr>
      </w:pPr>
    </w:p>
    <w:p>
      <w:pPr>
        <w:jc w:val="both"/>
        <w:ind w:firstLine="1301"/>
        <w:spacing w:after="0" w:line="291" w:lineRule="auto"/>
        <w:tabs>
          <w:tab w:leader="none" w:pos="199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Titles and Subtitles; Governing Law; Venue</w:t>
      </w:r>
      <w:r>
        <w:rPr>
          <w:rFonts w:ascii="Arial" w:cs="Arial" w:eastAsia="Arial" w:hAnsi="Arial"/>
          <w:sz w:val="16"/>
          <w:szCs w:val="16"/>
          <w:color w:val="auto"/>
        </w:rPr>
        <w:t>. The titles and subtitles used in this Warrant are used for convenience only and are not to be considered in construing or interpreting this Warrant. This Warrant is to be construed in accordance with and governed by the internal laws of the State of Nevada without giving effect to any choice of law rule that would cause the application of the laws of any jurisdiction other than the internal laws of the State of Nevada to the rights and duties of the Company and the Holder. All disputes and controversies arising out of or in connection with this Warrant shall be resolved exclusively by the state and federal courts located in Carson City in the State of Nevada, and each of the Company and the Holder hereto agrees to submit to the jurisdiction of said courts and agrees that venue shall lie exclusively with such courts.</w:t>
      </w:r>
    </w:p>
    <w:p>
      <w:pPr>
        <w:spacing w:after="0" w:line="103" w:lineRule="exact"/>
        <w:rPr>
          <w:rFonts w:ascii="Arial" w:cs="Arial" w:eastAsia="Arial" w:hAnsi="Arial"/>
          <w:sz w:val="16"/>
          <w:szCs w:val="16"/>
          <w:color w:val="auto"/>
        </w:rPr>
      </w:pPr>
    </w:p>
    <w:p>
      <w:pPr>
        <w:ind w:firstLine="1301"/>
        <w:spacing w:after="0" w:line="267" w:lineRule="auto"/>
        <w:tabs>
          <w:tab w:leader="none" w:pos="217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 of Warrant Shares</w:t>
      </w:r>
      <w:r>
        <w:rPr>
          <w:rFonts w:ascii="Arial" w:cs="Arial" w:eastAsia="Arial" w:hAnsi="Arial"/>
          <w:sz w:val="18"/>
          <w:szCs w:val="18"/>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[REMAINDER OF PAGE INTENTIONALLY LEFT BLANK]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6"/>
          <w:szCs w:val="16"/>
          <w:color w:val="auto"/>
        </w:rPr>
        <w:t>IN WITNESS WHEREOF, the Company has caused this Warrant to be duly executed by its officers, thereunto duly authorized as of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24"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The undersigned, the holder of a right to purchase shares of Common Stock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pursuant to that certain Warrant to Purchase Common Stock of VistaGen Therapeutics, Inc. Number CSW-_____ (the “Warrant”), dated as of ___________ __, 2019 hereby irrevocably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elects to exercise the purchase right represented by such Warrant for, and to purchase thereunder, __________________________ (_________)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the Company and herewith makes payment of Two Dollars ($2.00) therefor in cash.</w:t>
      </w:r>
    </w:p>
    <w:p>
      <w:pPr>
        <w:spacing w:after="0" w:line="218"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the Unit Subscription Agreement, dated as of ______________ ____, by and among the Company and the Holder.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____________________________</w:t>
      </w:r>
      <w:r>
        <w:rPr>
          <w:rFonts w:ascii="Arial" w:cs="Arial" w:eastAsia="Arial" w:hAnsi="Arial"/>
          <w:sz w:val="18"/>
          <w:szCs w:val="18"/>
          <w:color w:val="auto"/>
        </w:rPr>
        <w:t>_</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_________________________</w:t>
      </w:r>
      <w:r>
        <w:rPr>
          <w:rFonts w:ascii="Arial" w:cs="Arial" w:eastAsia="Arial" w:hAnsi="Arial"/>
          <w:sz w:val="18"/>
          <w:szCs w:val="18"/>
          <w:color w:val="auto"/>
        </w:rPr>
        <w:t>_</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b w:val="1"/>
          <w:bCs w:val="1"/>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HOLDER</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undersigned hereby acknowledges that as of the date hereof, __________________ (___________) shares of Common Stock remain subject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right of purchase in favor of _____________ pursuant to that certain Warrant to Purchase Common Stock of VistaGen Therapeutics, Inc., number CSW-___ dated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of __________ __,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VistaGen Therapeutics, Inc.</w:t>
      </w: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83" w:name="page84"/>
    <w:bookmarkEnd w:id="83"/>
    <w:p>
      <w:pPr>
        <w:ind w:left="5080"/>
        <w:spacing w:after="0"/>
        <w:rPr>
          <w:sz w:val="20"/>
          <w:szCs w:val="20"/>
          <w:color w:val="auto"/>
        </w:rPr>
      </w:pPr>
      <w:r>
        <w:rPr>
          <w:rFonts w:ascii="Arial" w:cs="Arial" w:eastAsia="Arial" w:hAnsi="Arial"/>
          <w:sz w:val="18"/>
          <w:szCs w:val="18"/>
          <w:b w:val="1"/>
          <w:bCs w:val="1"/>
          <w:color w:val="auto"/>
        </w:rPr>
        <w:t>Warrant Receipt</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___________________, does hereby acknowledge receipt of Warrant Number CSW-___ dated, ___________ __, 2019, representing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 (________) shares of the Common Stock Warrants of VistaGen Therapeutics,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Receipt as of the date set forth below.</w:t>
      </w:r>
    </w:p>
    <w:p>
      <w:pPr>
        <w:sectPr>
          <w:pgSz w:w="11900" w:h="16838" w:orient="portrait"/>
          <w:cols w:equalWidth="0" w:num="1">
            <w:col w:w="10580"/>
          </w:cols>
          <w:pgMar w:left="240" w:top="556" w:right="107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Common Stock Warrants</w:t>
      </w:r>
    </w:p>
    <w:p>
      <w:pPr>
        <w:spacing w:after="0" w:line="200" w:lineRule="exact"/>
        <w:rPr>
          <w:sz w:val="20"/>
          <w:szCs w:val="20"/>
          <w:color w:val="auto"/>
        </w:rPr>
      </w:pPr>
    </w:p>
    <w:p>
      <w:pPr>
        <w:sectPr>
          <w:pgSz w:w="11900" w:h="16838" w:orient="portrait"/>
          <w:cols w:equalWidth="0" w:num="2">
            <w:col w:w="1880" w:space="720"/>
            <w:col w:w="7980"/>
          </w:cols>
          <w:pgMar w:left="240" w:top="556" w:right="107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Warrant Number: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CSW-___</w:t>
      </w:r>
    </w:p>
    <w:p>
      <w:pPr>
        <w:spacing w:after="0" w:line="211" w:lineRule="exact"/>
        <w:rPr>
          <w:sz w:val="20"/>
          <w:szCs w:val="20"/>
          <w:color w:val="auto"/>
        </w:rPr>
      </w:pPr>
    </w:p>
    <w:p>
      <w:pPr>
        <w:sectPr>
          <w:pgSz w:w="11900" w:h="16838" w:orient="portrait"/>
          <w:cols w:equalWidth="0" w:num="2">
            <w:col w:w="1880" w:space="720"/>
            <w:col w:w="7980"/>
          </w:cols>
          <w:pgMar w:left="240" w:top="556" w:right="107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200" w:lineRule="exact"/>
        <w:rPr>
          <w:sz w:val="20"/>
          <w:szCs w:val="20"/>
          <w:color w:val="auto"/>
        </w:rPr>
      </w:pPr>
    </w:p>
    <w:p>
      <w:pPr>
        <w:sectPr>
          <w:pgSz w:w="11900" w:h="16838" w:orient="portrait"/>
          <w:cols w:equalWidth="0" w:num="2">
            <w:col w:w="1880" w:space="720"/>
            <w:col w:w="7980"/>
          </w:cols>
          <w:pgMar w:left="240" w:top="556" w:right="1079" w:bottom="1440" w:gutter="0" w:footer="0" w:header="0"/>
          <w:type w:val="continuous"/>
        </w:sectPr>
      </w:pPr>
    </w:p>
    <w:p>
      <w:pPr>
        <w:spacing w:after="0" w:line="30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 xml:space="preserve">Name: </w:t>
      </w:r>
      <w:r>
        <w:rPr>
          <w:rFonts w:ascii="Arial" w:cs="Arial" w:eastAsia="Arial" w:hAnsi="Arial"/>
          <w:sz w:val="15"/>
          <w:szCs w:val="15"/>
          <w:b w:val="1"/>
          <w:bCs w:val="1"/>
          <w:color w:val="auto"/>
        </w:rPr>
        <w:t>___________________________</w:t>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 xml:space="preserve">Date: </w:t>
      </w:r>
      <w:r>
        <w:rPr>
          <w:rFonts w:ascii="Arial" w:cs="Arial" w:eastAsia="Arial" w:hAnsi="Arial"/>
          <w:sz w:val="15"/>
          <w:szCs w:val="15"/>
          <w:b w:val="1"/>
          <w:bCs w:val="1"/>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240" w:top="556" w:right="107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8"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4" w:lineRule="exact"/>
        <w:rPr>
          <w:rFonts w:ascii="Arial" w:cs="Arial" w:eastAsia="Arial" w:hAnsi="Arial"/>
          <w:sz w:val="18"/>
          <w:szCs w:val="18"/>
          <w:color w:val="auto"/>
        </w:rPr>
      </w:pPr>
    </w:p>
    <w:p>
      <w:pPr>
        <w:ind w:left="660" w:hanging="652"/>
        <w:spacing w:after="0" w:line="368" w:lineRule="auto"/>
        <w:tabs>
          <w:tab w:leader="none" w:pos="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7" w:lineRule="exact"/>
        <w:rPr>
          <w:rFonts w:ascii="Arial" w:cs="Arial" w:eastAsia="Arial" w:hAnsi="Arial"/>
          <w:sz w:val="15"/>
          <w:szCs w:val="15"/>
          <w:color w:val="auto"/>
        </w:rPr>
      </w:pPr>
    </w:p>
    <w:p>
      <w:pPr>
        <w:ind w:left="660" w:hanging="652"/>
        <w:spacing w:after="0" w:line="26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jc w:val="both"/>
        <w:ind w:left="660" w:right="20" w:hanging="652"/>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1"/>
        <w:spacing w:after="0" w:line="258" w:lineRule="auto"/>
        <w:tabs>
          <w:tab w:leader="none" w:pos="9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1"/>
        <w:spacing w:after="0" w:line="258" w:lineRule="auto"/>
        <w:tabs>
          <w:tab w:leader="none" w:pos="9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1"/>
        <w:spacing w:after="0" w:line="330" w:lineRule="auto"/>
        <w:tabs>
          <w:tab w:leader="none" w:pos="966"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1"/>
        <w:spacing w:after="0" w:line="258" w:lineRule="auto"/>
        <w:tabs>
          <w:tab w:leader="none" w:pos="9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1"/>
        <w:spacing w:after="0" w:line="267" w:lineRule="auto"/>
        <w:tabs>
          <w:tab w:leader="none" w:pos="93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firstLine="331"/>
        <w:spacing w:after="0" w:line="267" w:lineRule="auto"/>
        <w:tabs>
          <w:tab w:leader="none" w:pos="9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6, 2019</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4" w:lineRule="exact"/>
        <w:rPr>
          <w:rFonts w:ascii="Arial" w:cs="Arial" w:eastAsia="Arial" w:hAnsi="Arial"/>
          <w:sz w:val="18"/>
          <w:szCs w:val="18"/>
          <w:color w:val="auto"/>
        </w:rPr>
      </w:pPr>
    </w:p>
    <w:p>
      <w:pPr>
        <w:ind w:left="660" w:hanging="652"/>
        <w:spacing w:after="0" w:line="368"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7" w:lineRule="exact"/>
        <w:rPr>
          <w:rFonts w:ascii="Arial" w:cs="Arial" w:eastAsia="Arial" w:hAnsi="Arial"/>
          <w:sz w:val="15"/>
          <w:szCs w:val="15"/>
          <w:color w:val="auto"/>
        </w:rPr>
      </w:pPr>
    </w:p>
    <w:p>
      <w:pPr>
        <w:ind w:left="660" w:hanging="652"/>
        <w:spacing w:after="0" w:line="26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jc w:val="both"/>
        <w:ind w:left="660" w:right="20" w:hanging="652"/>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1"/>
        <w:spacing w:after="0" w:line="258" w:lineRule="auto"/>
        <w:tabs>
          <w:tab w:leader="none" w:pos="95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1"/>
        <w:spacing w:after="0" w:line="258" w:lineRule="auto"/>
        <w:tabs>
          <w:tab w:leader="none" w:pos="9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1"/>
        <w:spacing w:after="0" w:line="330" w:lineRule="auto"/>
        <w:tabs>
          <w:tab w:leader="none" w:pos="966"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1"/>
        <w:spacing w:after="0" w:line="258" w:lineRule="auto"/>
        <w:tabs>
          <w:tab w:leader="none" w:pos="9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0"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1"/>
        <w:spacing w:after="0" w:line="267" w:lineRule="auto"/>
        <w:tabs>
          <w:tab w:leader="none" w:pos="9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firstLine="331"/>
        <w:spacing w:after="0" w:line="267" w:lineRule="auto"/>
        <w:tabs>
          <w:tab w:leader="none" w:pos="9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49"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2019,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842"/>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32"/>
    </w:lvl>
  </w:abstractNum>
  <w:abstractNum w:abstractNumId="27">
    <w:nsid w:val="77465F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650"/>
    </w:lvl>
  </w:abstractNum>
  <w:abstractNum w:abstractNumId="28">
    <w:nsid w:val="7724C67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
    <w:nsid w:val="5C482A97"/>
    <w:multiLevelType w:val="hybridMultilevel"/>
    <w:lvl w:ilvl="0">
      <w:lvlJc w:val="left"/>
      <w:lvlText w:val="(%1)"/>
      <w:numFmt w:val="lowerLetter"/>
      <w:start w:val="3"/>
    </w:lvl>
  </w:abstractNum>
  <w:abstractNum w:abstractNumId="30">
    <w:nsid w:val="2463B9EA"/>
    <w:multiLevelType w:val="hybridMultilevel"/>
    <w:lvl w:ilvl="0">
      <w:lvlJc w:val="left"/>
      <w:lvlText w:val="(%1)"/>
      <w:numFmt w:val="lowerLetter"/>
      <w:start w:val="11"/>
    </w:lvl>
    <w:lvl w:ilvl="1">
      <w:lvlJc w:val="left"/>
      <w:lvlText w:val="(%2)"/>
      <w:numFmt w:val="lowerRoman"/>
      <w:start w:val="1"/>
    </w:lvl>
  </w:abstractNum>
  <w:abstractNum w:abstractNumId="31">
    <w:nsid w:val="5E884ADC"/>
    <w:multiLevelType w:val="hybridMultilevel"/>
    <w:lvl w:ilvl="0">
      <w:lvlJc w:val="left"/>
      <w:lvlText w:val="(%1)"/>
      <w:numFmt w:val="lowerLetter"/>
      <w:start w:val="14"/>
    </w:lvl>
  </w:abstractNum>
  <w:abstractNum w:abstractNumId="32">
    <w:nsid w:val="51EAD36B"/>
    <w:multiLevelType w:val="hybridMultilevel"/>
    <w:lvl w:ilvl="0">
      <w:lvlJc w:val="left"/>
      <w:lvlText w:val="%1."/>
      <w:numFmt w:val="decimal"/>
      <w:start w:val="4"/>
    </w:lvl>
    <w:lvl w:ilvl="1">
      <w:lvlJc w:val="left"/>
      <w:lvlText w:val="(%2)"/>
      <w:numFmt w:val="lowerLetter"/>
      <w:start w:val="1"/>
    </w:lvl>
  </w:abstractNum>
  <w:abstractNum w:abstractNumId="33">
    <w:nsid w:val="2D51779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4">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153EA438"/>
    <w:multiLevelType w:val="hybridMultilevel"/>
    <w:lvl w:ilvl="0">
      <w:lvlJc w:val="left"/>
      <w:lvlText w:val="(%1)"/>
      <w:numFmt w:val="lowerLetter"/>
      <w:start w:val="2"/>
    </w:lvl>
    <w:lvl w:ilvl="1">
      <w:lvlJc w:val="left"/>
      <w:lvlText w:val="(%2)"/>
      <w:numFmt w:val="lowerRoman"/>
      <w:start w:val="1"/>
    </w:lvl>
  </w:abstractNum>
  <w:abstractNum w:abstractNumId="36">
    <w:nsid w:val="3855585C"/>
    <w:multiLevelType w:val="hybridMultilevel"/>
    <w:lvl w:ilvl="0">
      <w:lvlJc w:val="left"/>
      <w:lvlText w:val="%1."/>
      <w:numFmt w:val="decimal"/>
      <w:start w:val="8"/>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2020-01-09T07:46:29Z</dcterms:created>
  <dcterms:modified xsi:type="dcterms:W3CDTF">2020-01-09T07:46:29Z</dcterms:modified>
</cp:coreProperties>
</file>