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As filed with the Securities and Exchange Commission on March 31,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38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Nevada</w:t>
            </w: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2834</w:t>
            </w:r>
          </w:p>
        </w:tc>
        <w:tc>
          <w:tcPr>
            <w:tcW w:w="198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380" w:type="dxa"/>
            <w:vAlign w:val="bottom"/>
          </w:tcPr>
          <w:p>
            <w:pPr>
              <w:jc w:val="center"/>
              <w:ind w:right="132"/>
              <w:spacing w:after="0"/>
              <w:rPr>
                <w:sz w:val="20"/>
                <w:szCs w:val="20"/>
                <w:color w:val="auto"/>
              </w:rPr>
            </w:pPr>
            <w:r>
              <w:rPr>
                <w:rFonts w:ascii="Arial" w:cs="Arial" w:eastAsia="Arial" w:hAnsi="Arial"/>
                <w:sz w:val="18"/>
                <w:szCs w:val="18"/>
                <w:color w:val="auto"/>
                <w:w w:val="88"/>
              </w:rPr>
              <w:t>(State or Other Jurisdiction of</w:t>
            </w: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9"/>
              </w:rPr>
              <w:t>(Primary Standard Industrial</w:t>
            </w:r>
          </w:p>
        </w:tc>
        <w:tc>
          <w:tcPr>
            <w:tcW w:w="1980" w:type="dxa"/>
            <w:vAlign w:val="bottom"/>
          </w:tcPr>
          <w:p>
            <w:pPr>
              <w:jc w:val="center"/>
              <w:ind w:left="272"/>
              <w:spacing w:after="0"/>
              <w:rPr>
                <w:sz w:val="20"/>
                <w:szCs w:val="20"/>
                <w:color w:val="auto"/>
              </w:rPr>
            </w:pPr>
            <w:r>
              <w:rPr>
                <w:rFonts w:ascii="Arial" w:cs="Arial" w:eastAsia="Arial" w:hAnsi="Arial"/>
                <w:sz w:val="18"/>
                <w:szCs w:val="18"/>
                <w:color w:val="auto"/>
                <w:w w:val="89"/>
              </w:rPr>
              <w:t>(I.R.S. Employer</w:t>
            </w:r>
          </w:p>
        </w:tc>
      </w:tr>
      <w:tr>
        <w:trPr>
          <w:trHeight w:val="222"/>
        </w:trPr>
        <w:tc>
          <w:tcPr>
            <w:tcW w:w="2380" w:type="dxa"/>
            <w:vAlign w:val="bottom"/>
          </w:tcPr>
          <w:p>
            <w:pPr>
              <w:jc w:val="center"/>
              <w:ind w:right="132"/>
              <w:spacing w:after="0"/>
              <w:rPr>
                <w:sz w:val="20"/>
                <w:szCs w:val="20"/>
                <w:color w:val="auto"/>
              </w:rPr>
            </w:pPr>
            <w:r>
              <w:rPr>
                <w:rFonts w:ascii="Arial" w:cs="Arial" w:eastAsia="Arial" w:hAnsi="Arial"/>
                <w:sz w:val="18"/>
                <w:szCs w:val="18"/>
                <w:color w:val="auto"/>
                <w:w w:val="90"/>
              </w:rPr>
              <w:t>Incorporation or Organization)</w:t>
            </w:r>
          </w:p>
        </w:tc>
        <w:tc>
          <w:tcPr>
            <w:tcW w:w="4940" w:type="dxa"/>
            <w:vAlign w:val="bottom"/>
          </w:tcPr>
          <w:p>
            <w:pPr>
              <w:jc w:val="center"/>
              <w:ind w:right="32"/>
              <w:spacing w:after="0"/>
              <w:rPr>
                <w:sz w:val="20"/>
                <w:szCs w:val="20"/>
                <w:color w:val="auto"/>
              </w:rPr>
            </w:pPr>
            <w:r>
              <w:rPr>
                <w:rFonts w:ascii="Arial" w:cs="Arial" w:eastAsia="Arial" w:hAnsi="Arial"/>
                <w:sz w:val="18"/>
                <w:szCs w:val="18"/>
                <w:color w:val="auto"/>
                <w:w w:val="89"/>
              </w:rPr>
              <w:t>Classification Code Number)</w:t>
            </w:r>
          </w:p>
        </w:tc>
        <w:tc>
          <w:tcPr>
            <w:tcW w:w="1980" w:type="dxa"/>
            <w:vAlign w:val="bottom"/>
          </w:tcPr>
          <w:p>
            <w:pPr>
              <w:jc w:val="center"/>
              <w:ind w:left="27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2380" w:type="dxa"/>
            <w:vAlign w:val="bottom"/>
          </w:tcPr>
          <w:p>
            <w:pPr>
              <w:spacing w:after="0"/>
              <w:rPr>
                <w:sz w:val="24"/>
                <w:szCs w:val="24"/>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343 Allerton Ave.</w:t>
            </w:r>
          </w:p>
        </w:tc>
        <w:tc>
          <w:tcPr>
            <w:tcW w:w="198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South San Francisco, California 94090</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(650) 577-3600</w:t>
            </w:r>
          </w:p>
        </w:tc>
        <w:tc>
          <w:tcPr>
            <w:tcW w:w="198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color w:val="auto"/>
                <w:w w:val="88"/>
              </w:rPr>
              <w:t>(Address, including zip code, and telephone number,</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9"/>
              </w:rPr>
              <w:t>including area code, of registrant’s principal executive offices)</w:t>
            </w:r>
          </w:p>
        </w:tc>
        <w:tc>
          <w:tcPr>
            <w:tcW w:w="1980" w:type="dxa"/>
            <w:vAlign w:val="bottom"/>
          </w:tcPr>
          <w:p>
            <w:pPr>
              <w:spacing w:after="0"/>
              <w:rPr>
                <w:sz w:val="19"/>
                <w:szCs w:val="19"/>
                <w:color w:val="auto"/>
              </w:rPr>
            </w:pPr>
          </w:p>
        </w:tc>
      </w:tr>
      <w:tr>
        <w:trPr>
          <w:trHeight w:val="420"/>
        </w:trPr>
        <w:tc>
          <w:tcPr>
            <w:tcW w:w="2380" w:type="dxa"/>
            <w:vAlign w:val="bottom"/>
          </w:tcPr>
          <w:p>
            <w:pPr>
              <w:spacing w:after="0"/>
              <w:rPr>
                <w:sz w:val="24"/>
                <w:szCs w:val="24"/>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Shawn K. Singh</w:t>
            </w:r>
          </w:p>
        </w:tc>
        <w:tc>
          <w:tcPr>
            <w:tcW w:w="198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Chief Executive Officer</w:t>
            </w:r>
          </w:p>
        </w:tc>
        <w:tc>
          <w:tcPr>
            <w:tcW w:w="19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VistaGen Therapeutics, Inc.</w:t>
            </w:r>
          </w:p>
        </w:tc>
        <w:tc>
          <w:tcPr>
            <w:tcW w:w="19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343 Allerton Avenue</w:t>
            </w:r>
          </w:p>
        </w:tc>
        <w:tc>
          <w:tcPr>
            <w:tcW w:w="19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South San Francisco, California 94080</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(650) 577-3600</w:t>
            </w:r>
          </w:p>
        </w:tc>
        <w:tc>
          <w:tcPr>
            <w:tcW w:w="198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7"/>
              </w:rPr>
              <w:t>(Name, address, including zip code, and telephone number,</w:t>
            </w:r>
          </w:p>
        </w:tc>
        <w:tc>
          <w:tcPr>
            <w:tcW w:w="1980" w:type="dxa"/>
            <w:vAlign w:val="bottom"/>
          </w:tcPr>
          <w:p>
            <w:pPr>
              <w:spacing w:after="0"/>
              <w:rPr>
                <w:sz w:val="18"/>
                <w:szCs w:val="18"/>
                <w:color w:val="auto"/>
              </w:rPr>
            </w:pPr>
          </w:p>
        </w:tc>
      </w:tr>
      <w:tr>
        <w:trPr>
          <w:trHeight w:val="222"/>
        </w:trPr>
        <w:tc>
          <w:tcPr>
            <w:tcW w:w="2380" w:type="dxa"/>
            <w:vAlign w:val="bottom"/>
          </w:tcPr>
          <w:p>
            <w:pPr>
              <w:spacing w:after="0"/>
              <w:rPr>
                <w:sz w:val="19"/>
                <w:szCs w:val="19"/>
                <w:color w:val="auto"/>
              </w:rPr>
            </w:pPr>
          </w:p>
        </w:tc>
        <w:tc>
          <w:tcPr>
            <w:tcW w:w="4940" w:type="dxa"/>
            <w:vAlign w:val="bottom"/>
          </w:tcPr>
          <w:p>
            <w:pPr>
              <w:jc w:val="center"/>
              <w:ind w:right="52"/>
              <w:spacing w:after="0"/>
              <w:rPr>
                <w:sz w:val="20"/>
                <w:szCs w:val="20"/>
                <w:color w:val="auto"/>
              </w:rPr>
            </w:pPr>
            <w:r>
              <w:rPr>
                <w:rFonts w:ascii="Arial" w:cs="Arial" w:eastAsia="Arial" w:hAnsi="Arial"/>
                <w:sz w:val="18"/>
                <w:szCs w:val="18"/>
                <w:color w:val="auto"/>
                <w:w w:val="88"/>
              </w:rPr>
              <w:t>including area code, of agent for service)</w:t>
            </w:r>
          </w:p>
        </w:tc>
        <w:tc>
          <w:tcPr>
            <w:tcW w:w="1980" w:type="dxa"/>
            <w:vAlign w:val="bottom"/>
          </w:tcPr>
          <w:p>
            <w:pPr>
              <w:spacing w:after="0"/>
              <w:rPr>
                <w:sz w:val="19"/>
                <w:szCs w:val="19"/>
                <w:color w:val="auto"/>
              </w:rPr>
            </w:pP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W. Rumsey,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Disclosure Law Group, 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 West Broadway, Suite 870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(619) 272-7050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(619) 330-2101</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254"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86"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32"/>
              <w:spacing w:after="0"/>
              <w:rPr>
                <w:sz w:val="20"/>
                <w:szCs w:val="20"/>
                <w:color w:val="auto"/>
              </w:rPr>
            </w:pPr>
            <w:r>
              <w:rPr>
                <w:rFonts w:ascii="Arial" w:cs="Arial" w:eastAsia="Arial" w:hAnsi="Arial"/>
                <w:sz w:val="18"/>
                <w:szCs w:val="18"/>
                <w:color w:val="auto"/>
              </w:rPr>
              <w:t>]</w:t>
            </w:r>
          </w:p>
        </w:tc>
        <w:tc>
          <w:tcPr>
            <w:tcW w:w="45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32"/>
              <w:spacing w:after="0"/>
              <w:rPr>
                <w:sz w:val="20"/>
                <w:szCs w:val="20"/>
                <w:color w:val="auto"/>
              </w:rPr>
            </w:pPr>
            <w:r>
              <w:rPr>
                <w:rFonts w:ascii="Arial" w:cs="Arial" w:eastAsia="Arial" w:hAnsi="Arial"/>
                <w:sz w:val="18"/>
                <w:szCs w:val="18"/>
                <w:color w:val="auto"/>
              </w:rPr>
              <w:t>]</w:t>
            </w:r>
          </w:p>
        </w:tc>
        <w:tc>
          <w:tcPr>
            <w:tcW w:w="45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[X]</w:t>
            </w:r>
          </w:p>
        </w:tc>
      </w:tr>
      <w:tr>
        <w:trPr>
          <w:trHeight w:val="222"/>
        </w:trPr>
        <w:tc>
          <w:tcPr>
            <w:tcW w:w="2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5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671" w:right="339" w:bottom="0" w:gutter="0" w:footer="0" w:header="0"/>
        </w:sectPr>
      </w:pPr>
    </w:p>
    <w:bookmarkStart w:id="1" w:name="page2"/>
    <w:bookmarkEnd w:id="1"/>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342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CALCULATION OF REGISTRATION FEE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Proposed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maximum</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vMerge w:val="restart"/>
          </w:tcPr>
          <w:p>
            <w:pPr>
              <w:jc w:val="center"/>
              <w:ind w:left="1872"/>
              <w:spacing w:after="0"/>
              <w:rPr>
                <w:sz w:val="20"/>
                <w:szCs w:val="20"/>
                <w:color w:val="auto"/>
              </w:rPr>
            </w:pPr>
            <w:r>
              <w:rPr>
                <w:rFonts w:ascii="Arial" w:cs="Arial" w:eastAsia="Arial" w:hAnsi="Arial"/>
                <w:sz w:val="18"/>
                <w:szCs w:val="18"/>
                <w:b w:val="1"/>
                <w:bCs w:val="1"/>
                <w:color w:val="auto"/>
                <w:w w:val="84"/>
              </w:rPr>
              <w:t>Title of each class of</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to</w:t>
            </w: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5"/>
              </w:rPr>
              <w:t>be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32"/>
              <w:spacing w:after="0" w:line="189" w:lineRule="exact"/>
              <w:rPr>
                <w:sz w:val="20"/>
                <w:szCs w:val="20"/>
                <w:color w:val="auto"/>
              </w:rPr>
            </w:pPr>
            <w:r>
              <w:rPr>
                <w:rFonts w:ascii="Arial" w:cs="Arial" w:eastAsia="Arial" w:hAnsi="Arial"/>
                <w:sz w:val="18"/>
                <w:szCs w:val="18"/>
                <w:b w:val="1"/>
                <w:bCs w:val="1"/>
                <w:color w:val="auto"/>
                <w:w w:val="85"/>
              </w:rPr>
              <w:t>per</w:t>
            </w:r>
          </w:p>
        </w:tc>
        <w:tc>
          <w:tcPr>
            <w:tcW w:w="26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5"/>
              </w:rPr>
              <w:t>aggregate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6"/>
              </w:rPr>
              <w:t>registration</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jc w:val="center"/>
              <w:ind w:left="1872"/>
              <w:spacing w:after="0"/>
              <w:rPr>
                <w:sz w:val="20"/>
                <w:szCs w:val="20"/>
                <w:color w:val="auto"/>
              </w:rPr>
            </w:pPr>
            <w:r>
              <w:rPr>
                <w:rFonts w:ascii="Arial" w:cs="Arial" w:eastAsia="Arial" w:hAnsi="Arial"/>
                <w:sz w:val="18"/>
                <w:szCs w:val="18"/>
                <w:b w:val="1"/>
                <w:bCs w:val="1"/>
                <w:color w:val="auto"/>
                <w:w w:val="84"/>
              </w:rPr>
              <w:t>securities to be registered</w:t>
            </w:r>
          </w:p>
        </w:tc>
        <w:tc>
          <w:tcPr>
            <w:tcW w:w="1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b w:val="1"/>
                <w:bCs w:val="1"/>
                <w:color w:val="auto"/>
                <w:w w:val="84"/>
              </w:rPr>
              <w:t xml:space="preserve">registered </w:t>
            </w:r>
            <w:r>
              <w:rPr>
                <w:rFonts w:ascii="Arial" w:cs="Arial" w:eastAsia="Arial" w:hAnsi="Arial"/>
                <w:sz w:val="24"/>
                <w:szCs w:val="24"/>
                <w:b w:val="1"/>
                <w:bCs w:val="1"/>
                <w:color w:val="auto"/>
                <w:w w:val="84"/>
                <w:vertAlign w:val="superscript"/>
              </w:rPr>
              <w:t>(1)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2"/>
              <w:spacing w:after="0" w:line="257" w:lineRule="exact"/>
              <w:rPr>
                <w:sz w:val="20"/>
                <w:szCs w:val="20"/>
                <w:color w:val="auto"/>
              </w:rPr>
            </w:pPr>
            <w:r>
              <w:rPr>
                <w:rFonts w:ascii="Arial" w:cs="Arial" w:eastAsia="Arial" w:hAnsi="Arial"/>
                <w:sz w:val="18"/>
                <w:szCs w:val="18"/>
                <w:b w:val="1"/>
                <w:bCs w:val="1"/>
                <w:color w:val="auto"/>
                <w:w w:val="82"/>
              </w:rPr>
              <w:t xml:space="preserve">share </w:t>
            </w:r>
            <w:r>
              <w:rPr>
                <w:rFonts w:ascii="Arial" w:cs="Arial" w:eastAsia="Arial" w:hAnsi="Arial"/>
                <w:sz w:val="24"/>
                <w:szCs w:val="24"/>
                <w:b w:val="1"/>
                <w:bCs w:val="1"/>
                <w:color w:val="auto"/>
                <w:w w:val="82"/>
                <w:vertAlign w:val="superscript"/>
              </w:rPr>
              <w:t>(2)</w:t>
            </w:r>
          </w:p>
        </w:tc>
        <w:tc>
          <w:tcPr>
            <w:tcW w:w="26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fee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9,592,607</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3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$ 4,412,599.22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572.76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500" w:hanging="492"/>
        <w:spacing w:after="0" w:line="306"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this registration statement shall be deemed to cover the additional securities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spacing w:after="0" w:line="160"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of the Securities Act of 1933, as amended, calculated on the basis of the average of the high and low prices per share of the registrant’s common stock as reported by The Nasdaq Capital Market on March 25, 2020.</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88" w:lineRule="exact"/>
        <w:rPr>
          <w:sz w:val="20"/>
          <w:szCs w:val="20"/>
          <w:color w:val="auto"/>
        </w:rPr>
      </w:pPr>
    </w:p>
    <w:p>
      <w:pPr>
        <w:spacing w:after="0"/>
        <w:tabs>
          <w:tab w:leader="none" w:pos="4260" w:val="left"/>
          <w:tab w:leader="none" w:pos="924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6"/>
          <w:szCs w:val="16"/>
          <w:b w:val="1"/>
          <w:bCs w:val="1"/>
          <w:color w:val="FF0000"/>
        </w:rPr>
        <w:t>DATED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288925</wp:posOffset>
            </wp:positionV>
            <wp:extent cx="136271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9,592,607 Shares of Common Stock</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prospectus relates to the offer and sale of up to 9,592,607 shares of common stock, par value $0.001, of VistaGen Therapeutics, Inc., a Nevada corporation, by Lincoln Park Capital Fund, LLC (</w:t>
      </w:r>
      <w:r>
        <w:rPr>
          <w:rFonts w:ascii="Arial" w:cs="Arial" w:eastAsia="Arial" w:hAnsi="Arial"/>
          <w:sz w:val="18"/>
          <w:szCs w:val="18"/>
          <w:i w:val="1"/>
          <w:iCs w:val="1"/>
          <w:color w:val="auto"/>
        </w:rPr>
        <w:t>Lincoln Park</w:t>
      </w:r>
      <w:r>
        <w:rPr>
          <w:rFonts w:ascii="Arial" w:cs="Arial" w:eastAsia="Arial" w:hAnsi="Arial"/>
          <w:sz w:val="18"/>
          <w:szCs w:val="18"/>
          <w:color w:val="auto"/>
        </w:rPr>
        <w:t>) or the selling stockholder.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shares of common stock being offered by the selling stockholder have been or may be issued pursuant to a purchase agreement that we entered into with Lincoln Park on March 24, 2020. See </w:t>
      </w:r>
      <w:r>
        <w:rPr>
          <w:rFonts w:ascii="Arial" w:cs="Arial" w:eastAsia="Arial" w:hAnsi="Arial"/>
          <w:sz w:val="18"/>
          <w:szCs w:val="18"/>
          <w:i w:val="1"/>
          <w:iCs w:val="1"/>
          <w:color w:val="auto"/>
        </w:rPr>
        <w:t>The Lincoln Park Transaction</w:t>
      </w:r>
      <w:r>
        <w:rPr>
          <w:rFonts w:ascii="Arial" w:cs="Arial" w:eastAsia="Arial" w:hAnsi="Arial"/>
          <w:sz w:val="18"/>
          <w:szCs w:val="18"/>
          <w:color w:val="auto"/>
        </w:rPr>
        <w:t xml:space="preserve"> for a description of that agreement and </w:t>
      </w:r>
      <w:r>
        <w:rPr>
          <w:rFonts w:ascii="Arial" w:cs="Arial" w:eastAsia="Arial" w:hAnsi="Arial"/>
          <w:sz w:val="18"/>
          <w:szCs w:val="18"/>
          <w:i w:val="1"/>
          <w:iCs w:val="1"/>
          <w:color w:val="auto"/>
        </w:rPr>
        <w:t>Selling Stockholder</w:t>
      </w:r>
      <w:r>
        <w:rPr>
          <w:rFonts w:ascii="Arial" w:cs="Arial" w:eastAsia="Arial" w:hAnsi="Arial"/>
          <w:sz w:val="18"/>
          <w:szCs w:val="18"/>
          <w:color w:val="auto"/>
        </w:rPr>
        <w:t xml:space="preserve"> for additional information regarding Lincoln Park. The prices at which Lincoln Park may sell the shares will be determined by the prevailing market price for the shares or in negotiated transactions.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not selling any securities under this prospectus and will not receive any of the proceeds from the sale of shares by the selling stockholder.</w:t>
      </w:r>
    </w:p>
    <w:p>
      <w:pPr>
        <w:spacing w:after="0" w:line="24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selling stockholder may sell the shares of common stock described in this prospectus in a number of different ways and at varying prices. See </w:t>
      </w:r>
      <w:r>
        <w:rPr>
          <w:rFonts w:ascii="Arial" w:cs="Arial" w:eastAsia="Arial" w:hAnsi="Arial"/>
          <w:sz w:val="16"/>
          <w:szCs w:val="16"/>
          <w:i w:val="1"/>
          <w:iCs w:val="1"/>
          <w:color w:val="auto"/>
        </w:rPr>
        <w:t xml:space="preserve">Plan of Distribution </w:t>
      </w:r>
      <w:r>
        <w:rPr>
          <w:rFonts w:ascii="Arial" w:cs="Arial" w:eastAsia="Arial" w:hAnsi="Arial"/>
          <w:sz w:val="16"/>
          <w:szCs w:val="16"/>
          <w:color w:val="auto"/>
        </w:rPr>
        <w:t>for more information about how the selling stockholder may sell the shares of common stock being registered pursuant to this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selling stockholder is an “underwriter” within the meaning of Section 2(a)(11)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w:t>
      </w:r>
    </w:p>
    <w:p>
      <w:pPr>
        <w:spacing w:after="0" w:line="160"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 xml:space="preserve">The selling stockholder will pay all brokerage fees and commissions and similar expenses. We will pay the expenses (except brokerage fees and commissions and similar expenses) incurred in registering the shares, including legal and accounting fees.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common stock is currently listed on The Nasdaq Capital Market under the symbol “VTGN”. On March 31, 2020, the last reported sale price of our common stock on The Nasdaq Capital Market was $0.44 per share.</w:t>
      </w:r>
    </w:p>
    <w:p>
      <w:pPr>
        <w:spacing w:after="0" w:line="1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b w:val="1"/>
          <w:bCs w:val="1"/>
          <w:i w:val="1"/>
          <w:iCs w:val="1"/>
          <w:color w:val="auto"/>
        </w:rPr>
        <w:t>Investing in our common stock involves a high degree of risk. You should review carefully the risks and uncertainties described under “Risk Factors” beginning on page 6 of this prospectus, and under similar headings in any amendments or supplements to this prospectus.</w:t>
      </w:r>
    </w:p>
    <w:p>
      <w:pPr>
        <w:spacing w:after="0" w:line="135"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4040"/>
              <w:spacing w:after="0"/>
              <w:rPr>
                <w:sz w:val="20"/>
                <w:szCs w:val="20"/>
                <w:color w:val="auto"/>
              </w:rPr>
            </w:pPr>
            <w:r>
              <w:rPr>
                <w:rFonts w:ascii="Arial" w:cs="Arial" w:eastAsia="Arial" w:hAnsi="Arial"/>
                <w:sz w:val="18"/>
                <w:szCs w:val="18"/>
                <w:color w:val="auto"/>
                <w:w w:val="99"/>
              </w:rPr>
              <w:t>The date of this prospectus is</w:t>
            </w:r>
          </w:p>
        </w:tc>
        <w:tc>
          <w:tcPr>
            <w:tcW w:w="4840" w:type="dxa"/>
            <w:vAlign w:val="bottom"/>
          </w:tcPr>
          <w:p>
            <w:pPr>
              <w:jc w:val="right"/>
              <w:ind w:right="3952"/>
              <w:spacing w:after="0"/>
              <w:rPr>
                <w:sz w:val="20"/>
                <w:szCs w:val="20"/>
                <w:color w:val="auto"/>
              </w:rPr>
            </w:pPr>
            <w:r>
              <w:rPr>
                <w:rFonts w:ascii="Arial" w:cs="Arial" w:eastAsia="Arial" w:hAnsi="Arial"/>
                <w:sz w:val="18"/>
                <w:szCs w:val="18"/>
                <w:color w:val="auto"/>
              </w:rPr>
              <w:t>, 2020.</w:t>
            </w:r>
          </w:p>
        </w:tc>
      </w:tr>
      <w:tr>
        <w:trPr>
          <w:trHeight w:val="657"/>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2"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40" w:type="dxa"/>
            <w:vAlign w:val="bottom"/>
            <w:gridSpan w:val="2"/>
          </w:tcPr>
          <w:p>
            <w:pPr>
              <w:ind w:left="960"/>
              <w:spacing w:after="0"/>
              <w:rPr>
                <w:sz w:val="20"/>
                <w:szCs w:val="20"/>
                <w:color w:val="auto"/>
              </w:rPr>
            </w:pPr>
            <w:r>
              <w:rPr>
                <w:rFonts w:ascii="Arial" w:cs="Arial" w:eastAsia="Arial" w:hAnsi="Arial"/>
                <w:sz w:val="18"/>
                <w:szCs w:val="18"/>
                <w:b w:val="1"/>
                <w:bCs w:val="1"/>
                <w:color w:val="auto"/>
              </w:rPr>
              <w:t>TABLE OF CONTENTS</w:t>
            </w:r>
          </w:p>
        </w:tc>
        <w:tc>
          <w:tcPr>
            <w:tcW w:w="2680" w:type="dxa"/>
            <w:vAlign w:val="bottom"/>
          </w:tcPr>
          <w:p>
            <w:pPr>
              <w:spacing w:after="0"/>
              <w:rPr>
                <w:sz w:val="19"/>
                <w:szCs w:val="19"/>
                <w:color w:val="auto"/>
              </w:rPr>
            </w:pPr>
          </w:p>
        </w:tc>
      </w:tr>
      <w:tr>
        <w:trPr>
          <w:trHeight w:val="218"/>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6"/>
        </w:trPr>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2680" w:type="dxa"/>
            <w:vAlign w:val="bottom"/>
            <w:shd w:val="clear" w:color="auto" w:fill="CCEEFF"/>
          </w:tcPr>
          <w:p>
            <w:pPr>
              <w:jc w:val="center"/>
              <w:ind w:left="1472"/>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204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6520" w:type="dxa"/>
            <w:vAlign w:val="bottom"/>
            <w:tcBorders>
              <w:top w:val="single" w:sz="8" w:color="CCEEFF"/>
            </w:tcBorders>
            <w:gridSpan w:val="7"/>
          </w:tcPr>
          <w:p>
            <w:pPr>
              <w:spacing w:after="0"/>
              <w:rPr>
                <w:sz w:val="15"/>
                <w:szCs w:val="15"/>
                <w:color w:val="auto"/>
              </w:rPr>
            </w:pPr>
          </w:p>
        </w:tc>
        <w:tc>
          <w:tcPr>
            <w:tcW w:w="2680" w:type="dxa"/>
            <w:vAlign w:val="bottom"/>
            <w:tcBorders>
              <w:top w:val="single" w:sz="8" w:color="CCEEFF"/>
            </w:tcBorders>
          </w:tcPr>
          <w:p>
            <w:pPr>
              <w:jc w:val="center"/>
              <w:ind w:left="1472"/>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INCORPORATION BY REFERENCE</w:t>
              </w:r>
            </w:hyperlink>
          </w:p>
        </w:tc>
        <w:tc>
          <w:tcPr>
            <w:tcW w:w="5800" w:type="dxa"/>
            <w:vAlign w:val="bottom"/>
            <w:tcBorders>
              <w:bottom w:val="single" w:sz="8" w:color="CCEEFF"/>
            </w:tcBorders>
            <w:gridSpan w:val="4"/>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ind w:left="1472"/>
              <w:spacing w:after="0" w:line="176" w:lineRule="exact"/>
              <w:rPr>
                <w:sz w:val="20"/>
                <w:szCs w:val="20"/>
                <w:color w:val="auto"/>
              </w:rPr>
            </w:pPr>
            <w:r>
              <w:rPr>
                <w:rFonts w:ascii="Arial" w:cs="Arial" w:eastAsia="Arial" w:hAnsi="Arial"/>
                <w:sz w:val="18"/>
                <w:szCs w:val="18"/>
                <w:color w:val="auto"/>
                <w:w w:val="79"/>
              </w:rPr>
              <w:t>9</w:t>
            </w:r>
          </w:p>
        </w:tc>
      </w:tr>
      <w:tr>
        <w:trPr>
          <w:trHeight w:val="175"/>
        </w:trPr>
        <w:tc>
          <w:tcPr>
            <w:tcW w:w="8560" w:type="dxa"/>
            <w:vAlign w:val="bottom"/>
            <w:gridSpan w:val="14"/>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CAUTIONARY NOTE REGARDING FORWARD-LOOKING STATEMENTS</w:t>
              </w:r>
            </w:hyperlink>
          </w:p>
        </w:tc>
        <w:tc>
          <w:tcPr>
            <w:tcW w:w="2680" w:type="dxa"/>
            <w:vAlign w:val="bottom"/>
          </w:tcPr>
          <w:p>
            <w:pPr>
              <w:jc w:val="center"/>
              <w:ind w:left="1472"/>
              <w:spacing w:after="0" w:line="176" w:lineRule="exact"/>
              <w:rPr>
                <w:sz w:val="20"/>
                <w:szCs w:val="20"/>
                <w:color w:val="auto"/>
              </w:rPr>
            </w:pPr>
            <w:r>
              <w:rPr>
                <w:rFonts w:ascii="Arial" w:cs="Arial" w:eastAsia="Arial" w:hAnsi="Arial"/>
                <w:sz w:val="18"/>
                <w:szCs w:val="18"/>
                <w:color w:val="auto"/>
                <w:w w:val="79"/>
              </w:rPr>
              <w:t>10</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6"/>
        </w:trPr>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2680" w:type="dxa"/>
            <w:vAlign w:val="bottom"/>
            <w:shd w:val="clear" w:color="auto" w:fill="CCEEFF"/>
          </w:tcPr>
          <w:p>
            <w:pPr>
              <w:jc w:val="center"/>
              <w:ind w:left="1472"/>
              <w:spacing w:after="0" w:line="176" w:lineRule="exact"/>
              <w:rPr>
                <w:sz w:val="20"/>
                <w:szCs w:val="20"/>
                <w:color w:val="auto"/>
              </w:rPr>
            </w:pPr>
            <w:r>
              <w:rPr>
                <w:rFonts w:ascii="Arial" w:cs="Arial" w:eastAsia="Arial" w:hAnsi="Arial"/>
                <w:sz w:val="18"/>
                <w:szCs w:val="18"/>
                <w:color w:val="auto"/>
                <w:w w:val="79"/>
              </w:rPr>
              <w:t>11</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60" w:type="dxa"/>
            <w:vAlign w:val="bottom"/>
            <w:gridSpan w:val="1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DIVIDEND POLICY</w:t>
              </w:r>
            </w:hyperlink>
          </w:p>
        </w:tc>
        <w:tc>
          <w:tcPr>
            <w:tcW w:w="2680" w:type="dxa"/>
            <w:vAlign w:val="bottom"/>
          </w:tcPr>
          <w:p>
            <w:pPr>
              <w:jc w:val="center"/>
              <w:ind w:left="1472"/>
              <w:spacing w:after="0" w:line="176" w:lineRule="exact"/>
              <w:rPr>
                <w:sz w:val="20"/>
                <w:szCs w:val="20"/>
                <w:color w:val="auto"/>
              </w:rPr>
            </w:pPr>
            <w:r>
              <w:rPr>
                <w:rFonts w:ascii="Arial" w:cs="Arial" w:eastAsia="Arial" w:hAnsi="Arial"/>
                <w:sz w:val="18"/>
                <w:szCs w:val="18"/>
                <w:color w:val="auto"/>
                <w:w w:val="79"/>
              </w:rPr>
              <w:t>12</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6"/>
        </w:trPr>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SELLING STOCKHOLDER</w:t>
              </w:r>
            </w:hyperlink>
          </w:p>
        </w:tc>
        <w:tc>
          <w:tcPr>
            <w:tcW w:w="2680" w:type="dxa"/>
            <w:vAlign w:val="bottom"/>
            <w:shd w:val="clear" w:color="auto" w:fill="CCEEFF"/>
          </w:tcPr>
          <w:p>
            <w:pPr>
              <w:jc w:val="center"/>
              <w:ind w:left="1472"/>
              <w:spacing w:after="0" w:line="176" w:lineRule="exact"/>
              <w:rPr>
                <w:sz w:val="20"/>
                <w:szCs w:val="20"/>
                <w:color w:val="auto"/>
              </w:rPr>
            </w:pPr>
            <w:r>
              <w:rPr>
                <w:rFonts w:ascii="Arial" w:cs="Arial" w:eastAsia="Arial" w:hAnsi="Arial"/>
                <w:sz w:val="18"/>
                <w:szCs w:val="18"/>
                <w:color w:val="auto"/>
                <w:w w:val="79"/>
              </w:rPr>
              <w:t>13</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60" w:type="dxa"/>
            <w:vAlign w:val="bottom"/>
            <w:gridSpan w:val="14"/>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LINCOLN PARK TRANSACTION</w:t>
              </w:r>
            </w:hyperlink>
          </w:p>
        </w:tc>
        <w:tc>
          <w:tcPr>
            <w:tcW w:w="2680" w:type="dxa"/>
            <w:vAlign w:val="bottom"/>
          </w:tcPr>
          <w:p>
            <w:pPr>
              <w:jc w:val="center"/>
              <w:ind w:left="1472"/>
              <w:spacing w:after="0" w:line="176" w:lineRule="exact"/>
              <w:rPr>
                <w:sz w:val="20"/>
                <w:szCs w:val="20"/>
                <w:color w:val="auto"/>
              </w:rPr>
            </w:pPr>
            <w:r>
              <w:rPr>
                <w:rFonts w:ascii="Arial" w:cs="Arial" w:eastAsia="Arial" w:hAnsi="Arial"/>
                <w:sz w:val="18"/>
                <w:szCs w:val="18"/>
                <w:color w:val="auto"/>
                <w:w w:val="79"/>
              </w:rPr>
              <w:t>14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5"/>
        </w:trPr>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2680" w:type="dxa"/>
            <w:vAlign w:val="bottom"/>
            <w:shd w:val="clear" w:color="auto" w:fill="CCEEFF"/>
          </w:tcPr>
          <w:p>
            <w:pPr>
              <w:jc w:val="center"/>
              <w:ind w:left="1472"/>
              <w:spacing w:after="0" w:line="176" w:lineRule="exact"/>
              <w:rPr>
                <w:sz w:val="20"/>
                <w:szCs w:val="20"/>
                <w:color w:val="auto"/>
              </w:rPr>
            </w:pPr>
            <w:r>
              <w:rPr>
                <w:rFonts w:ascii="Arial" w:cs="Arial" w:eastAsia="Arial" w:hAnsi="Arial"/>
                <w:sz w:val="18"/>
                <w:szCs w:val="18"/>
                <w:color w:val="auto"/>
                <w:w w:val="79"/>
              </w:rPr>
              <w:t>18</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6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CAPITAL STOCK</w:t>
              </w:r>
            </w:hyperlink>
          </w:p>
        </w:tc>
        <w:tc>
          <w:tcPr>
            <w:tcW w:w="2680" w:type="dxa"/>
            <w:vAlign w:val="bottom"/>
          </w:tcPr>
          <w:p>
            <w:pPr>
              <w:jc w:val="center"/>
              <w:ind w:left="1472"/>
              <w:spacing w:after="0" w:line="176" w:lineRule="exact"/>
              <w:rPr>
                <w:sz w:val="20"/>
                <w:szCs w:val="20"/>
                <w:color w:val="auto"/>
              </w:rPr>
            </w:pPr>
            <w:r>
              <w:rPr>
                <w:rFonts w:ascii="Arial" w:cs="Arial" w:eastAsia="Arial" w:hAnsi="Arial"/>
                <w:sz w:val="18"/>
                <w:szCs w:val="18"/>
                <w:color w:val="auto"/>
                <w:w w:val="79"/>
              </w:rPr>
              <w:t>19</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2680" w:type="dxa"/>
            <w:vAlign w:val="bottom"/>
            <w:shd w:val="clear" w:color="auto" w:fill="CCEEFF"/>
          </w:tcPr>
          <w:p>
            <w:pPr>
              <w:jc w:val="center"/>
              <w:ind w:left="1472"/>
              <w:spacing w:after="0" w:line="176" w:lineRule="exact"/>
              <w:rPr>
                <w:sz w:val="20"/>
                <w:szCs w:val="20"/>
                <w:color w:val="auto"/>
              </w:rPr>
            </w:pPr>
            <w:r>
              <w:rPr>
                <w:rFonts w:ascii="Arial" w:cs="Arial" w:eastAsia="Arial" w:hAnsi="Arial"/>
                <w:sz w:val="18"/>
                <w:szCs w:val="18"/>
                <w:color w:val="auto"/>
                <w:w w:val="79"/>
              </w:rPr>
              <w:t>21</w:t>
            </w:r>
          </w:p>
        </w:tc>
      </w:tr>
      <w:tr>
        <w:trPr>
          <w:trHeight w:val="176"/>
        </w:trPr>
        <w:tc>
          <w:tcPr>
            <w:tcW w:w="14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7140" w:type="dxa"/>
            <w:vAlign w:val="bottom"/>
            <w:tcBorders>
              <w:top w:val="single" w:sz="8" w:color="CCEEFF"/>
            </w:tcBorders>
            <w:gridSpan w:val="10"/>
          </w:tcPr>
          <w:p>
            <w:pPr>
              <w:spacing w:after="0"/>
              <w:rPr>
                <w:sz w:val="15"/>
                <w:szCs w:val="15"/>
                <w:color w:val="auto"/>
              </w:rPr>
            </w:pPr>
          </w:p>
        </w:tc>
        <w:tc>
          <w:tcPr>
            <w:tcW w:w="2680" w:type="dxa"/>
            <w:vAlign w:val="bottom"/>
            <w:tcBorders>
              <w:top w:val="single" w:sz="8" w:color="CCEEFF"/>
            </w:tcBorders>
          </w:tcPr>
          <w:p>
            <w:pPr>
              <w:jc w:val="center"/>
              <w:ind w:left="1472"/>
              <w:spacing w:after="0" w:line="176" w:lineRule="exact"/>
              <w:rPr>
                <w:sz w:val="20"/>
                <w:szCs w:val="20"/>
                <w:color w:val="auto"/>
              </w:rPr>
            </w:pPr>
            <w:r>
              <w:rPr>
                <w:rFonts w:ascii="Arial" w:cs="Arial" w:eastAsia="Arial" w:hAnsi="Arial"/>
                <w:sz w:val="18"/>
                <w:szCs w:val="18"/>
                <w:color w:val="auto"/>
                <w:w w:val="79"/>
              </w:rPr>
              <w:t>21</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2680" w:type="dxa"/>
            <w:vAlign w:val="bottom"/>
            <w:shd w:val="clear" w:color="auto" w:fill="CCEEFF"/>
          </w:tcPr>
          <w:p>
            <w:pPr>
              <w:jc w:val="center"/>
              <w:ind w:left="1472"/>
              <w:spacing w:after="0" w:line="176" w:lineRule="exact"/>
              <w:rPr>
                <w:sz w:val="20"/>
                <w:szCs w:val="20"/>
                <w:color w:val="auto"/>
              </w:rPr>
            </w:pPr>
            <w:r>
              <w:rPr>
                <w:rFonts w:ascii="Arial" w:cs="Arial" w:eastAsia="Arial" w:hAnsi="Arial"/>
                <w:sz w:val="18"/>
                <w:szCs w:val="18"/>
                <w:color w:val="auto"/>
                <w:w w:val="79"/>
              </w:rPr>
              <w:t>21</w:t>
            </w:r>
          </w:p>
        </w:tc>
      </w:tr>
      <w:tr>
        <w:trPr>
          <w:trHeight w:val="175"/>
        </w:trPr>
        <w:tc>
          <w:tcPr>
            <w:tcW w:w="130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EXHIBIT INDEX</w:t>
              </w:r>
            </w:hyperlink>
          </w:p>
        </w:tc>
        <w:tc>
          <w:tcPr>
            <w:tcW w:w="2420" w:type="dxa"/>
            <w:vAlign w:val="bottom"/>
            <w:tcBorders>
              <w:top w:val="single" w:sz="8" w:color="0000EE"/>
            </w:tcBorders>
            <w:gridSpan w:val="9"/>
          </w:tcPr>
          <w:p>
            <w:pPr>
              <w:spacing w:after="0"/>
              <w:rPr>
                <w:sz w:val="15"/>
                <w:szCs w:val="15"/>
                <w:color w:val="auto"/>
              </w:rPr>
            </w:pPr>
          </w:p>
        </w:tc>
        <w:tc>
          <w:tcPr>
            <w:tcW w:w="4840" w:type="dxa"/>
            <w:vAlign w:val="bottom"/>
            <w:tcBorders>
              <w:top w:val="single" w:sz="8" w:color="CCEEFF"/>
            </w:tcBorders>
            <w:gridSpan w:val="2"/>
          </w:tcPr>
          <w:p>
            <w:pPr>
              <w:spacing w:after="0"/>
              <w:rPr>
                <w:sz w:val="15"/>
                <w:szCs w:val="15"/>
                <w:color w:val="auto"/>
              </w:rPr>
            </w:pPr>
          </w:p>
        </w:tc>
        <w:tc>
          <w:tcPr>
            <w:tcW w:w="2680" w:type="dxa"/>
            <w:vAlign w:val="bottom"/>
            <w:tcBorders>
              <w:top w:val="single" w:sz="8" w:color="CCEEFF"/>
            </w:tcBorders>
          </w:tcPr>
          <w:p>
            <w:pPr>
              <w:ind w:left="1980"/>
              <w:spacing w:after="0" w:line="176" w:lineRule="exact"/>
              <w:rPr>
                <w:sz w:val="20"/>
                <w:szCs w:val="20"/>
                <w:color w:val="auto"/>
              </w:rPr>
            </w:pPr>
            <w:r>
              <w:rPr>
                <w:rFonts w:ascii="Arial" w:cs="Arial" w:eastAsia="Arial" w:hAnsi="Arial"/>
                <w:sz w:val="18"/>
                <w:szCs w:val="18"/>
                <w:color w:val="auto"/>
              </w:rPr>
              <w:t>II-2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7980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“Management’s Discussion and Analysis of Financial Condition and Results of Operations” and our consolidated financial statements and related notes contained elsewhere in this prospectus. Unless the context otherwise requires, the words “VistaGen Therapeutics, Inc.” “VistaGen,” “we,” “the Company,” “us” and “our” refer to VistaGen Therapeutics, Inc., a Nevada corporation. “VistaStem Therapeutics, Inc.” and “VistaGen California” refer to our wholly owned subsidiary, VistaGen Therapeutics, Inc., a California corporation doing business as VistaStem Therapeutics, Inc.</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left="120" w:firstLine="648"/>
        <w:spacing w:after="0" w:line="317" w:lineRule="auto"/>
        <w:rPr>
          <w:sz w:val="20"/>
          <w:szCs w:val="20"/>
          <w:color w:val="auto"/>
        </w:rPr>
      </w:pPr>
      <w:r>
        <w:rPr>
          <w:rFonts w:ascii="Arial" w:cs="Arial" w:eastAsia="Arial" w:hAnsi="Arial"/>
          <w:sz w:val="15"/>
          <w:szCs w:val="15"/>
          <w:color w:val="auto"/>
        </w:rPr>
        <w:t>We are a multi-asset, clinical-stage biopharmaceutical company committed to developing differentiated new generation medications for anxiety, depression and other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4"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176"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w:t>
      </w:r>
      <w:r>
        <w:rPr>
          <w:rFonts w:ascii="Arial" w:cs="Arial" w:eastAsia="Arial" w:hAnsi="Arial"/>
          <w:sz w:val="16"/>
          <w:szCs w:val="16"/>
          <w:color w:val="auto"/>
        </w:rPr>
        <w:t xml:space="preserve"> </w:t>
      </w:r>
      <w:r>
        <w:rPr>
          <w:rFonts w:ascii="Arial" w:cs="Arial" w:eastAsia="Arial" w:hAnsi="Arial"/>
          <w:sz w:val="16"/>
          <w:szCs w:val="16"/>
          <w:color w:val="333333"/>
        </w:rPr>
        <w:t>for on-demand treatment of SAD, the FDA’s first such designation for a drug candidate for SAD.</w:t>
      </w:r>
    </w:p>
    <w:p>
      <w:pPr>
        <w:sectPr>
          <w:pgSz w:w="11900" w:h="16838" w:orient="portrait"/>
          <w:cols w:equalWidth="0" w:num="1">
            <w:col w:w="11020"/>
          </w:cols>
          <w:pgMar w:left="32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7020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02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201"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ectPr>
          <w:pgSz w:w="11900" w:h="16838" w:orient="portrait"/>
          <w:cols w:equalWidth="0" w:num="1">
            <w:col w:w="11020"/>
          </w:cols>
          <w:pgMar w:left="32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132320" cy="6746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74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184"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(RM) fields.</w:t>
      </w:r>
    </w:p>
    <w:p>
      <w:pPr>
        <w:spacing w:after="0" w:line="20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In a manner similar to the Bayer Agreement, we may pursue additional collaborations involving rights to develop and commercialize VistaStem’s hPSC technologies for production of blood, cartilage, and/or liver cells for CT and RM applications, including, among other indications, treatment of arthritis, cancer and liver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666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6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January 2020 Registered Direct Offering and Concurrent Offering of Warrants</w:t>
      </w:r>
    </w:p>
    <w:p>
      <w:pPr>
        <w:spacing w:after="0" w:line="225" w:lineRule="exact"/>
        <w:rPr>
          <w:sz w:val="20"/>
          <w:szCs w:val="20"/>
          <w:color w:val="auto"/>
        </w:rPr>
      </w:pPr>
    </w:p>
    <w:p>
      <w:pPr>
        <w:jc w:val="both"/>
        <w:ind w:left="120" w:firstLine="648"/>
        <w:spacing w:after="0" w:line="323" w:lineRule="auto"/>
        <w:rPr>
          <w:sz w:val="20"/>
          <w:szCs w:val="20"/>
          <w:color w:val="auto"/>
        </w:rPr>
      </w:pPr>
      <w:r>
        <w:rPr>
          <w:rFonts w:ascii="Arial" w:cs="Arial" w:eastAsia="Arial" w:hAnsi="Arial"/>
          <w:sz w:val="15"/>
          <w:szCs w:val="15"/>
          <w:color w:val="auto"/>
        </w:rPr>
        <w:t xml:space="preserve">On January 24, 2020, we entered into a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5"/>
          <w:szCs w:val="15"/>
          <w:i w:val="1"/>
          <w:iCs w:val="1"/>
          <w:color w:val="auto"/>
        </w:rPr>
        <w:t>January</w:t>
      </w:r>
      <w:r>
        <w:rPr>
          <w:rFonts w:ascii="Arial" w:cs="Arial" w:eastAsia="Arial" w:hAnsi="Arial"/>
          <w:sz w:val="15"/>
          <w:szCs w:val="15"/>
          <w:color w:val="auto"/>
        </w:rPr>
        <w:t xml:space="preserve"> </w:t>
      </w:r>
      <w:r>
        <w:rPr>
          <w:rFonts w:ascii="Arial" w:cs="Arial" w:eastAsia="Arial" w:hAnsi="Arial"/>
          <w:sz w:val="15"/>
          <w:szCs w:val="15"/>
          <w:i w:val="1"/>
          <w:iCs w:val="1"/>
          <w:color w:val="auto"/>
        </w:rPr>
        <w:t>2020 Offering</w:t>
      </w:r>
      <w:r>
        <w:rPr>
          <w:rFonts w:ascii="Arial" w:cs="Arial" w:eastAsia="Arial" w:hAnsi="Arial"/>
          <w:sz w:val="15"/>
          <w:szCs w:val="15"/>
          <w:color w:val="auto"/>
        </w:rPr>
        <w:t>). Concurrently with the January 2020 Offering, we also commenced a private placement in which we issued and sold warrants exercisable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an aggregate of 3,870,077 unregistered shares of our common stock (the </w:t>
      </w:r>
      <w:r>
        <w:rPr>
          <w:rFonts w:ascii="Arial" w:cs="Arial" w:eastAsia="Arial" w:hAnsi="Arial"/>
          <w:sz w:val="15"/>
          <w:szCs w:val="15"/>
          <w:i w:val="1"/>
          <w:iCs w:val="1"/>
          <w:color w:val="auto"/>
        </w:rPr>
        <w:t>Warrant Shares</w:t>
      </w:r>
      <w:r>
        <w:rPr>
          <w:rFonts w:ascii="Arial" w:cs="Arial" w:eastAsia="Arial" w:hAnsi="Arial"/>
          <w:sz w:val="15"/>
          <w:szCs w:val="15"/>
          <w:color w:val="auto"/>
        </w:rPr>
        <w:t>), having an exercise price of $0.73 per Warrant Share.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Lincoln Park Purchase Agreement</w:t>
      </w:r>
    </w:p>
    <w:p>
      <w:pPr>
        <w:spacing w:after="0" w:line="231" w:lineRule="exact"/>
        <w:rPr>
          <w:sz w:val="20"/>
          <w:szCs w:val="20"/>
          <w:color w:val="auto"/>
        </w:rPr>
      </w:pPr>
    </w:p>
    <w:p>
      <w:pPr>
        <w:jc w:val="both"/>
        <w:ind w:left="120" w:firstLine="648"/>
        <w:spacing w:after="0" w:line="331" w:lineRule="auto"/>
        <w:rPr>
          <w:sz w:val="20"/>
          <w:szCs w:val="20"/>
          <w:color w:val="auto"/>
        </w:rPr>
      </w:pPr>
      <w:r>
        <w:rPr>
          <w:rFonts w:ascii="Arial" w:cs="Arial" w:eastAsia="Arial" w:hAnsi="Arial"/>
          <w:sz w:val="16"/>
          <w:szCs w:val="16"/>
          <w:color w:val="auto"/>
        </w:rPr>
        <w:t xml:space="preserve">On March 24, 2020, we entered into a purchase agreement (the </w:t>
      </w:r>
      <w:r>
        <w:rPr>
          <w:rFonts w:ascii="Arial" w:cs="Arial" w:eastAsia="Arial" w:hAnsi="Arial"/>
          <w:sz w:val="16"/>
          <w:szCs w:val="16"/>
          <w:i w:val="1"/>
          <w:iCs w:val="1"/>
          <w:color w:val="auto"/>
        </w:rPr>
        <w:t>Purchase Agreement</w:t>
      </w:r>
      <w:r>
        <w:rPr>
          <w:rFonts w:ascii="Arial" w:cs="Arial" w:eastAsia="Arial" w:hAnsi="Arial"/>
          <w:sz w:val="16"/>
          <w:szCs w:val="16"/>
          <w:color w:val="auto"/>
        </w:rPr>
        <w:t xml:space="preserve">) and a registration rights agreement (the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with Lincoln Park pursuant to which Lincoln Park committed to purchase up to $10,250,000 of our common stock.</w:t>
      </w:r>
    </w:p>
    <w:p>
      <w:pPr>
        <w:spacing w:after="0" w:line="14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Under the terms and subject to the conditions of the Purchase Agreement, we have the right, but not the obligation, to sell to Lincoln Park, and Lincoln Park is obligated to purchase up to $10,250,000 of shares of our common stock. On March 24, 2020, we sold 500,000 shares of common stock to Lincoln Park under the Purchase Agreement at a price of $0.50 per share for proceeds of $250,000. Future sales of common stock under the Purchase Agreement, if any, will be subject to certain limitations, and may occur from time to time, at our sole discretion, over the 24-month period commencing on the date that a registration statement of which this prospectus forms a part, which we agreed to file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pursuant to the Registration Rights Agreement, is declared effective by the SEC and a final prospectus in connection therewith is filed and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set forth in the Purchase Agreement are satisfied (such date on which all of such conditions are satisfied, the </w:t>
      </w:r>
      <w:r>
        <w:rPr>
          <w:rFonts w:ascii="Arial" w:cs="Arial" w:eastAsia="Arial" w:hAnsi="Arial"/>
          <w:sz w:val="16"/>
          <w:szCs w:val="16"/>
          <w:i w:val="1"/>
          <w:iCs w:val="1"/>
          <w:color w:val="auto"/>
        </w:rPr>
        <w:t>Commencement Date</w:t>
      </w:r>
      <w:r>
        <w:rPr>
          <w:rFonts w:ascii="Arial" w:cs="Arial" w:eastAsia="Arial" w:hAnsi="Arial"/>
          <w:sz w:val="16"/>
          <w:szCs w:val="16"/>
          <w:color w:val="auto"/>
        </w:rPr>
        <w:t>).</w:t>
      </w:r>
    </w:p>
    <w:p>
      <w:pPr>
        <w:spacing w:after="0" w:line="172"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After the Commencement Date, on any business day over the term of the Purchase Agreement, we have the right, in our sole discretion, to direct Lincoln Park to purchase up to 100,000 shares on such business day (the </w:t>
      </w:r>
      <w:r>
        <w:rPr>
          <w:rFonts w:ascii="Arial" w:cs="Arial" w:eastAsia="Arial" w:hAnsi="Arial"/>
          <w:sz w:val="16"/>
          <w:szCs w:val="16"/>
          <w:i w:val="1"/>
          <w:iCs w:val="1"/>
          <w:color w:val="auto"/>
        </w:rPr>
        <w:t>Regular Purchase</w:t>
      </w:r>
      <w:r>
        <w:rPr>
          <w:rFonts w:ascii="Arial" w:cs="Arial" w:eastAsia="Arial" w:hAnsi="Arial"/>
          <w:sz w:val="16"/>
          <w:szCs w:val="16"/>
          <w:color w:val="auto"/>
        </w:rPr>
        <w:t xml:space="preserve">), subject to increases under certain circumstances as provided in the Purchase Agreement. The purchase price per share for each such Regular Purchase will be based on prevailing market prices of the Company’s common stock immediately preceding the time of sale as computed under the Purchase Agreement. In each case, Lincoln Park’s maximum commitment in any single Regular Purchase may not exceed $1,000,000. In addition to Regular Purchases, provided that we present Lincoln Park with a purchase notice for the full amount allowed for a Regular Purchase, we may also direct Lincoln Park to make </w:t>
      </w:r>
      <w:r>
        <w:rPr>
          <w:rFonts w:ascii="Arial" w:cs="Arial" w:eastAsia="Arial" w:hAnsi="Arial"/>
          <w:sz w:val="16"/>
          <w:szCs w:val="16"/>
          <w:color w:val="212529"/>
        </w:rPr>
        <w:t>accelerated purchases and additional accelerated purchases</w:t>
      </w:r>
      <w:r>
        <w:rPr>
          <w:rFonts w:ascii="Arial" w:cs="Arial" w:eastAsia="Arial" w:hAnsi="Arial"/>
          <w:sz w:val="16"/>
          <w:szCs w:val="16"/>
          <w:color w:val="auto"/>
        </w:rPr>
        <w:t xml:space="preserve"> </w:t>
      </w:r>
      <w:r>
        <w:rPr>
          <w:rFonts w:ascii="Arial" w:cs="Arial" w:eastAsia="Arial" w:hAnsi="Arial"/>
          <w:sz w:val="16"/>
          <w:szCs w:val="16"/>
          <w:color w:val="212529"/>
        </w:rPr>
        <w:t>as described in the Purchase Agreement</w:t>
      </w:r>
      <w:r>
        <w:rPr>
          <w:rFonts w:ascii="Arial" w:cs="Arial" w:eastAsia="Arial" w:hAnsi="Arial"/>
          <w:sz w:val="16"/>
          <w:szCs w:val="16"/>
          <w:color w:val="000000"/>
        </w:rPr>
        <w:t>.</w:t>
      </w:r>
    </w:p>
    <w:p>
      <w:pPr>
        <w:spacing w:after="0" w:line="172"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Under applicable rules of the Nasdaq Capital Market, the aggregate number of shares that we can sell to Lincoln Park under the Purchase Agreement may in no case exceed 19.99% of our common stock outstanding immediately prior to the execution of the Purchase Agreement (which is 9,592,607 shares of common stock) (the </w:t>
      </w:r>
      <w:r>
        <w:rPr>
          <w:rFonts w:ascii="Arial" w:cs="Arial" w:eastAsia="Arial" w:hAnsi="Arial"/>
          <w:sz w:val="16"/>
          <w:szCs w:val="16"/>
          <w:i w:val="1"/>
          <w:iCs w:val="1"/>
          <w:color w:val="auto"/>
        </w:rPr>
        <w:t>Exchange Cap</w:t>
      </w:r>
      <w:r>
        <w:rPr>
          <w:rFonts w:ascii="Arial" w:cs="Arial" w:eastAsia="Arial" w:hAnsi="Arial"/>
          <w:sz w:val="16"/>
          <w:szCs w:val="16"/>
          <w:color w:val="auto"/>
        </w:rPr>
        <w:t>), unless (i) stockholder approval is obtained to issue more, in which case the Exchange Cap will not apply, or (ii) the average price of all applicable sales of our common stock to Lincoln Park under the Purchase Agreement equals or exceeds the closing price of our common stock on the Nasdaq Capital Market immediately preceding the signing of the Purchase Agreement, plus an incremental amount such that issuances and sales of our common stock to Lincoln Park under the Purchase Agreement would be exempt from the Exchange Cap limitation under applicable rules of the Nasdaq Capital Market.</w:t>
      </w:r>
    </w:p>
    <w:p>
      <w:pPr>
        <w:spacing w:after="0" w:line="172"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Lincoln Park has no right to require us to sell any shares of common stock to Lincoln Park, but Lincoln Park is obligated to make purchases as we direct, subject to certain conditions. In all instances, we may not sell shares of our common stock to Lincoln Park under the Purchase Agreement if it would result in Lincoln Park beneficially owning more than 9.99% of our common stock. There are no upper limits on the price per share that Lincoln Park must pay for shares of our common stock pursuant to the Purchase Agreement.</w:t>
      </w:r>
    </w:p>
    <w:p>
      <w:pPr>
        <w:spacing w:after="0" w:line="197"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The Purchase Agreement and the Registration Rights Agreement contain customary representations, warranties, agreements and conditions and indemnification obligations of the parties. We have the right to terminate the Purchase Agreement at any time, at no cost or penalty. We issued to Lincoln Park 750,000 shares of common stock, or approximately 2.7% of the value of the shares of common stock issuable under the Purchase Agreement, in consideration for entering into the Purchase Agreement.</w:t>
      </w:r>
    </w:p>
    <w:p>
      <w:pPr>
        <w:spacing w:after="0" w:line="197"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Lincoln Park.</w:t>
      </w:r>
    </w:p>
    <w:p>
      <w:pPr>
        <w:sectPr>
          <w:pgSz w:w="11900" w:h="16838" w:orient="portrait"/>
          <w:cols w:equalWidth="0" w:num="1">
            <w:col w:w="11020"/>
          </w:cols>
          <w:pgMar w:left="320" w:top="131" w:right="55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879"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9077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20"/>
          </w:cols>
          <w:pgMar w:left="320" w:top="131" w:right="559" w:bottom="177" w:gutter="0" w:footer="0" w:header="0"/>
        </w:sectPr>
      </w:pPr>
    </w:p>
    <w:p>
      <w:pPr>
        <w:spacing w:after="0" w:line="248" w:lineRule="exact"/>
        <w:rPr>
          <w:sz w:val="20"/>
          <w:szCs w:val="20"/>
          <w:color w:val="auto"/>
        </w:rPr>
      </w:pPr>
    </w:p>
    <w:p>
      <w:pPr>
        <w:ind w:left="120" w:right="380"/>
        <w:spacing w:after="0" w:line="275" w:lineRule="auto"/>
        <w:rPr>
          <w:sz w:val="20"/>
          <w:szCs w:val="20"/>
          <w:color w:val="auto"/>
        </w:rPr>
      </w:pPr>
      <w:r>
        <w:rPr>
          <w:rFonts w:ascii="Arial" w:cs="Arial" w:eastAsia="Arial" w:hAnsi="Arial"/>
          <w:sz w:val="18"/>
          <w:szCs w:val="18"/>
          <w:b w:val="1"/>
          <w:bCs w:val="1"/>
          <w:color w:val="auto"/>
        </w:rPr>
        <w:t>Shares of 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174" w:lineRule="exact"/>
        <w:rPr>
          <w:sz w:val="20"/>
          <w:szCs w:val="20"/>
          <w:color w:val="auto"/>
        </w:rPr>
      </w:pPr>
    </w:p>
    <w:p>
      <w:pPr>
        <w:ind w:left="120" w:right="120"/>
        <w:spacing w:after="0" w:line="326" w:lineRule="auto"/>
        <w:rPr>
          <w:sz w:val="20"/>
          <w:szCs w:val="20"/>
          <w:color w:val="auto"/>
        </w:rPr>
      </w:pPr>
      <w:r>
        <w:rPr>
          <w:rFonts w:ascii="Arial" w:cs="Arial" w:eastAsia="Arial" w:hAnsi="Arial"/>
          <w:sz w:val="15"/>
          <w:szCs w:val="15"/>
          <w:b w:val="1"/>
          <w:bCs w:val="1"/>
          <w:color w:val="auto"/>
        </w:rPr>
        <w:t>Shares of common stock to be outstanding after giving effect to the issuance of 9,592,607 shares under the Purchase Agreement registered hereunder</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this offering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9,592,607 shares consisting of:</w:t>
      </w:r>
    </w:p>
    <w:p>
      <w:pPr>
        <w:spacing w:after="0" w:line="225" w:lineRule="exact"/>
        <w:rPr>
          <w:sz w:val="20"/>
          <w:szCs w:val="20"/>
          <w:color w:val="auto"/>
        </w:rPr>
      </w:pPr>
    </w:p>
    <w:p>
      <w:pPr>
        <w:ind w:left="640" w:hanging="322"/>
        <w:spacing w:after="0" w:line="26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500,000 shares sold to Lincoln Park at $0.50 per share on the Execution Date (the </w:t>
      </w:r>
      <w:r>
        <w:rPr>
          <w:rFonts w:ascii="Arial" w:cs="Arial" w:eastAsia="Arial" w:hAnsi="Arial"/>
          <w:sz w:val="18"/>
          <w:szCs w:val="18"/>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Shares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40" w:hanging="322"/>
        <w:spacing w:after="0" w:line="26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8,342,607 shares we may sell to Lincoln Park under the Purchase Agreement from time to time after the date of this prospectus; and</w:t>
      </w:r>
    </w:p>
    <w:p>
      <w:pPr>
        <w:spacing w:after="0" w:line="185" w:lineRule="exact"/>
        <w:rPr>
          <w:rFonts w:ascii="Arial" w:cs="Arial" w:eastAsia="Arial" w:hAnsi="Arial"/>
          <w:sz w:val="18"/>
          <w:szCs w:val="18"/>
          <w:color w:val="auto"/>
        </w:rPr>
      </w:pPr>
    </w:p>
    <w:p>
      <w:pPr>
        <w:ind w:left="640" w:hanging="322"/>
        <w:spacing w:after="0" w:line="26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750,000 commitment shares issued to Lincoln Park on the Execution Date (the </w:t>
      </w:r>
      <w:r>
        <w:rPr>
          <w:rFonts w:ascii="Arial" w:cs="Arial" w:eastAsia="Arial" w:hAnsi="Arial"/>
          <w:sz w:val="18"/>
          <w:szCs w:val="18"/>
          <w:i w:val="1"/>
          <w:iCs w:val="1"/>
          <w:color w:val="auto"/>
        </w:rPr>
        <w:t>Commitment</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47,963,042 shares of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57,555,649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will receive no proceeds from the sale of shares of common stock by Lincoln Park in this offering. We may receive up to $10,000,000 aggregate gross proceeds under the Purchase Agreement from any sales we make to Lincoln Park pursuant to the Purchase Agreement after the date of this prospectus.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Any proceeds that we receive from sales to Lincoln Park under the Purchase Agreement will be used for working capital and general corporate purposes. See </w:t>
      </w:r>
      <w:r>
        <w:rPr>
          <w:rFonts w:ascii="Arial" w:cs="Arial" w:eastAsia="Arial" w:hAnsi="Arial"/>
          <w:sz w:val="18"/>
          <w:szCs w:val="18"/>
          <w:i w:val="1"/>
          <w:iCs w:val="1"/>
          <w:color w:val="auto"/>
        </w:rPr>
        <w:t>Use of Proceeds.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selling stockholder, including its transferees, donees, pledgees, assignees and successors-in-interest, may sell, transfer or otherwise dispose of any or all of the shares of common stock offered by this prospectus from time to time on The Nasdaq Capital Market or any other stock exchange, market or trading facility on which the shares are traded or in private transactions. The shares of common stock may be sold at fixed prices, at market prices prevailing at the time of sale, at prices related to prevailing market price or at negotiated prices.</w:t>
      </w:r>
    </w:p>
    <w:p>
      <w:pPr>
        <w:spacing w:after="0" w:line="168" w:lineRule="exact"/>
        <w:rPr>
          <w:sz w:val="20"/>
          <w:szCs w:val="20"/>
          <w:color w:val="auto"/>
        </w:rPr>
      </w:pPr>
    </w:p>
    <w:p>
      <w:pPr>
        <w:sectPr>
          <w:pgSz w:w="11900" w:h="16838" w:orient="portrait"/>
          <w:cols w:equalWidth="0" w:num="2">
            <w:col w:w="3400" w:space="340"/>
            <w:col w:w="7280"/>
          </w:cols>
          <w:pgMar w:left="320" w:top="131" w:right="559" w:bottom="177" w:gutter="0" w:footer="0" w:header="0"/>
          <w:type w:val="continuous"/>
        </w:sect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Nasdaq symbol</w:t>
      </w:r>
      <w:r>
        <w:rPr>
          <w:sz w:val="20"/>
          <w:szCs w:val="20"/>
          <w:color w:val="auto"/>
        </w:rPr>
        <w:tab/>
      </w:r>
      <w:r>
        <w:rPr>
          <w:rFonts w:ascii="Arial" w:cs="Arial" w:eastAsia="Arial" w:hAnsi="Arial"/>
          <w:sz w:val="16"/>
          <w:szCs w:val="16"/>
          <w:color w:val="auto"/>
        </w:rPr>
        <w:t>Our common stock is listed on The Nasdaq Capital Market under the symbol “VTGN”.</w:t>
      </w:r>
    </w:p>
    <w:p>
      <w:pPr>
        <w:spacing w:after="0" w:line="225" w:lineRule="exact"/>
        <w:rPr>
          <w:sz w:val="20"/>
          <w:szCs w:val="20"/>
          <w:color w:val="auto"/>
        </w:rPr>
      </w:pPr>
    </w:p>
    <w:p>
      <w:pPr>
        <w:ind w:left="120"/>
        <w:spacing w:after="0"/>
        <w:tabs>
          <w:tab w:leader="none" w:pos="37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You should review carefully the risks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uncertainties described in or incorporated by reference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this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the documents we have incorporated by reference herein, and under similar headings in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other documents filed after the date hereof and incorporated by reference into this prospectus. See</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Incorporation of Certain Information by Reference</w:t>
      </w:r>
      <w:r>
        <w:rPr>
          <w:rFonts w:ascii="Arial" w:cs="Arial" w:eastAsia="Arial" w:hAnsi="Arial"/>
          <w:sz w:val="16"/>
          <w:szCs w:val="16"/>
          <w:color w:val="auto"/>
        </w:rPr>
        <w:t>” and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42"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auto"/>
        </w:rPr>
        <w:t>Unless otherwise noted, the number of shares of our common stock prior to and after this offering is based on 49,213,042 shares outstanding as of March 30, 2020 and excludes:</w:t>
      </w:r>
    </w:p>
    <w:p>
      <w:pPr>
        <w:spacing w:after="0" w:line="186" w:lineRule="exact"/>
        <w:rPr>
          <w:sz w:val="20"/>
          <w:szCs w:val="20"/>
          <w:color w:val="auto"/>
        </w:rPr>
      </w:pPr>
    </w:p>
    <w:p>
      <w:pPr>
        <w:ind w:left="780" w:right="6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Stock held by one institutional investor and one accredited individual investor ;</w:t>
      </w:r>
    </w:p>
    <w:p>
      <w:pPr>
        <w:spacing w:after="0" w:line="185" w:lineRule="exact"/>
        <w:rPr>
          <w:rFonts w:ascii="Arial" w:cs="Arial" w:eastAsia="Arial" w:hAnsi="Arial"/>
          <w:sz w:val="18"/>
          <w:szCs w:val="18"/>
          <w:color w:val="auto"/>
        </w:rPr>
      </w:pPr>
    </w:p>
    <w:p>
      <w:pPr>
        <w:ind w:left="780" w:right="16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held by two institutional investors;</w:t>
      </w:r>
    </w:p>
    <w:p>
      <w:pPr>
        <w:spacing w:after="0" w:line="185" w:lineRule="exact"/>
        <w:rPr>
          <w:rFonts w:ascii="Arial" w:cs="Arial" w:eastAsia="Arial" w:hAnsi="Arial"/>
          <w:sz w:val="18"/>
          <w:szCs w:val="18"/>
          <w:color w:val="auto"/>
        </w:rPr>
      </w:pPr>
    </w:p>
    <w:p>
      <w:pPr>
        <w:ind w:left="780" w:right="18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held by one institutional investor;</w:t>
      </w:r>
    </w:p>
    <w:p>
      <w:pPr>
        <w:spacing w:after="0" w:line="185" w:lineRule="exact"/>
        <w:rPr>
          <w:rFonts w:ascii="Arial" w:cs="Arial" w:eastAsia="Arial" w:hAnsi="Arial"/>
          <w:sz w:val="18"/>
          <w:szCs w:val="18"/>
          <w:color w:val="auto"/>
        </w:rPr>
      </w:pPr>
    </w:p>
    <w:p>
      <w:pPr>
        <w:ind w:left="780" w:right="62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22,555,281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780" w:right="220" w:hanging="327"/>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7,768,088 shares of common stock reserved for issuance upon exercise of outstanding stock options under our 2019 Omnibus Equity Incentive Plan, with a weighted average exercise price of $1.41 per share; and</w:t>
      </w:r>
    </w:p>
    <w:p>
      <w:pPr>
        <w:spacing w:after="0" w:line="185" w:lineRule="exact"/>
        <w:rPr>
          <w:rFonts w:ascii="Arial" w:cs="Arial" w:eastAsia="Arial" w:hAnsi="Arial"/>
          <w:sz w:val="18"/>
          <w:szCs w:val="18"/>
          <w:color w:val="auto"/>
        </w:rPr>
      </w:pPr>
    </w:p>
    <w:p>
      <w:pPr>
        <w:ind w:left="780" w:hanging="327"/>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w:t>
      </w:r>
    </w:p>
    <w:p>
      <w:pPr>
        <w:spacing w:after="0" w:line="248" w:lineRule="exact"/>
        <w:rPr>
          <w:rFonts w:ascii="Arial" w:cs="Arial" w:eastAsia="Arial" w:hAnsi="Arial"/>
          <w:sz w:val="16"/>
          <w:szCs w:val="16"/>
          <w:color w:val="auto"/>
        </w:rPr>
      </w:pPr>
    </w:p>
    <w:p>
      <w:pPr>
        <w:ind w:left="820" w:hanging="36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ectPr>
          <w:pgSz w:w="11900" w:h="16838" w:orient="portrait"/>
          <w:cols w:equalWidth="0" w:num="1">
            <w:col w:w="11020"/>
          </w:cols>
          <w:pgMar w:left="320" w:top="131" w:right="559" w:bottom="1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77"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Our Annual Report on Form 10-K for the fiscal year ended March 31, 2019 and our Quarterly Report on Form 10-Q for the quarters ended June 30, 2019, September 30, 2019 and December 31, 2019, which are incorporated by reference into this prospectus,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24, 2020, we entered into the Purchase Agreement with Lincoln Park, pursuant to which Lincoln Park has committed to purchase up to $10,250,000 of our common stock, including the Initial Purchase Shares. Upon the execution of the Purchase Agreement, we issued 750,000 Commitment Shares to Lincoln Park as a fee for its commitment to enter into the Purchase Agreement and purchase shares of our common stock thereunder. The remaining shares of our common stock that may be issued under the Purchase Agreement may be sold by us to Lincoln Park, at our sole discretion, from time to time over a 24-month period commencing after the satisfaction of certain conditions set forth in the Purchase Agreement, including that the SEC has declared effective the registration statement that includes this prospectus. The purchase price for the shares that we may sell to Lincoln Park under the Purchase Agreement will fluctuate based on the prevailing price of our common stock on the date(s) of purchase. Depending on market liquidity at the time, sales of such shares may cause the trading price of our common stock to fall.</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generally have the right to control the timing and amount of any future sales of our shares to Lincoln Park. Additional sales of our common stock, if any, to Lincoln Park will depend upon market conditions and other factors to be determined solely by us. We may ultimately decide to sell to Lincoln Park all, some or none of the 8,342,607 additional shares of our common stock that may be available for us to sell pursuant to the Purchase Agreement. If and when we do sell any additional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stock price may be volatile, and you may not be able to resell shares of our common stock at or above the price you paid.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trading price for our common stock can be affected by a number of factors, including:</w:t>
      </w:r>
    </w:p>
    <w:p>
      <w:pPr>
        <w:spacing w:after="0" w:line="225"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48"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1140" w:right="20" w:hanging="484"/>
        <w:spacing w:after="0" w:line="26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 including fluctuations attributable to the recent outbreak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that are outside of our control, such as the impact of health and safety concerns from the current outbreak of COVID-19 or other unforeseeable circumstances; and</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 and the risk factors incorporated into this prospectus by reference.</w:t>
      </w:r>
    </w:p>
    <w:p>
      <w:pPr>
        <w:spacing w:after="0" w:line="25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In recent years, the stock markets generally and the stock prices of many companies in the pharmaceutical industry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does not ever exceed the price at which shares are acquired under the Purchase Agreement, you may not be able to resell shares of our common stock at or above the price you paid.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require additional financing to sustain our operations and without it we may not be able to continue operations.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direct Lincoln Park to purchase up to $10,250,000 worth of shares of our common stock under our agreement over a 24-month period generally in amounts up to 100,000 shares of our common stock, which share amount may be increased to include additional shares of our common stock depending on the market price of our common stock at the time of sale, and subject to a maximum limit of $1,000,000 per purchase, on any such business day. In addition to the 750,000 Commitment Shares and 500,000 Initial Purchase Shares, an additional 8,342,607 shares of our common stock are being offered under this prospectus that may be sold by us to Lincoln Park, at our discretion, from time to time over a 24-month period commencing after the date of the Commencement. Depending on the price per share at which we sell our common stock to Lincoln Park pursuant to the Purchase Agreement, we may need to sell to Lincoln Park more shares of our common stock than are offered under this prospectus in order to receive aggregate gross proceeds equal to $10,250,000. The number of shares ultimately offered for resale by Lincoln Park is dependent upon the number of shares we sell to Lincoln Park under the Purchase Agreement.</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extent we rely on Lincoln Park as a source of funding will depend on a number of factors including the prevailing market price of our common stock and the extent to which we are able to secure working capital from other sources. If obtaining sufficient funding from Lincoln Park were to prove unavailable or prohibitively dilutive, we will need to secure another source of funding in order to satisfy our working capital needs. Even if we sell all $10,250,000 under the Purchase Agreement to Lincoln Park, we may still need additional capital to fully implement our business, operating and development plans.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other securities may result in significant dilution and could cause the price of our common stock to decline.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To raise capital, we may sell common stock, convertible securities or other equity securities in one or more transactions at prices and in a manner we determine from time to time, including pursuant to the Purchase Agreement with Lincoln Park. These sales, or the perception in the market that the holders of a large number of shares intend to sell shares, could reduce the market price of our common stock. These sales may also result in material dilution to our existing stockholders, and new investors could gain rights superior to our existing stockholders.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sales of a substantial number of shares of our outstanding common stock in the public market could occur at any time. Certain of our stockholders, including Lincoln Park, hold a substantial number of our common stock that many of them are now able to sell in the public market. Sales of stock by these stockholders could have a material adverse effect on the trading price of our common stock.</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warrants or options, or the perception that such sales may occur, could adversely affect the market price of our common stock.</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our sale of shares of common stock to Lincoln Park, you may not agree with how we use the proceeds and the proceeds may not be invested successfully.</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will have broad discretion as to the use of the net proceeds from our sale of shares of common stock to Lincoln Park, and we could use them for purposes other than those contemplated at the time of commencement of this offering. Accordingly, you will be relying on the judgment of our management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to use such funds effectively could have a material adverse effect on our business, financial condition,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line="1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June 30, 2019, filed on August 13,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September 30, 2019, filed on November 7,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December 31, 2019, filed on February 13,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October 9,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October 30,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November 8,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December 12,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December 27,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January 27,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January 31,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February 13,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on March 26, 2020; and</w:t>
      </w:r>
    </w:p>
    <w:p>
      <w:pPr>
        <w:spacing w:after="0" w:line="15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on May 3, 2016, including any amendment or report filed with the SEC for the purpose of updating this description.</w:t>
      </w:r>
    </w:p>
    <w:p>
      <w:pPr>
        <w:spacing w:after="0" w:line="221" w:lineRule="exact"/>
        <w:rPr>
          <w:sz w:val="20"/>
          <w:szCs w:val="20"/>
          <w:color w:val="auto"/>
        </w:rPr>
      </w:pPr>
    </w:p>
    <w:p>
      <w:pPr>
        <w:jc w:val="both"/>
        <w:ind w:firstLine="692"/>
        <w:spacing w:after="0" w:line="254"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22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6"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ectPr>
          <w:pgSz w:w="11900" w:h="16851" w:orient="portrait"/>
          <w:cols w:equalWidth="0" w:num="1">
            <w:col w:w="11240"/>
          </w:cols>
          <w:pgMar w:left="320" w:top="13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51" w:orient="portrait"/>
          <w:cols w:equalWidth="0" w:num="1">
            <w:col w:w="11240"/>
          </w:cols>
          <w:pgMar w:left="320" w:top="131" w:right="339" w:bottom="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2019 and subsequent Quarterly Reports on Form 10-Q, which risk factors are incorporated herein by reference.</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relates to shares of our common stock that may be offered and sold from time to time by Lincoln Park. We may receive up to $10,000,000 aggregate gross proceeds under the Purchase Agreement from any sales we make to Lincoln Park pursuant to the Purchase Agreement after the date of this prospectus. However, we may not be registering for sale or offering for resale under the registration statement of which this prospectus is a part all of the shares issuable pursuant to the Purchase Agreement. In any evert, we will receive no proceeds from the sale of any shares of common stock by Lincoln Park pursuant to this prospectus. As we are unable to predict the timing or amount of potential issuances of all of the shares offered hereby (other than the Commitment Shares or the Initial Purchase Shares), we have not allocated any proceeds of such issuances to any particular purpose. Accordingly, all such proceeds are expected to be used for working capital and general corporate purposes.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other uses, we intend to invest any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relates to only the resale by the selling stockholder, Lincoln Park, of shares of common stock that have been or may be issued and sold to Lincoln Park pursuant to the Purchase Agreement. We are filing the registration statement of which this prospectus forms a part pursuant to the provisions of the Registration Rights Agreement, which we entered into with Lincoln Park on March 24, 2020 concurrently with our execution of the Purchase Agreement, in which we agreed to provide certain registration rights with respect to sales by Lincoln Park of the shares of our common stock that have been and may be issued to Lincoln Park under the Purchase Agreement.</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Lincoln Park, as the selling stockholder, may, from time to time, offer and sell pursuant to this prospectus any or all of the shares that we have sold and may sell to Lincoln Park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following table presents information regarding the selling stockholder and the shares that it may offer and sell from time to time under this prospectus. The table is prepared based on information supplied to us by the selling stockholder, and reflects its holdings as of March 24, 2020.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 to be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Sold in this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Offering</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Assuming The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Percentage of</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Company</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issues the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Outstanding</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Maximum</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Beneficially</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Beneficially</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Beneficially</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Owned Before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Owned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Under</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this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Before this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the Purchase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After this</w:t>
            </w:r>
          </w:p>
        </w:tc>
      </w:tr>
      <w:tr>
        <w:trPr>
          <w:trHeight w:val="237"/>
        </w:trPr>
        <w:tc>
          <w:tcPr>
            <w:tcW w:w="5980" w:type="dxa"/>
            <w:vAlign w:val="bottom"/>
          </w:tcPr>
          <w:p>
            <w:pPr>
              <w:spacing w:after="0"/>
              <w:rPr>
                <w:sz w:val="20"/>
                <w:szCs w:val="20"/>
                <w:color w:val="auto"/>
              </w:rPr>
            </w:pPr>
            <w:r>
              <w:rPr>
                <w:rFonts w:ascii="Arial" w:cs="Arial" w:eastAsia="Arial" w:hAnsi="Arial"/>
                <w:sz w:val="18"/>
                <w:szCs w:val="18"/>
                <w:b w:val="1"/>
                <w:bCs w:val="1"/>
                <w:color w:val="auto"/>
              </w:rPr>
              <w:t>Selling Stockholder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Offering</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Agreement</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4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4"/>
                <w:szCs w:val="24"/>
                <w:color w:val="auto"/>
                <w:vertAlign w:val="superscript"/>
              </w:rPr>
              <w:t>(1)</w:t>
            </w:r>
          </w:p>
        </w:tc>
        <w:tc>
          <w:tcPr>
            <w:tcW w:w="1360" w:type="dxa"/>
            <w:vAlign w:val="bottom"/>
            <w:gridSpan w:val="2"/>
            <w:shd w:val="clear" w:color="auto" w:fill="CCEEFF"/>
          </w:tcPr>
          <w:p>
            <w:pPr>
              <w:jc w:val="right"/>
              <w:ind w:right="280"/>
              <w:spacing w:after="0" w:line="216" w:lineRule="exact"/>
              <w:rPr>
                <w:sz w:val="20"/>
                <w:szCs w:val="20"/>
                <w:color w:val="auto"/>
              </w:rPr>
            </w:pPr>
            <w:r>
              <w:rPr>
                <w:rFonts w:ascii="Arial" w:cs="Arial" w:eastAsia="Arial" w:hAnsi="Arial"/>
                <w:sz w:val="18"/>
                <w:szCs w:val="18"/>
                <w:color w:val="auto"/>
              </w:rPr>
              <w:t>3,904,966</w:t>
            </w:r>
            <w:r>
              <w:rPr>
                <w:rFonts w:ascii="Arial" w:cs="Arial" w:eastAsia="Arial" w:hAnsi="Arial"/>
                <w:sz w:val="24"/>
                <w:szCs w:val="24"/>
                <w:color w:val="auto"/>
                <w:vertAlign w:val="superscript"/>
              </w:rPr>
              <w:t>(2)</w:t>
            </w:r>
          </w:p>
        </w:tc>
        <w:tc>
          <w:tcPr>
            <w:tcW w:w="1340" w:type="dxa"/>
            <w:vAlign w:val="bottom"/>
            <w:gridSpan w:val="2"/>
            <w:shd w:val="clear" w:color="auto" w:fill="CCEEFF"/>
          </w:tcPr>
          <w:p>
            <w:pPr>
              <w:jc w:val="right"/>
              <w:ind w:right="260"/>
              <w:spacing w:after="0" w:line="216" w:lineRule="exact"/>
              <w:rPr>
                <w:sz w:val="20"/>
                <w:szCs w:val="20"/>
                <w:color w:val="auto"/>
              </w:rPr>
            </w:pPr>
            <w:r>
              <w:rPr>
                <w:rFonts w:ascii="Arial" w:cs="Arial" w:eastAsia="Arial" w:hAnsi="Arial"/>
                <w:sz w:val="18"/>
                <w:szCs w:val="18"/>
                <w:color w:val="auto"/>
              </w:rPr>
              <w:t>7.78%</w:t>
            </w:r>
            <w:r>
              <w:rPr>
                <w:rFonts w:ascii="Arial" w:cs="Arial" w:eastAsia="Arial" w:hAnsi="Arial"/>
                <w:sz w:val="24"/>
                <w:szCs w:val="24"/>
                <w:color w:val="auto"/>
                <w:vertAlign w:val="superscript"/>
              </w:rPr>
              <w:t>(3)</w:t>
            </w:r>
          </w:p>
        </w:tc>
        <w:tc>
          <w:tcPr>
            <w:tcW w:w="1360" w:type="dxa"/>
            <w:vAlign w:val="bottom"/>
            <w:gridSpan w:val="2"/>
            <w:shd w:val="clear" w:color="auto" w:fill="CCEEFF"/>
          </w:tcPr>
          <w:p>
            <w:pPr>
              <w:jc w:val="right"/>
              <w:ind w:right="280"/>
              <w:spacing w:after="0" w:line="216" w:lineRule="exact"/>
              <w:rPr>
                <w:sz w:val="20"/>
                <w:szCs w:val="20"/>
                <w:color w:val="auto"/>
              </w:rPr>
            </w:pPr>
            <w:r>
              <w:rPr>
                <w:rFonts w:ascii="Arial" w:cs="Arial" w:eastAsia="Arial" w:hAnsi="Arial"/>
                <w:sz w:val="18"/>
                <w:szCs w:val="18"/>
                <w:color w:val="auto"/>
              </w:rPr>
              <w:t>9,592,607</w:t>
            </w:r>
            <w:r>
              <w:rPr>
                <w:rFonts w:ascii="Arial" w:cs="Arial" w:eastAsia="Arial" w:hAnsi="Arial"/>
                <w:sz w:val="24"/>
                <w:szCs w:val="24"/>
                <w:color w:val="auto"/>
                <w:vertAlign w:val="superscript"/>
              </w:rPr>
              <w:t>(4)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r>
    </w:tbl>
    <w:p>
      <w:pPr>
        <w:spacing w:after="0" w:line="208" w:lineRule="exact"/>
        <w:rPr>
          <w:sz w:val="20"/>
          <w:szCs w:val="20"/>
          <w:color w:val="auto"/>
        </w:rPr>
      </w:pPr>
    </w:p>
    <w:p>
      <w:pPr>
        <w:jc w:val="both"/>
        <w:ind w:left="680" w:hanging="672"/>
        <w:spacing w:after="0" w:line="298"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Josh Scheinfeld and Jonathan Cope, the Managing Members of Lincoln Park Capital,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Lincoln Park Capital, LLC is not a licensed broker dealer or an affiliate of a licensed broker dealer.</w:t>
      </w:r>
    </w:p>
    <w:p>
      <w:pPr>
        <w:spacing w:after="0" w:line="166" w:lineRule="exact"/>
        <w:rPr>
          <w:rFonts w:ascii="Arial" w:cs="Arial" w:eastAsia="Arial" w:hAnsi="Arial"/>
          <w:sz w:val="16"/>
          <w:szCs w:val="16"/>
          <w:color w:val="auto"/>
        </w:rPr>
      </w:pPr>
    </w:p>
    <w:p>
      <w:pPr>
        <w:jc w:val="both"/>
        <w:ind w:left="680" w:hanging="672"/>
        <w:spacing w:after="0" w:line="25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 the 500,000 shares sold to Lincoln Park as Initial Purchase Shares under the Purchase Agreement and the 750,000 shares issued to Lincoln Park as Commitment Shares which are being registered under the registration statement of which this prospectus is a part. Includes a currently exercisable warrant to purchase 1,000,000 shares of our common stock. Excludes a warrant to purchase 2,814,602 shares of our common stock not exercisable within 60 days. See the description under the heading “</w:t>
      </w:r>
      <w:r>
        <w:rPr>
          <w:rFonts w:ascii="Arial" w:cs="Arial" w:eastAsia="Arial" w:hAnsi="Arial"/>
          <w:sz w:val="18"/>
          <w:szCs w:val="18"/>
          <w:i w:val="1"/>
          <w:iCs w:val="1"/>
          <w:color w:val="auto"/>
        </w:rPr>
        <w:t>The Lincoln Park Transaction</w:t>
      </w:r>
      <w:r>
        <w:rPr>
          <w:rFonts w:ascii="Arial" w:cs="Arial" w:eastAsia="Arial" w:hAnsi="Arial"/>
          <w:sz w:val="18"/>
          <w:szCs w:val="18"/>
          <w:color w:val="auto"/>
        </w:rPr>
        <w:t>” below for more information about the Purchase Agreement.</w:t>
      </w:r>
    </w:p>
    <w:p>
      <w:pPr>
        <w:spacing w:after="0" w:line="200" w:lineRule="exact"/>
        <w:rPr>
          <w:rFonts w:ascii="Arial" w:cs="Arial" w:eastAsia="Arial" w:hAnsi="Arial"/>
          <w:sz w:val="18"/>
          <w:szCs w:val="18"/>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49,213,042 outstanding shares of our common stock as of March 30, 2020.</w:t>
      </w:r>
    </w:p>
    <w:p>
      <w:pPr>
        <w:spacing w:after="0" w:line="225" w:lineRule="exact"/>
        <w:rPr>
          <w:rFonts w:ascii="Arial" w:cs="Arial" w:eastAsia="Arial" w:hAnsi="Arial"/>
          <w:sz w:val="18"/>
          <w:szCs w:val="18"/>
          <w:color w:val="auto"/>
        </w:rPr>
      </w:pPr>
    </w:p>
    <w:p>
      <w:pPr>
        <w:jc w:val="both"/>
        <w:ind w:left="680" w:hanging="672"/>
        <w:spacing w:after="0" w:line="288"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the Purchase Agreement provides that we may sell up to $10,250,000 of our common stock to Lincoln Park, in addition to the 750,000 Commitment Shares and 500,000 Initial Purchase Shares, an additional 8,342,607 shares of our common stock are being offered under this prospectus that may be sold by us to Lincoln Park, at our discretion, from time to time over a 24-month period commencing after the Commencement Date. Depending on the price per share at which we sell our common stock to Lincoln Park pursuant to the Purchase Agreement, we may need to sell to Lincoln Park under the Purchase Agreement more shares of our common stock than are offered under this prospectus in order to receive aggregate gross proceeds equal to the $10,250,000 total commitment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 See “</w:t>
      </w:r>
      <w:r>
        <w:rPr>
          <w:rFonts w:ascii="Arial" w:cs="Arial" w:eastAsia="Arial" w:hAnsi="Arial"/>
          <w:sz w:val="16"/>
          <w:szCs w:val="16"/>
          <w:i w:val="1"/>
          <w:iCs w:val="1"/>
          <w:color w:val="auto"/>
        </w:rPr>
        <w:t>The Lincoln Park Transaction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LINCOLN PARK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March 24, 2020 (the </w:t>
      </w:r>
      <w:r>
        <w:rPr>
          <w:rFonts w:ascii="Arial" w:cs="Arial" w:eastAsia="Arial" w:hAnsi="Arial"/>
          <w:sz w:val="18"/>
          <w:szCs w:val="18"/>
          <w:i w:val="1"/>
          <w:iCs w:val="1"/>
          <w:color w:val="auto"/>
        </w:rPr>
        <w:t>Execution Date</w:t>
      </w:r>
      <w:r>
        <w:rPr>
          <w:rFonts w:ascii="Arial" w:cs="Arial" w:eastAsia="Arial" w:hAnsi="Arial"/>
          <w:sz w:val="18"/>
          <w:szCs w:val="18"/>
          <w:color w:val="auto"/>
        </w:rPr>
        <w:t>), we entered into a Purchase Agreement and a Registration Rights Agreement with Lincoln Park. Pursuant to the terms of the Purchase Agreement, Lincoln Park has agreed to purchase from us up to $10,250,000 of our common stock from time to time during the term of the Purchase Agreement, subject to certain limitations.</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5"/>
          <w:szCs w:val="15"/>
          <w:color w:val="auto"/>
        </w:rPr>
        <w:t>Other than the Initial Purchase Shares, which we sold to Lincoln Park on the Execution Date, we do not have the right to commence any sales to Lincoln Park under the Purchase Agreement until the Commencement Date (defined below) has occurred. Thereafter, we may, from time to time, and at our sole discretion, on any single business day, direct Lincoln Park to purchase shares of our common stock in amounts up to 100,000 shares, which amounts may be increased depending on the market price of our common stock at the time of sale and subject to a maximum commitment by Lincoln Park of $1,000,000 per single purchase (</w:t>
      </w:r>
      <w:r>
        <w:rPr>
          <w:rFonts w:ascii="Arial" w:cs="Arial" w:eastAsia="Arial" w:hAnsi="Arial"/>
          <w:sz w:val="15"/>
          <w:szCs w:val="15"/>
          <w:i w:val="1"/>
          <w:iCs w:val="1"/>
          <w:color w:val="auto"/>
        </w:rPr>
        <w:t>Regular Purchases</w:t>
      </w:r>
      <w:r>
        <w:rPr>
          <w:rFonts w:ascii="Arial" w:cs="Arial" w:eastAsia="Arial" w:hAnsi="Arial"/>
          <w:sz w:val="15"/>
          <w:szCs w:val="15"/>
          <w:color w:val="auto"/>
        </w:rPr>
        <w:t>). In addition, at our discretion, Lincoln Park has committed to purchase other amounts under an Accelerated Purchase (as defined below) under certain circumstances. The purchase price per share sold will be based on the market price of our common stock immediately preceding the time of sale as computed under the Purchase Agreement. Lincoln Park may not assign or transfer its rights and obligations under the Purchase Agreement.</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applicable rules of The Nasdaq Capital Market, in no event may we issue or sell to Lincoln Park under the Purchase Agreement shares of our common stock in excess of the Exchange Cap (which is 9,592,607 shares, or 19.99% of the shares of our common stock outstanding immediately prior to the execution of the Purchase Agreement), unless (i) we obtain stockholder approval to issue shares of common stock in excess of the Exchange Cap or (ii) the average price of all applicable sales of our common stock to Lincoln Park under the Purchase Agreement equals or exceeds the closing price of our common stock on The Nasdaq Capital Market on the business day immediately preceding March 24, 2020 plus an incremental amount, such that issuances and sales of our common stock to Lincoln Park under the Purchase Agreement would be exempt from the Exchange Cap limitation under applicable Nasdaq rules. In any event, the Purchase Agreement specifically provides that we may not issue or sell any shares of our common stock under the Purchase Agreement if such issuance or sale would breach any applicable Nasdaq rules.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Agreement also prohibits us from directing Lincoln Park to purchase any shares of common stock if those shares, when aggregated with all other shares of our common stock then beneficially owned by Lincoln Park and its affiliates, would result in Lincoln Park exceeding the Beneficial Ownership Cap.</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the Registration Rights Agreement, the Company is required to register the shares of common stock that have been and may be issued to Lincoln Park under the Purchase Agreement. We have filed the registration statement with the SEC that includes this prospectus to register for resale under the Securities Act, up to 9,592,607 shares of common stock, representing 19.99% of our issued and outstanding shares of common stock on March 24,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Shares Under the Purchase Agreement</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Under the terms and subject to the conditions of the Purchase Agreement, the Company has the right, but not the obligation, to sell to Lincoln Park, and Lincoln Park is obligated to purchase up to $10,250,000 of shares of common stock, including the Initial Purchase Shares purchased by Lincoln Park on the Execution Date. Such sales of common stock by the Company, if any, will be subject to certain limitations, and may occur from time to time, at the Company’s sole discretion, over the 24-month period commencing on the date that a registration statement covering the resale of shares of common stock that have been and may be issued under the Purchase Agreement, which the Company agreed to file with the SEC pursuant to the Registration Rights Agreement, is declared effective by the SEC and a final prospectus in connection therewith is filed and the other conditions set forth in the Purchase Agreement are satisfied, all of which are outside the control of Lincoln Park (such date on which all of such conditions are satisfied, the </w:t>
      </w:r>
      <w:r>
        <w:rPr>
          <w:rFonts w:ascii="Arial" w:cs="Arial" w:eastAsia="Arial" w:hAnsi="Arial"/>
          <w:sz w:val="16"/>
          <w:szCs w:val="16"/>
          <w:i w:val="1"/>
          <w:iCs w:val="1"/>
          <w:color w:val="auto"/>
        </w:rPr>
        <w:t>Commencement Date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Thereafter, under the Purchase Agreement, on any business day over the term of the Purchase Agreement, the Company has the right, in its sole discretion, to present Lincoln Park with a purchase notice (each, a </w:t>
      </w:r>
      <w:r>
        <w:rPr>
          <w:rFonts w:ascii="Arial" w:cs="Arial" w:eastAsia="Arial" w:hAnsi="Arial"/>
          <w:sz w:val="18"/>
          <w:szCs w:val="18"/>
          <w:i w:val="1"/>
          <w:iCs w:val="1"/>
          <w:color w:val="auto"/>
        </w:rPr>
        <w:t>Purchase Notice</w:t>
      </w:r>
      <w:r>
        <w:rPr>
          <w:rFonts w:ascii="Arial" w:cs="Arial" w:eastAsia="Arial" w:hAnsi="Arial"/>
          <w:sz w:val="18"/>
          <w:szCs w:val="18"/>
          <w:color w:val="auto"/>
        </w:rPr>
        <w:t xml:space="preserve">) directing Lincoln Park to purchase up to 100,000 shares per business day (the </w:t>
      </w:r>
      <w:r>
        <w:rPr>
          <w:rFonts w:ascii="Arial" w:cs="Arial" w:eastAsia="Arial" w:hAnsi="Arial"/>
          <w:sz w:val="18"/>
          <w:szCs w:val="18"/>
          <w:i w:val="1"/>
          <w:iCs w:val="1"/>
          <w:color w:val="auto"/>
        </w:rPr>
        <w:t>Regular Purchase</w:t>
      </w:r>
      <w:r>
        <w:rPr>
          <w:rFonts w:ascii="Arial" w:cs="Arial" w:eastAsia="Arial" w:hAnsi="Arial"/>
          <w:sz w:val="18"/>
          <w:szCs w:val="18"/>
          <w:color w:val="auto"/>
        </w:rPr>
        <w:t>), (subject to adjustment for any reorganization, recapitalization, non-cash dividend, stock split, reverse stock split or other similar transaction as provided in the Purchase Agreement). The Regular Purchase Amount may be increased up to 150,000 shares if the closing price is not below $0.80 per share, may be increased up to 200,000 shares if the closing price is not below $1.00 per share, and may be increased up to 250,000 shares if the closing price is not below $1.50 per share.</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In each case, Lincoln Park’s maximum commitment in any single Regular Purchase may not exceed $1,000,000. The Purchase Agreement provides for a purchase price per Purchase Share (the </w:t>
      </w:r>
      <w:r>
        <w:rPr>
          <w:rFonts w:ascii="Arial" w:cs="Arial" w:eastAsia="Arial" w:hAnsi="Arial"/>
          <w:sz w:val="18"/>
          <w:szCs w:val="18"/>
          <w:i w:val="1"/>
          <w:iCs w:val="1"/>
          <w:color w:val="auto"/>
        </w:rPr>
        <w:t>Purchase Price</w:t>
      </w:r>
      <w:r>
        <w:rPr>
          <w:rFonts w:ascii="Arial" w:cs="Arial" w:eastAsia="Arial" w:hAnsi="Arial"/>
          <w:sz w:val="18"/>
          <w:szCs w:val="18"/>
          <w:color w:val="auto"/>
        </w:rPr>
        <w:t>) equal to the lesser of:</w:t>
      </w:r>
    </w:p>
    <w:p>
      <w:pPr>
        <w:spacing w:after="0" w:line="186"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and</w:t>
      </w:r>
    </w:p>
    <w:p>
      <w:pPr>
        <w:spacing w:after="0" w:line="225" w:lineRule="exact"/>
        <w:rPr>
          <w:rFonts w:ascii="Arial" w:cs="Arial" w:eastAsia="Arial" w:hAnsi="Arial"/>
          <w:sz w:val="18"/>
          <w:szCs w:val="18"/>
          <w:color w:val="auto"/>
        </w:rPr>
      </w:pPr>
    </w:p>
    <w:p>
      <w:pPr>
        <w:ind w:left="1140" w:hanging="484"/>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of the three lowest closing sale prices for the Company’s common stock during the ten consecutive business days ending on the business day immediately preceding the purchase date of such shares.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addition, on any date on which the Company submits a Purchase Notice to Lincoln Park and on which date the Company has directed a Regular Purchase in full, the Company also has the right, in its sole discretion, to present Lincoln with an accelerated purchase notice (each, an </w:t>
      </w:r>
      <w:r>
        <w:rPr>
          <w:rFonts w:ascii="Arial" w:cs="Arial" w:eastAsia="Arial" w:hAnsi="Arial"/>
          <w:sz w:val="16"/>
          <w:szCs w:val="16"/>
          <w:i w:val="1"/>
          <w:iCs w:val="1"/>
          <w:color w:val="auto"/>
        </w:rPr>
        <w:t>Accelerated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color w:val="auto"/>
        </w:rPr>
        <w:t>) directing Lincoln Park to purchase an amount of stock (the</w:t>
      </w:r>
      <w:r>
        <w:rPr>
          <w:rFonts w:ascii="Arial" w:cs="Arial" w:eastAsia="Arial" w:hAnsi="Arial"/>
          <w:sz w:val="16"/>
          <w:szCs w:val="16"/>
          <w:i w:val="1"/>
          <w:iCs w:val="1"/>
          <w:color w:val="auto"/>
        </w:rPr>
        <w:t xml:space="preserve"> Accelerated Purchase</w:t>
      </w:r>
      <w:r>
        <w:rPr>
          <w:rFonts w:ascii="Arial" w:cs="Arial" w:eastAsia="Arial" w:hAnsi="Arial"/>
          <w:sz w:val="16"/>
          <w:szCs w:val="16"/>
          <w:color w:val="auto"/>
        </w:rPr>
        <w:t>) equal to up to the lesser of (i) three times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purchased pursuant to such Regular Purchase; or (ii) 30% of the aggregate shares of the Company’s common stock traded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(such period of time on the applicable Accelerated Purchase Date, the </w:t>
      </w:r>
      <w:r>
        <w:rPr>
          <w:rFonts w:ascii="Arial" w:cs="Arial" w:eastAsia="Arial" w:hAnsi="Arial"/>
          <w:sz w:val="16"/>
          <w:szCs w:val="16"/>
          <w:i w:val="1"/>
          <w:iCs w:val="1"/>
          <w:color w:val="auto"/>
        </w:rPr>
        <w:t>Accelerated Purchase Measurement Period</w:t>
      </w:r>
      <w:r>
        <w:rPr>
          <w:rFonts w:ascii="Arial" w:cs="Arial" w:eastAsia="Arial" w:hAnsi="Arial"/>
          <w:sz w:val="16"/>
          <w:szCs w:val="16"/>
          <w:color w:val="auto"/>
        </w:rPr>
        <w:t>). The purchase price per share for each such Accelerated Purchase will be equal to the lesser of:</w:t>
      </w:r>
    </w:p>
    <w:p>
      <w:pPr>
        <w:spacing w:after="0" w:line="178" w:lineRule="exact"/>
        <w:rPr>
          <w:sz w:val="20"/>
          <w:szCs w:val="20"/>
          <w:color w:val="auto"/>
        </w:rPr>
      </w:pPr>
    </w:p>
    <w:p>
      <w:pPr>
        <w:ind w:left="1140" w:hanging="484"/>
        <w:spacing w:after="0" w:line="26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95% of the volume weighted average price of the Company’s common stock during the applicable Accelerated Purchase Measurement Period on the applicable Accelerated Purchase date; and</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closing sale price of the Company’s common stock on the applicable Accelerated Purchase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case of the regular purchases and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than as described above, there are no trading volume requirements or restrictions under the Purchase Agreement, and we will control the timing and amount of any sales of our common stock to Lincoln Park.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Events of default under the Purchase Agreement include the following:</w:t>
      </w:r>
    </w:p>
    <w:p>
      <w:pPr>
        <w:spacing w:after="0" w:line="225" w:lineRule="exact"/>
        <w:rPr>
          <w:sz w:val="20"/>
          <w:szCs w:val="20"/>
          <w:color w:val="auto"/>
        </w:rPr>
      </w:pPr>
    </w:p>
    <w:p>
      <w:pPr>
        <w:jc w:val="both"/>
        <w:ind w:left="1140" w:hanging="484"/>
        <w:spacing w:after="0" w:line="288"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effectiveness of a registration statement registering the resale of the Securities lapses for any reason (including, without limitation, the issuance of a stop order or similar order) or such registration statement (or the prospectus forming a part thereof) is unavailable to the Investor for resale of any or all of the Securities to be issued to the Investor under the Transaction Documents, and such lapse or unavailability continues for a period of ten (10) consecutive Business Days or for more than an aggregate of thirty (30) Business Days in any 365-day period, but excluding a lapse or unavailability where (i) the Company terminates a registration statement after the Investor has confirmed in writing that all of the Securities covered thereby have been resold or (ii) the Company supersedes one registration statement with another registration statement, including (without limitation) by terminating a prior registration statement when it is effectively replaced with a new registration statement covering Securities (provided in the case of this clause (ii) that all of the Securities covered by the superseded (or terminated) registration statement that have not theretofore been resold are included in the superseding (or new) registration statement);</w:t>
      </w:r>
    </w:p>
    <w:p>
      <w:pPr>
        <w:spacing w:after="0" w:line="172" w:lineRule="exact"/>
        <w:rPr>
          <w:rFonts w:ascii="Arial" w:cs="Arial" w:eastAsia="Arial" w:hAnsi="Arial"/>
          <w:sz w:val="16"/>
          <w:szCs w:val="16"/>
          <w:color w:val="auto"/>
        </w:rPr>
      </w:pPr>
    </w:p>
    <w:p>
      <w:pPr>
        <w:ind w:left="1140" w:right="20" w:hanging="484"/>
        <w:spacing w:after="0" w:line="268"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suspension of the common stock from trading on the Principal Market for a period of one (1) Business Day, provided that the Company may not direct the Investor to purchase any shares of common stock during any such suspension;</w:t>
      </w:r>
    </w:p>
    <w:p>
      <w:pPr>
        <w:spacing w:after="0" w:line="185"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delisting of the common stock from The Nasdaq Capital Market, provided, however, that the common stock is not immediately thereafter trading on the New York Stock Exchange, The Nasdaq Global Market, The Nasdaq Global Select Market, the NYSE American, the NYSE Arca, the OTC Bulletin Board, the OTCQX operated by the OTC Markets Group, Inc. or the OTCQB operated by the OTC Markets Group, Inc. (or nationally recognized successor to any of the foregoing);</w:t>
      </w:r>
    </w:p>
    <w:p>
      <w:pPr>
        <w:spacing w:after="0" w:line="196" w:lineRule="exact"/>
        <w:rPr>
          <w:rFonts w:ascii="Arial" w:cs="Arial" w:eastAsia="Arial" w:hAnsi="Arial"/>
          <w:sz w:val="18"/>
          <w:szCs w:val="18"/>
          <w:color w:val="auto"/>
        </w:rPr>
      </w:pPr>
    </w:p>
    <w:p>
      <w:pPr>
        <w:jc w:val="both"/>
        <w:ind w:left="1140" w:hanging="484"/>
        <w:spacing w:after="0" w:line="25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at any time after the Commencement Date, the Exchange Cap is exceeded unless and until stockholder approval is obtained pursuant to the Purchase Agreement. The Exchange Cap shall be deemed to be exceeded at such time if, upon submission of a Regular Purchase Notice or Accelerated Purchase Notice under this Agreement, the issuance of such shares of common stock would exceed that number of shares of common stock which the Company may issue under this Agreement without breaching the Company’s obligations under the rules or regulations of the Principal Market;</w:t>
      </w:r>
    </w:p>
    <w:p>
      <w:pPr>
        <w:spacing w:after="0" w:line="200"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for any reason by the Transfer Agent to issue Purchase Shares to the Investor within three (3) Business Days after the applicable Purchase Date, Accelerated Purchase Date or Additional Accelerated Purchase Date (as applicable) on which the Investor is entitled to receive such Purchase Shares;</w:t>
      </w:r>
    </w:p>
    <w:p>
      <w:pPr>
        <w:spacing w:after="0" w:line="193"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breaches any representation, warranty, covenant or other term or condition under any Transaction Document if such breach has or could have a Material Adverse Effect and except, in the case of a breach of a covenant which is reasonably curable, only if such breach continues for a period of at least five (5) Business Days;</w:t>
      </w:r>
    </w:p>
    <w:p>
      <w:pPr>
        <w:spacing w:after="0" w:line="193"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Person commences a proceeding against the Company pursuant to or within the meaning of any Bankruptcy Law;</w:t>
      </w:r>
    </w:p>
    <w:p>
      <w:pPr>
        <w:spacing w:after="0" w:line="225"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Company is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spacing w:after="0" w:line="196"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 or</w:t>
      </w:r>
    </w:p>
    <w:p>
      <w:pPr>
        <w:spacing w:after="0" w:line="193"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at any time the Company is not eligible to transfer its common stock electronically as DWAC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Lincoln Park does not have the right to terminate the Purchase Agreement upon any of the events of default set forth above. During an event of default, all of which are outside of Lincoln Park’s control, we may not direct Lincoln Park to purchase any shares of our common stock under the Purchase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Rights of the Company</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have the unconditional right, at any time, for any reason and without any payment or liability to Lincoln Park, to give notice to Lincoln Park to terminate the Purchase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Short-Selling or Hedging by Lincoln Park</w:t>
      </w:r>
    </w:p>
    <w:p>
      <w:pPr>
        <w:spacing w:after="0" w:line="231"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Lincoln Park has agreed that neither it nor any of its affiliates shall engage in any direct or indirect short-selling or hedging of our common stock during any time prior to the termination of the Purchase Agreement.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Variable Rate Transactions</w:t>
      </w:r>
    </w:p>
    <w:p>
      <w:pPr>
        <w:spacing w:after="0" w:line="231"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There are no restrictions on future financings, rights of first refusal, participation rights, penalties or liquidated damages in the Purchase Agreement or Registration Rights Agreement, other than a prohibition on entering into a “Variable Rate Transaction,” as defined in the Purchase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Performance of the Purchase Agreement on Our Stockholders</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9,592,607 shares registered in this offering which have been and may be issued or sold by us to Lincoln Park under the Purchase Agreement are expected to be freely tradable. It is anticipated that shares registered in this offering may be sold over a period of up to 24-months commencing on the date that the registration statement including this prospectus becomes effective. The sale by Lincoln Park of a significant number of shares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under the Purchase Agreement may result in substantial dilution to the interests of other holders of our common stock.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shares to Lincoln Park and the Purchase Agreement may be terminated by us at any time at our discretion without any cost to us.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Purchase Agreement prohibits us from issuing or selling to Lincoln Park under the Purchase Agreement (i) shares of our common stock in excess of the Exchange Cap, unless we obtain stockholder approval to issue shares in excess of the Exchange Cap or the average price of all applicable sales of our common stock to Lincoln Park under the Purchase Agreement equals or exceeds the closing price of our common stock on The Nasdaq Capital Market on the business day immediately preceding March 24, 2020 plus an incremental amount, such that the transactions contemplated by the Purchase Agreement are exempt from the Exchange Cap limitation under applicable Nasdaq rules, and (ii) any shares of our common stock if those shares, when aggregated with all other shares of our common stock then beneficially owned by Lincoln Park and its affiliates, would exceed the Beneficial Ownership Cap.</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amount of gross proceeds we would receive from Lincoln Park from our sale of shares to Lincoln Park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at varying purchase prices:</w:t>
      </w:r>
    </w:p>
    <w:p>
      <w:pPr>
        <w:sectPr>
          <w:pgSz w:w="11900" w:h="16838" w:orient="portrait"/>
          <w:cols w:equalWidth="0" w:num="1">
            <w:col w:w="11240"/>
          </w:cols>
          <w:pgMar w:left="320" w:top="131" w:right="339" w:bottom="1440" w:gutter="0" w:footer="0" w:header="0"/>
        </w:sectPr>
      </w:pP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Percentage of 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vMerge w:val="restart"/>
          </w:tcPr>
          <w:p>
            <w:pPr>
              <w:jc w:val="right"/>
              <w:ind w:right="599"/>
              <w:spacing w:after="0"/>
              <w:rPr>
                <w:sz w:val="20"/>
                <w:szCs w:val="20"/>
                <w:color w:val="auto"/>
              </w:rPr>
            </w:pPr>
            <w:r>
              <w:rPr>
                <w:rFonts w:ascii="Arial" w:cs="Arial" w:eastAsia="Arial" w:hAnsi="Arial"/>
                <w:sz w:val="18"/>
                <w:szCs w:val="18"/>
                <w:b w:val="1"/>
                <w:bCs w:val="1"/>
                <w:color w:val="auto"/>
                <w:w w:val="83"/>
              </w:rPr>
              <w:t>Assumed Average Purchase</w:t>
            </w:r>
          </w:p>
        </w:tc>
        <w:tc>
          <w:tcPr>
            <w:tcW w:w="28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Number of Registered Shares</w:t>
            </w: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 After Giving Effect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2800" w:type="dxa"/>
            <w:vAlign w:val="bottom"/>
            <w:gridSpan w:val="2"/>
            <w:vMerge w:val="restart"/>
          </w:tcPr>
          <w:p>
            <w:pPr>
              <w:jc w:val="center"/>
              <w:ind w:right="560"/>
              <w:spacing w:after="0"/>
              <w:rPr>
                <w:sz w:val="20"/>
                <w:szCs w:val="20"/>
                <w:color w:val="auto"/>
              </w:rPr>
            </w:pPr>
            <w:r>
              <w:rPr>
                <w:rFonts w:ascii="Arial" w:cs="Arial" w:eastAsia="Arial" w:hAnsi="Arial"/>
                <w:sz w:val="18"/>
                <w:szCs w:val="18"/>
                <w:b w:val="1"/>
                <w:bCs w:val="1"/>
                <w:color w:val="auto"/>
                <w:w w:val="86"/>
              </w:rPr>
              <w:t>to be Issued if Full Purchase</w:t>
            </w:r>
          </w:p>
        </w:tc>
        <w:tc>
          <w:tcPr>
            <w:tcW w:w="24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7"/>
              </w:rPr>
              <w:t>the Issuance to Lincoln Park</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Price Per Share</w:t>
            </w:r>
          </w:p>
        </w:tc>
        <w:tc>
          <w:tcPr>
            <w:tcW w:w="560" w:type="dxa"/>
            <w:vAlign w:val="bottom"/>
            <w:vMerge w:val="restart"/>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w:t>
            </w:r>
          </w:p>
        </w:tc>
        <w:tc>
          <w:tcPr>
            <w:tcW w:w="56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0.3557</w:t>
            </w:r>
          </w:p>
        </w:tc>
        <w:tc>
          <w:tcPr>
            <w:tcW w:w="560" w:type="dxa"/>
            <w:vAlign w:val="bottom"/>
          </w:tcPr>
          <w:p>
            <w:pPr>
              <w:jc w:val="right"/>
              <w:ind w:right="359"/>
              <w:spacing w:after="0"/>
              <w:rPr>
                <w:sz w:val="20"/>
                <w:szCs w:val="20"/>
                <w:color w:val="auto"/>
              </w:rPr>
            </w:pPr>
            <w:r>
              <w:rPr>
                <w:rFonts w:ascii="Arial" w:cs="Arial" w:eastAsia="Arial" w:hAnsi="Arial"/>
                <w:sz w:val="12"/>
                <w:szCs w:val="12"/>
                <w:color w:val="auto"/>
                <w:w w:val="81"/>
              </w:rPr>
              <w:t>(3)</w:t>
            </w:r>
          </w:p>
        </w:tc>
        <w:tc>
          <w:tcPr>
            <w:tcW w:w="2240" w:type="dxa"/>
            <w:vAlign w:val="bottom"/>
          </w:tcPr>
          <w:p>
            <w:pPr>
              <w:jc w:val="right"/>
              <w:spacing w:after="0"/>
              <w:rPr>
                <w:sz w:val="20"/>
                <w:szCs w:val="20"/>
                <w:color w:val="auto"/>
              </w:rPr>
            </w:pPr>
            <w:r>
              <w:rPr>
                <w:rFonts w:ascii="Arial" w:cs="Arial" w:eastAsia="Arial" w:hAnsi="Arial"/>
                <w:sz w:val="18"/>
                <w:szCs w:val="18"/>
                <w:color w:val="auto"/>
              </w:rPr>
              <w:t>8,342,607</w:t>
            </w:r>
          </w:p>
        </w:tc>
        <w:tc>
          <w:tcPr>
            <w:tcW w:w="560" w:type="dxa"/>
            <w:vAlign w:val="bottom"/>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0.50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8,342,607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1.00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8,342,607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1.50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6,666,607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2"/>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gridSpan w:val="2"/>
          </w:tcPr>
          <w:p>
            <w:pPr>
              <w:jc w:val="right"/>
              <w:ind w:right="499"/>
              <w:spacing w:after="0"/>
              <w:rPr>
                <w:sz w:val="20"/>
                <w:szCs w:val="20"/>
                <w:color w:val="auto"/>
              </w:rPr>
            </w:pPr>
            <w:r>
              <w:rPr>
                <w:rFonts w:ascii="Arial" w:cs="Arial" w:eastAsia="Arial" w:hAnsi="Arial"/>
                <w:sz w:val="18"/>
                <w:szCs w:val="18"/>
                <w:color w:val="auto"/>
              </w:rPr>
              <w:t>2.00</w:t>
            </w:r>
          </w:p>
        </w:tc>
        <w:tc>
          <w:tcPr>
            <w:tcW w:w="2800" w:type="dxa"/>
            <w:vAlign w:val="bottom"/>
            <w:gridSpan w:val="2"/>
          </w:tcPr>
          <w:p>
            <w:pPr>
              <w:jc w:val="right"/>
              <w:ind w:right="560"/>
              <w:spacing w:after="0"/>
              <w:rPr>
                <w:sz w:val="20"/>
                <w:szCs w:val="20"/>
                <w:color w:val="auto"/>
              </w:rPr>
            </w:pPr>
            <w:r>
              <w:rPr>
                <w:rFonts w:ascii="Arial" w:cs="Arial" w:eastAsia="Arial" w:hAnsi="Arial"/>
                <w:sz w:val="18"/>
                <w:szCs w:val="18"/>
                <w:color w:val="auto"/>
              </w:rPr>
              <w:t>5,000,000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left="20" w:right="300"/>
        <w:spacing w:after="0" w:line="258" w:lineRule="auto"/>
        <w:rPr>
          <w:sz w:val="20"/>
          <w:szCs w:val="20"/>
          <w:color w:val="auto"/>
        </w:rPr>
      </w:pPr>
      <w:r>
        <w:rPr>
          <w:rFonts w:ascii="Arial" w:cs="Arial" w:eastAsia="Arial" w:hAnsi="Arial"/>
          <w:sz w:val="18"/>
          <w:szCs w:val="18"/>
          <w:b w:val="1"/>
          <w:bCs w:val="1"/>
          <w:color w:val="auto"/>
        </w:rPr>
        <w:t xml:space="preserve">Proceeds from the Sale of Shares to Lincoln Park Under the $10.25M Purchase Agreement </w:t>
      </w:r>
      <w:r>
        <w:rPr>
          <w:rFonts w:ascii="Arial" w:cs="Arial" w:eastAsia="Arial" w:hAnsi="Arial"/>
          <w:sz w:val="12"/>
          <w:szCs w:val="12"/>
          <w:b w:val="1"/>
          <w:bCs w:val="1"/>
          <w:color w:val="auto"/>
        </w:rPr>
        <w:t>(4)</w:t>
      </w:r>
    </w:p>
    <w:tbl>
      <w:tblPr>
        <w:tblLayout w:type="fixed"/>
        <w:tblInd w:w="0" w:type="dxa"/>
        <w:tblCellMar>
          <w:top w:w="0" w:type="dxa"/>
          <w:left w:w="0" w:type="dxa"/>
          <w:bottom w:w="0" w:type="dxa"/>
          <w:right w:w="0" w:type="dxa"/>
        </w:tblCellMar>
      </w:tblPr>
      <w:tr>
        <w:trPr>
          <w:trHeight w:val="203"/>
        </w:trPr>
        <w:tc>
          <w:tcPr>
            <w:tcW w:w="760" w:type="dxa"/>
            <w:vAlign w:val="bottom"/>
            <w:tcBorders>
              <w:top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3,217,465</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4,421,304</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8,592,607</w:t>
            </w:r>
          </w:p>
        </w:tc>
      </w:tr>
      <w:tr>
        <w:trPr>
          <w:trHeight w:val="216"/>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10,250,000</w:t>
            </w:r>
          </w:p>
        </w:tc>
      </w:tr>
      <w:tr>
        <w:trPr>
          <w:trHeight w:val="222"/>
        </w:trPr>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10,250,000</w:t>
            </w:r>
          </w:p>
        </w:tc>
      </w:tr>
    </w:tbl>
    <w:p>
      <w:pPr>
        <w:spacing w:after="0" w:line="200" w:lineRule="exact"/>
        <w:rPr>
          <w:sz w:val="20"/>
          <w:szCs w:val="20"/>
          <w:color w:val="auto"/>
        </w:rPr>
      </w:pPr>
    </w:p>
    <w:p>
      <w:pPr>
        <w:sectPr>
          <w:pgSz w:w="11900" w:h="16838" w:orient="portrait"/>
          <w:cols w:equalWidth="0" w:num="2">
            <w:col w:w="8300" w:space="420"/>
            <w:col w:w="2520"/>
          </w:cols>
          <w:pgMar w:left="320" w:top="131" w:right="339" w:bottom="1440" w:gutter="0" w:footer="0" w:header="0"/>
          <w:type w:val="continuous"/>
        </w:sectPr>
      </w:pPr>
    </w:p>
    <w:p>
      <w:pPr>
        <w:spacing w:after="0" w:line="37" w:lineRule="exact"/>
        <w:rPr>
          <w:sz w:val="20"/>
          <w:szCs w:val="20"/>
          <w:color w:val="auto"/>
        </w:rPr>
      </w:pPr>
    </w:p>
    <w:p>
      <w:pPr>
        <w:jc w:val="both"/>
        <w:ind w:left="500" w:hanging="492"/>
        <w:spacing w:after="0" w:line="28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total number of purchase shares which we would have sold under the Purchase Agreement at the corresponding assumed purchase price per share set forth in the adjacent column, which does not include the 750,000 Commitment Shares previously issued to Lincoln Park, nor the 500,000 Initial Purchase Shares previously sold to Lincoln Park. Although the Purchase Agreement provides that we may sell up to $10,250,000 of our common stock to Lincoln Park (including the Initial Purchase Shares), we are only registering 9,592,607 shares (including the 750,000 Commitment Shares and the 500,000 Initial Purchase Shares previously issued to Lincoln Park) under this prospectus, which may or may not cover all the shares we ultimately sell to Lincoln Park under the Purchase Agreement, depending on the purchase price per share. As a result, we have included in this column only those shares that we are registering in this offering. If we seek to issue shares of our common stock, including shares from other transactions that may be aggregated with the transactions contemplated by the Purchase Agreement under the applicable rules of The Nasdaq Capital Market, in excess of 9,592,607 shares, or 19.99% of the total common stock outstanding immediately prior to the execution of the Purchase Agreement unless the average price per share exceeds the closing price of our common stock on The Nasdaq Capital Market on the business day immediately preceeding March 24, 2020, plus an incremental amount, such that issuances and sales of our common stock to Lincoln Park under the Purchase Agreement would be exempt from the Exchange Cap limitation under applicable Nasdaq rules, we may be required to seek stockholder approval to maintain compliance with the rules of The Nasdaq Capital Market.</w:t>
      </w:r>
    </w:p>
    <w:p>
      <w:pPr>
        <w:spacing w:after="0" w:line="183" w:lineRule="exact"/>
        <w:rPr>
          <w:rFonts w:ascii="Arial" w:cs="Arial" w:eastAsia="Arial" w:hAnsi="Arial"/>
          <w:sz w:val="16"/>
          <w:szCs w:val="16"/>
          <w:color w:val="auto"/>
        </w:rPr>
      </w:pPr>
    </w:p>
    <w:p>
      <w:pPr>
        <w:jc w:val="both"/>
        <w:ind w:left="500" w:hanging="492"/>
        <w:spacing w:after="0" w:line="298"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denominator is based on 49,213,042 shares outstanding as of March 30, 2020, which includes (i) 750,000 Commitment Shares and 500,000 Initial Purchase Shares issued to Lincoln Park upon the execution of the Purchase Agreement, and (ii) the number of shares set forth in the adjacent column which we would have sold to Lincoln Park, assuming the purchase price in the adjacent column. The numerator is based on the number of shares issuable under the Purchase Agreement at the corresponding assumed purchase price set forth in the adjacent column.</w:t>
      </w:r>
    </w:p>
    <w:p>
      <w:pPr>
        <w:spacing w:after="0" w:line="166" w:lineRule="exact"/>
        <w:rPr>
          <w:rFonts w:ascii="Arial" w:cs="Arial" w:eastAsia="Arial" w:hAnsi="Arial"/>
          <w:sz w:val="16"/>
          <w:szCs w:val="16"/>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Minimum Price as calculated in accordance with rules of the Nasdaq Capital Market.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$250,000 proceeds from sale of 500,000 Initial Purchase Shares.</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common stock offered by this prospectus is being offered by the selling stockholder, Lincoln Park. The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could be affected in one or more of the following methods:</w:t>
      </w:r>
    </w:p>
    <w:p>
      <w:pPr>
        <w:spacing w:after="0" w:line="166"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1140" w:right="20" w:hanging="484"/>
        <w:spacing w:after="0" w:line="26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Lincoln Park is an “underwriter” within the meaning of Section 2(a)(11) of the Securities Act.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Lincoln Park has informed us that it intends to use an unaffiliated broker-dealer to effectuate all sales, if any, of the common stock that it may purchase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Brokers, dealers, underwriters or agents participating in the distribution of the shares as agents may receive compensation in the form of commissions, discounts, or concessions from the selling stockholder and/or purchasers of the common stock for whom the broker-dealers may act as agent. The compensation paid to a particular broker-dealer may be less than or in excess of customary commissions. Neither we nor Lincoln Park can presently estimate the amount of compensation that any agent will receive.</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know of no existing arrangements between Lincoln Park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the selling stockholder, and any other required information.</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will pay the expenses (except brokerage fees and commissions and similar expenses) incurred in registering the shares, including legal and accounting fees. We have agreed to indemnify Lincoln Park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spacing w:after="0" w:line="19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6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This offering will terminate on the earlier of (i) termination of the Purchase Agreement or (ii) the date that all shares offered by this prospectus have been sold by Lincoln Park.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under the symbol “VTGN”.</w:t>
      </w:r>
    </w:p>
    <w:p>
      <w:pPr>
        <w:sectPr>
          <w:pgSz w:w="11900" w:h="16838" w:orient="portrait"/>
          <w:cols w:equalWidth="0" w:num="1">
            <w:col w:w="11240"/>
          </w:cols>
          <w:pgMar w:left="320" w:top="131" w:right="339" w:bottom="6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622"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2019, filed with the SEC on June 25, 2019, which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authorized capital stock consists of 175.0 million shares of common stock, $0.001 par value per share, and 10.0 million shares of preferred stock, $0.001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30, 2020,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49,213,042 shares of common stock held by approximately 6,000 stockholders of record;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26,555,281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7,768,088 registered shares of common stock reserved for issuance upon exercise of outstanding stock options under our Amended and Restated 2016 Stock Incentive Plan, with a weighted average exercise price of $1.41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2,235,000 registered shares of common stock reserved for issuance upon exercise of outstanding stock options under our 2019 Omnibus Equity Incentive Plan, with a weighted average exercise price of $1.22 per share,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6,730,162 registered shares of common stock reserved for future issuance in connection with future grants under our 2019 Omnibus Equity Incentive Plan.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pacing w:after="0" w:line="248"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80" w:firstLine="648"/>
        <w:spacing w:after="0" w:line="331" w:lineRule="auto"/>
        <w:rPr>
          <w:sz w:val="20"/>
          <w:szCs w:val="20"/>
          <w:color w:val="auto"/>
        </w:rPr>
      </w:pPr>
      <w:r>
        <w:rPr>
          <w:rFonts w:ascii="Arial" w:cs="Arial" w:eastAsia="Arial" w:hAnsi="Arial"/>
          <w:sz w:val="16"/>
          <w:szCs w:val="16"/>
          <w:color w:val="auto"/>
        </w:rPr>
        <w:t>The validity of the securities offered hereby will be passed upon for us by Disclosure Law Group, a Professional Corporation, San Diego, California (</w:t>
      </w:r>
      <w:r>
        <w:rPr>
          <w:rFonts w:ascii="Arial" w:cs="Arial" w:eastAsia="Arial" w:hAnsi="Arial"/>
          <w:sz w:val="16"/>
          <w:szCs w:val="16"/>
          <w:i w:val="1"/>
          <w:iCs w:val="1"/>
          <w:color w:val="auto"/>
        </w:rPr>
        <w:t>DLG</w:t>
      </w:r>
      <w:r>
        <w:rPr>
          <w:rFonts w:ascii="Arial" w:cs="Arial" w:eastAsia="Arial" w:hAnsi="Arial"/>
          <w:sz w:val="16"/>
          <w:szCs w:val="16"/>
          <w:color w:val="auto"/>
        </w:rPr>
        <w:t>). Partners of DLG beneficially own an aggregate of 74,487 registered and/or restricted shares of our common stock.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audited financial statements incorporated by reference in this prospectus and elsewhere in the registration statement have been incorporated by reference in reliance upon the report of OUM &amp; Co. LLP, independent registered public accounting firm, upon the authority of said firm as experts in accounting and auditing. The 2019 and 2018 audited annual consolidated financial statements of VistaGen Therapeutics, Inc., as of and for the years ended March 31, 2019 and 2018, have been audited by OUM &amp; Co. LLP, independent registered public accounting firm. The audit report dated June 25, 2019 for the 2019 audited annual consolidated financial statements includes an explanatory paragraph which states that certain circumstances raise substantial doubt about our ability to continue as a going concern.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are subject to the informational requirements of the Exchange Act and in accordance therewith we file annual, quarterly, and other reports, proxy statements and other information with the Commission under the Exchange Act. Such reports, proxy statements and other information, including the Registration Statement, and exhibits and schedules thereto, are available to the public through the Commission’s website at www.sec.gov.</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Commission.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filed with the Commission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Commission at the address listed above, or for free at www.sec.gov. The registration statement and the documents referred to below under “</w:t>
      </w:r>
      <w:r>
        <w:rPr>
          <w:rFonts w:ascii="Arial" w:cs="Arial" w:eastAsia="Arial" w:hAnsi="Arial"/>
          <w:sz w:val="16"/>
          <w:szCs w:val="16"/>
          <w:i w:val="1"/>
          <w:iCs w:val="1"/>
          <w:color w:val="auto"/>
        </w:rPr>
        <w:t>Incorporation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Information by Reference</w:t>
      </w:r>
      <w:r>
        <w:rPr>
          <w:rFonts w:ascii="Arial" w:cs="Arial" w:eastAsia="Arial" w:hAnsi="Arial"/>
          <w:sz w:val="16"/>
          <w:szCs w:val="16"/>
          <w:color w:val="auto"/>
        </w:rPr>
        <w:t>” are also available on our website, www.vistagen.com/sec-filings.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not incorporated by reference into this prospectus the information on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9,592,607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288925</wp:posOffset>
            </wp:positionV>
            <wp:extent cx="1362710" cy="951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7"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Amount</w:t>
            </w:r>
          </w:p>
        </w:tc>
      </w:tr>
      <w:tr>
        <w:trPr>
          <w:trHeight w:val="21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573</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52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40,000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352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6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61,573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There have been no securities sold by us during the past three years which were not registered under the Securities Act and/or are not otherwise described in the accompanying prospectus or the documents incorporated by reference into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5"/>
          <w:szCs w:val="15"/>
          <w:u w:val="single" w:color="auto"/>
          <w:color w:val="auto"/>
        </w:rPr>
        <w:t>Description</w:t>
      </w:r>
    </w:p>
    <w:p>
      <w:pPr>
        <w:spacing w:after="0" w:line="225" w:lineRule="exact"/>
        <w:rPr>
          <w:sz w:val="20"/>
          <w:szCs w:val="20"/>
          <w:color w:val="auto"/>
        </w:rPr>
      </w:pPr>
    </w:p>
    <w:p>
      <w:pPr>
        <w:ind w:left="480"/>
        <w:spacing w:after="0"/>
        <w:tabs>
          <w:tab w:leader="none" w:pos="1240" w:val="left"/>
        </w:tabs>
        <w:rPr>
          <w:rFonts w:ascii="Arial" w:cs="Arial" w:eastAsia="Arial" w:hAnsi="Arial"/>
          <w:sz w:val="18"/>
          <w:szCs w:val="18"/>
          <w:color w:val="0000EE"/>
        </w:rPr>
      </w:pPr>
      <w:hyperlink r:id="rId48">
        <w:r>
          <w:rPr>
            <w:rFonts w:ascii="Arial" w:cs="Arial" w:eastAsia="Arial" w:hAnsi="Arial"/>
            <w:sz w:val="18"/>
            <w:szCs w:val="18"/>
            <w:u w:val="single" w:color="auto"/>
            <w:color w:val="0000EE"/>
          </w:rPr>
          <w:t>2.1*</w:t>
        </w:r>
      </w:hyperlink>
      <w:r>
        <w:rPr>
          <w:rFonts w:ascii="Arial" w:cs="Arial" w:eastAsia="Arial" w:hAnsi="Arial"/>
          <w:sz w:val="18"/>
          <w:szCs w:val="18"/>
          <w:color w:val="0000EE"/>
        </w:rPr>
        <w:tab/>
      </w:r>
      <w:r>
        <w:rPr>
          <w:rFonts w:ascii="Arial" w:cs="Arial" w:eastAsia="Arial" w:hAnsi="Arial"/>
          <w:sz w:val="15"/>
          <w:szCs w:val="15"/>
          <w:color w:val="0000EE"/>
        </w:rPr>
        <w:t>Agreement and Plan of Merger by and among Excaliber Enterprises, Ltd., VistaGen Therapeutics, Inc. and Excaliber Merger Subsidiary,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1260" w:hanging="730"/>
        <w:spacing w:after="0" w:line="250" w:lineRule="auto"/>
        <w:tabs>
          <w:tab w:leader="none" w:pos="1240" w:val="left"/>
        </w:tabs>
        <w:rPr>
          <w:rFonts w:ascii="Arial" w:cs="Arial" w:eastAsia="Arial" w:hAnsi="Arial"/>
          <w:sz w:val="18"/>
          <w:szCs w:val="18"/>
          <w:color w:val="0000EE"/>
        </w:rPr>
      </w:pPr>
      <w:hyperlink r:id="rId50">
        <w:r>
          <w:rPr>
            <w:rFonts w:ascii="Arial" w:cs="Arial" w:eastAsia="Arial" w:hAnsi="Arial"/>
            <w:sz w:val="18"/>
            <w:szCs w:val="18"/>
            <w:u w:val="single" w:color="auto"/>
            <w:color w:val="0000EE"/>
          </w:rPr>
          <w:t>3.4</w:t>
        </w:r>
      </w:hyperlink>
      <w:r>
        <w:rPr>
          <w:rFonts w:ascii="Arial" w:cs="Arial" w:eastAsia="Arial" w:hAnsi="Arial"/>
          <w:sz w:val="18"/>
          <w:szCs w:val="18"/>
          <w:color w:val="0000EE"/>
        </w:rPr>
        <w:tab/>
        <w:t>Articles of Merger filed with the Nevada Secretary of State on May 24, 2011, incorporated by reference from Exhibit 3.1 to the Company’s Current Report on Form 8-K filed on May 31, 2011.</w:t>
      </w:r>
    </w:p>
    <w:p>
      <w:pPr>
        <w:spacing w:after="0" w:line="1" w:lineRule="exact"/>
        <w:rPr>
          <w:sz w:val="20"/>
          <w:szCs w:val="20"/>
          <w:color w:val="auto"/>
        </w:rPr>
      </w:pPr>
    </w:p>
    <w:p>
      <w:pPr>
        <w:jc w:val="both"/>
        <w:ind w:left="1260" w:hanging="730"/>
        <w:spacing w:after="0" w:line="250" w:lineRule="auto"/>
        <w:tabs>
          <w:tab w:leader="none" w:pos="1240" w:val="left"/>
        </w:tabs>
        <w:rPr>
          <w:rFonts w:ascii="Arial" w:cs="Arial" w:eastAsia="Arial" w:hAnsi="Arial"/>
          <w:sz w:val="18"/>
          <w:szCs w:val="18"/>
          <w:color w:val="0000EE"/>
        </w:rPr>
      </w:pPr>
      <w:hyperlink r:id="rId51">
        <w:r>
          <w:rPr>
            <w:rFonts w:ascii="Arial" w:cs="Arial" w:eastAsia="Arial" w:hAnsi="Arial"/>
            <w:sz w:val="18"/>
            <w:szCs w:val="18"/>
            <w:u w:val="single" w:color="auto"/>
            <w:color w:val="0000EE"/>
          </w:rPr>
          <w:t>3.5</w:t>
        </w:r>
      </w:hyperlink>
      <w:r>
        <w:rPr>
          <w:rFonts w:ascii="Arial" w:cs="Arial" w:eastAsia="Arial" w:hAnsi="Arial"/>
          <w:sz w:val="18"/>
          <w:szCs w:val="18"/>
          <w:color w:val="0000EE"/>
        </w:rPr>
        <w:tab/>
        <w:t>Certificate of Designations Series A Preferred, incorporated by reference from Exhibit 3.1 to the Company’s Current Report on Form 8-K filed on December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right="20" w:hanging="730"/>
        <w:spacing w:after="0" w:line="250" w:lineRule="auto"/>
        <w:tabs>
          <w:tab w:leader="none" w:pos="1240" w:val="left"/>
        </w:tabs>
        <w:rPr>
          <w:rFonts w:ascii="Arial" w:cs="Arial" w:eastAsia="Arial" w:hAnsi="Arial"/>
          <w:sz w:val="18"/>
          <w:szCs w:val="18"/>
          <w:color w:val="0000EE"/>
        </w:rPr>
      </w:pPr>
      <w:hyperlink r:id="rId53">
        <w:r>
          <w:rPr>
            <w:rFonts w:ascii="Arial" w:cs="Arial" w:eastAsia="Arial" w:hAnsi="Arial"/>
            <w:sz w:val="18"/>
            <w:szCs w:val="18"/>
            <w:u w:val="single" w:color="auto"/>
            <w:color w:val="0000EE"/>
          </w:rPr>
          <w:t>3.6</w:t>
        </w:r>
      </w:hyperlink>
      <w:r>
        <w:rPr>
          <w:rFonts w:ascii="Arial" w:cs="Arial" w:eastAsia="Arial" w:hAnsi="Arial"/>
          <w:sz w:val="18"/>
          <w:szCs w:val="18"/>
          <w:color w:val="0000EE"/>
        </w:rPr>
        <w:tab/>
        <w:t>Certificate of Change filed with the Nevada Secretary of State on August 11, 2014 incorporated by reference from Exhibit 3.1 to the Company’s Current Report on Form 8-K filed on August 14, 2014.</w:t>
      </w:r>
    </w:p>
    <w:p>
      <w:pPr>
        <w:spacing w:after="0" w:line="1" w:lineRule="exact"/>
        <w:rPr>
          <w:sz w:val="20"/>
          <w:szCs w:val="20"/>
          <w:color w:val="auto"/>
        </w:rPr>
      </w:pPr>
    </w:p>
    <w:p>
      <w:pPr>
        <w:jc w:val="both"/>
        <w:ind w:left="1260" w:hanging="730"/>
        <w:spacing w:after="0" w:line="250" w:lineRule="auto"/>
        <w:tabs>
          <w:tab w:leader="none" w:pos="1240" w:val="left"/>
        </w:tabs>
        <w:rPr>
          <w:rFonts w:ascii="Arial" w:cs="Arial" w:eastAsia="Arial" w:hAnsi="Arial"/>
          <w:sz w:val="18"/>
          <w:szCs w:val="18"/>
          <w:color w:val="0000EE"/>
        </w:rPr>
      </w:pPr>
      <w:hyperlink r:id="rId54">
        <w:r>
          <w:rPr>
            <w:rFonts w:ascii="Arial" w:cs="Arial" w:eastAsia="Arial" w:hAnsi="Arial"/>
            <w:sz w:val="18"/>
            <w:szCs w:val="18"/>
            <w:u w:val="single" w:color="auto"/>
            <w:color w:val="0000EE"/>
          </w:rPr>
          <w:t>3.7</w:t>
        </w:r>
      </w:hyperlink>
      <w:r>
        <w:rPr>
          <w:rFonts w:ascii="Arial" w:cs="Arial" w:eastAsia="Arial" w:hAnsi="Arial"/>
          <w:sz w:val="18"/>
          <w:szCs w:val="18"/>
          <w:color w:val="0000EE"/>
        </w:rPr>
        <w:tab/>
        <w:t>Certificate of Designation of the Relative Rights and Preferences of the Series B 10% Convertible Preferred Stock of VistaGen Therapeutics, Inc., filed with the Nevada Secretary of State on May 7, 2015, incorporated by reference from Exhibit 3.1 to the Company’s Current Report on Form 8-K filed on May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730"/>
        <w:spacing w:after="0" w:line="281" w:lineRule="auto"/>
        <w:tabs>
          <w:tab w:leader="none" w:pos="1240" w:val="left"/>
        </w:tabs>
        <w:rPr>
          <w:rFonts w:ascii="Arial" w:cs="Arial" w:eastAsia="Arial" w:hAnsi="Arial"/>
          <w:sz w:val="18"/>
          <w:szCs w:val="18"/>
          <w:color w:val="0000EE"/>
        </w:rPr>
      </w:pPr>
      <w:hyperlink r:id="rId56">
        <w:r>
          <w:rPr>
            <w:rFonts w:ascii="Arial" w:cs="Arial" w:eastAsia="Arial" w:hAnsi="Arial"/>
            <w:sz w:val="18"/>
            <w:szCs w:val="18"/>
            <w:u w:val="single" w:color="auto"/>
            <w:color w:val="0000EE"/>
          </w:rPr>
          <w:t>3.9</w:t>
        </w:r>
      </w:hyperlink>
      <w:r>
        <w:rPr>
          <w:rFonts w:ascii="Arial" w:cs="Arial" w:eastAsia="Arial" w:hAnsi="Arial"/>
          <w:sz w:val="18"/>
          <w:szCs w:val="18"/>
          <w:color w:val="0000EE"/>
        </w:rPr>
        <w:tab/>
      </w:r>
      <w:r>
        <w:rPr>
          <w:rFonts w:ascii="Arial" w:cs="Arial" w:eastAsia="Arial" w:hAnsi="Arial"/>
          <w:sz w:val="16"/>
          <w:szCs w:val="16"/>
          <w:color w:val="0000EE"/>
        </w:rPr>
        <w:t>Certificate of Designation of the Relative Rights and Preferences of the Series C Convertible Preferred Stock of VistaGen Therapeutics, Inc., dated January 25, 2016, incorporated by reference from Exhibit 3.1 to the Company’s Current Report on Form 8-K filed on January 29, 2016.</w:t>
      </w:r>
    </w:p>
    <w:p>
      <w:pPr>
        <w:spacing w:after="0" w:line="1" w:lineRule="exact"/>
        <w:rPr>
          <w:sz w:val="20"/>
          <w:szCs w:val="20"/>
          <w:color w:val="auto"/>
        </w:rPr>
      </w:pPr>
    </w:p>
    <w:p>
      <w:pPr>
        <w:ind w:left="1260" w:hanging="774"/>
        <w:spacing w:after="0" w:line="250" w:lineRule="auto"/>
        <w:tabs>
          <w:tab w:leader="none" w:pos="1240" w:val="left"/>
        </w:tabs>
        <w:rPr>
          <w:rFonts w:ascii="Arial" w:cs="Arial" w:eastAsia="Arial" w:hAnsi="Arial"/>
          <w:sz w:val="18"/>
          <w:szCs w:val="18"/>
          <w:color w:val="0000EE"/>
        </w:rPr>
      </w:pPr>
      <w:hyperlink r:id="rId57">
        <w:r>
          <w:rPr>
            <w:rFonts w:ascii="Arial" w:cs="Arial" w:eastAsia="Arial" w:hAnsi="Arial"/>
            <w:sz w:val="18"/>
            <w:szCs w:val="18"/>
            <w:u w:val="single" w:color="auto"/>
            <w:color w:val="0000EE"/>
          </w:rPr>
          <w:t>3.10</w:t>
        </w:r>
      </w:hyperlink>
      <w:r>
        <w:rPr>
          <w:rFonts w:ascii="Arial" w:cs="Arial" w:eastAsia="Arial" w:hAnsi="Arial"/>
          <w:sz w:val="18"/>
          <w:szCs w:val="18"/>
          <w:color w:val="0000EE"/>
        </w:rPr>
        <w:tab/>
        <w:t>Restated Articles of Incorporation of VistaGen Therapeutics, Inc., dated August 16, 2016, incorporated by reference from Exhibit 3.1 to the Company’s Current Report on Form 8-K, filed on August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770"/>
        <w:spacing w:after="0" w:line="250" w:lineRule="auto"/>
        <w:tabs>
          <w:tab w:leader="none" w:pos="1240" w:val="left"/>
        </w:tabs>
        <w:rPr>
          <w:rFonts w:ascii="Arial" w:cs="Arial" w:eastAsia="Arial" w:hAnsi="Arial"/>
          <w:sz w:val="18"/>
          <w:szCs w:val="18"/>
          <w:color w:val="0000EE"/>
        </w:rPr>
      </w:pPr>
      <w:hyperlink r:id="rId59">
        <w:r>
          <w:rPr>
            <w:rFonts w:ascii="Arial" w:cs="Arial" w:eastAsia="Arial" w:hAnsi="Arial"/>
            <w:sz w:val="18"/>
            <w:szCs w:val="18"/>
            <w:u w:val="single" w:color="auto"/>
            <w:color w:val="0000EE"/>
          </w:rPr>
          <w:t>3.11</w:t>
        </w:r>
      </w:hyperlink>
      <w:r>
        <w:rPr>
          <w:rFonts w:ascii="Arial" w:cs="Arial" w:eastAsia="Arial" w:hAnsi="Arial"/>
          <w:sz w:val="18"/>
          <w:szCs w:val="18"/>
          <w:color w:val="0000EE"/>
        </w:rPr>
        <w:tab/>
        <w:t>Second Amended and Restated Bylaws of VistaGen Therapeutics, Inc., dated August 16, 2016, incorporated by reference from Exhibit 3.2 to the Company’s Current Report on Form 8-K, filed on August 16, 2016.</w:t>
      </w:r>
    </w:p>
    <w:p>
      <w:pPr>
        <w:spacing w:after="0" w:line="1" w:lineRule="exact"/>
        <w:rPr>
          <w:sz w:val="20"/>
          <w:szCs w:val="20"/>
          <w:color w:val="auto"/>
        </w:rPr>
      </w:pPr>
    </w:p>
    <w:p>
      <w:pPr>
        <w:ind w:left="1260" w:hanging="774"/>
        <w:spacing w:after="0" w:line="281" w:lineRule="auto"/>
        <w:tabs>
          <w:tab w:leader="none" w:pos="1240" w:val="left"/>
        </w:tabs>
        <w:rPr>
          <w:rFonts w:ascii="Arial" w:cs="Arial" w:eastAsia="Arial" w:hAnsi="Arial"/>
          <w:sz w:val="18"/>
          <w:szCs w:val="18"/>
          <w:color w:val="auto"/>
        </w:rPr>
      </w:pPr>
      <w:hyperlink r:id="rId60">
        <w:r>
          <w:rPr>
            <w:rFonts w:ascii="Arial" w:cs="Arial" w:eastAsia="Arial" w:hAnsi="Arial"/>
            <w:sz w:val="18"/>
            <w:szCs w:val="18"/>
            <w:u w:val="single" w:color="auto"/>
            <w:color w:val="auto"/>
          </w:rPr>
          <w:t>3.12</w:t>
        </w:r>
      </w:hyperlink>
      <w:r>
        <w:rPr>
          <w:rFonts w:ascii="Arial" w:cs="Arial" w:eastAsia="Arial" w:hAnsi="Arial"/>
          <w:sz w:val="18"/>
          <w:szCs w:val="18"/>
          <w:color w:val="auto"/>
        </w:rPr>
        <w:tab/>
      </w:r>
      <w:r>
        <w:rPr>
          <w:rFonts w:ascii="Arial" w:cs="Arial" w:eastAsia="Arial" w:hAnsi="Arial"/>
          <w:sz w:val="16"/>
          <w:szCs w:val="16"/>
          <w:color w:val="auto"/>
        </w:rPr>
        <w:t>Certificate of Amendment to the Restated and Amended Articles of Incorporation of VistaGen Therapeutics, Inc., dated September 15, 2017; incorporated by reference from Exhibit 3.1 to the Company’s Current Report on Form 8-K, filed on September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62">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6"/>
          <w:szCs w:val="16"/>
          <w:color w:val="0000EE"/>
        </w:rPr>
        <w:t>License Agreement by and between Mount Sinai School of Medicine of New York University and the Company, dated October 1, 2004.</w:t>
      </w:r>
    </w:p>
    <w:p>
      <w:pPr>
        <w:spacing w:after="0" w:line="9" w:lineRule="exact"/>
        <w:rPr>
          <w:sz w:val="20"/>
          <w:szCs w:val="20"/>
          <w:color w:val="auto"/>
        </w:rPr>
      </w:pPr>
    </w:p>
    <w:p>
      <w:pPr>
        <w:ind w:left="520"/>
        <w:spacing w:after="0"/>
        <w:tabs>
          <w:tab w:leader="none" w:pos="1240" w:val="left"/>
        </w:tabs>
        <w:rPr>
          <w:rFonts w:ascii="Arial" w:cs="Arial" w:eastAsia="Arial" w:hAnsi="Arial"/>
          <w:sz w:val="18"/>
          <w:szCs w:val="18"/>
          <w:color w:val="0000EE"/>
        </w:rPr>
      </w:pPr>
      <w:hyperlink w:anchor="page35">
        <w:r>
          <w:rPr>
            <w:rFonts w:ascii="Arial" w:cs="Arial" w:eastAsia="Arial" w:hAnsi="Arial"/>
            <w:sz w:val="18"/>
            <w:szCs w:val="18"/>
            <w:u w:val="single" w:color="auto"/>
            <w:color w:val="0000EE"/>
          </w:rPr>
          <w:t>5.1</w:t>
        </w:r>
      </w:hyperlink>
      <w:r>
        <w:rPr>
          <w:rFonts w:ascii="Arial" w:cs="Arial" w:eastAsia="Arial" w:hAnsi="Arial"/>
          <w:sz w:val="18"/>
          <w:szCs w:val="18"/>
          <w:color w:val="0000EE"/>
        </w:rPr>
        <w:tab/>
      </w:r>
      <w:r>
        <w:rPr>
          <w:rFonts w:ascii="Arial" w:cs="Arial" w:eastAsia="Arial" w:hAnsi="Arial"/>
          <w:sz w:val="16"/>
          <w:szCs w:val="16"/>
          <w:color w:val="0000EE"/>
        </w:rPr>
        <w:t>Opinion of Disclosure Law Group, a Professional Corporation,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64">
        <w:r>
          <w:rPr>
            <w:rFonts w:ascii="Arial" w:cs="Arial" w:eastAsia="Arial" w:hAnsi="Arial"/>
            <w:sz w:val="18"/>
            <w:szCs w:val="18"/>
            <w:u w:val="single" w:color="auto"/>
            <w:color w:val="0000EE"/>
          </w:rPr>
          <w:t>10.26*</w:t>
        </w:r>
      </w:hyperlink>
      <w:r>
        <w:rPr>
          <w:rFonts w:ascii="Arial" w:cs="Arial" w:eastAsia="Arial" w:hAnsi="Arial"/>
          <w:sz w:val="18"/>
          <w:szCs w:val="18"/>
          <w:color w:val="0000EE"/>
        </w:rPr>
        <w:tab/>
        <w:t>License Agreement, dated October 24, 2001, by and between the University of Maryland, Baltimore, Cornell Research Foundation and Artemis Neuroscience, Inc.</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65">
        <w:r>
          <w:rPr>
            <w:rFonts w:ascii="Arial" w:cs="Arial" w:eastAsia="Arial" w:hAnsi="Arial"/>
            <w:sz w:val="18"/>
            <w:szCs w:val="18"/>
            <w:u w:val="single" w:color="auto"/>
            <w:color w:val="0000EE"/>
          </w:rPr>
          <w:t>10.40*</w:t>
        </w:r>
      </w:hyperlink>
      <w:r>
        <w:rPr>
          <w:rFonts w:ascii="Arial" w:cs="Arial" w:eastAsia="Arial" w:hAnsi="Arial"/>
          <w:sz w:val="18"/>
          <w:szCs w:val="18"/>
          <w:color w:val="0000EE"/>
        </w:rPr>
        <w:tab/>
      </w:r>
      <w:r>
        <w:rPr>
          <w:rFonts w:ascii="Arial" w:cs="Arial" w:eastAsia="Arial" w:hAnsi="Arial"/>
          <w:sz w:val="15"/>
          <w:szCs w:val="15"/>
          <w:color w:val="0000EE"/>
        </w:rPr>
        <w:t>Employment Agreement, by and between, VistaGen and Shawn K. Singh, dated April 28, 2010, as amended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67">
        <w:r>
          <w:rPr>
            <w:rFonts w:ascii="Arial" w:cs="Arial" w:eastAsia="Arial" w:hAnsi="Arial"/>
            <w:sz w:val="18"/>
            <w:szCs w:val="18"/>
            <w:u w:val="single" w:color="auto"/>
            <w:color w:val="0000EE"/>
          </w:rPr>
          <w:t>10.41*</w:t>
        </w:r>
      </w:hyperlink>
      <w:r>
        <w:rPr>
          <w:rFonts w:ascii="Arial" w:cs="Arial" w:eastAsia="Arial" w:hAnsi="Arial"/>
          <w:sz w:val="18"/>
          <w:szCs w:val="18"/>
          <w:color w:val="0000EE"/>
        </w:rPr>
        <w:tab/>
      </w:r>
      <w:r>
        <w:rPr>
          <w:rFonts w:ascii="Arial" w:cs="Arial" w:eastAsia="Arial" w:hAnsi="Arial"/>
          <w:sz w:val="15"/>
          <w:szCs w:val="15"/>
          <w:color w:val="0000EE"/>
        </w:rPr>
        <w:t>Employment Agreement, by and between, VistaGen and H. Ralph Snodgrass, PhD, dated April 28, 2010, as amended May 9, 2011.</w:t>
      </w:r>
    </w:p>
    <w:p>
      <w:pPr>
        <w:spacing w:after="0" w:line="9" w:lineRule="exact"/>
        <w:rPr>
          <w:sz w:val="20"/>
          <w:szCs w:val="20"/>
          <w:color w:val="auto"/>
        </w:rPr>
      </w:pPr>
    </w:p>
    <w:p>
      <w:pPr>
        <w:ind w:left="1260" w:hanging="817"/>
        <w:spacing w:after="0" w:line="250" w:lineRule="auto"/>
        <w:tabs>
          <w:tab w:leader="none" w:pos="1240" w:val="left"/>
        </w:tabs>
        <w:rPr>
          <w:rFonts w:ascii="Arial" w:cs="Arial" w:eastAsia="Arial" w:hAnsi="Arial"/>
          <w:sz w:val="18"/>
          <w:szCs w:val="18"/>
          <w:color w:val="0000EE"/>
        </w:rPr>
      </w:pPr>
      <w:hyperlink r:id="rId68">
        <w:r>
          <w:rPr>
            <w:rFonts w:ascii="Arial" w:cs="Arial" w:eastAsia="Arial" w:hAnsi="Arial"/>
            <w:sz w:val="18"/>
            <w:szCs w:val="18"/>
            <w:u w:val="single" w:color="auto"/>
            <w:color w:val="0000EE"/>
          </w:rPr>
          <w:t>10.49</w:t>
        </w:r>
      </w:hyperlink>
      <w:r>
        <w:rPr>
          <w:rFonts w:ascii="Arial" w:cs="Arial" w:eastAsia="Arial" w:hAnsi="Arial"/>
          <w:sz w:val="18"/>
          <w:szCs w:val="18"/>
          <w:color w:val="0000EE"/>
        </w:rPr>
        <w:tab/>
        <w:t>License Agreement No. 1, dated as of October 24, 2011 between University Health Network and VistaGen Therapeutics, Inc., incorporated by reference from Exhibit 10.1 to the Company’s Current Report on Form 8-K filed on November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17"/>
        <w:spacing w:after="0" w:line="250" w:lineRule="auto"/>
        <w:tabs>
          <w:tab w:leader="none" w:pos="1240" w:val="left"/>
        </w:tabs>
        <w:rPr>
          <w:rFonts w:ascii="Arial" w:cs="Arial" w:eastAsia="Arial" w:hAnsi="Arial"/>
          <w:sz w:val="18"/>
          <w:szCs w:val="18"/>
          <w:color w:val="0000EE"/>
        </w:rPr>
      </w:pPr>
      <w:hyperlink r:id="rId70">
        <w:r>
          <w:rPr>
            <w:rFonts w:ascii="Arial" w:cs="Arial" w:eastAsia="Arial" w:hAnsi="Arial"/>
            <w:sz w:val="18"/>
            <w:szCs w:val="18"/>
            <w:u w:val="single" w:color="auto"/>
            <w:color w:val="0000EE"/>
          </w:rPr>
          <w:t>10.57</w:t>
        </w:r>
      </w:hyperlink>
      <w:r>
        <w:rPr>
          <w:rFonts w:ascii="Arial" w:cs="Arial" w:eastAsia="Arial" w:hAnsi="Arial"/>
          <w:sz w:val="18"/>
          <w:szCs w:val="18"/>
          <w:color w:val="0000EE"/>
        </w:rPr>
        <w:tab/>
        <w:t>License Agreement No. 2, dated as of March 19, 2012 between University Health Network and VistaGen Therapeutics, Inc., incorporated by reference from Exhibit 10.57 to the Company’s Annual Report on Form 10-K filed on July 2, 2012.</w:t>
      </w:r>
    </w:p>
    <w:p>
      <w:pPr>
        <w:spacing w:after="0" w:line="1" w:lineRule="exact"/>
        <w:rPr>
          <w:sz w:val="20"/>
          <w:szCs w:val="20"/>
          <w:color w:val="auto"/>
        </w:rPr>
      </w:pPr>
    </w:p>
    <w:p>
      <w:pPr>
        <w:ind w:left="1260" w:right="20" w:hanging="817"/>
        <w:spacing w:after="0" w:line="323" w:lineRule="auto"/>
        <w:tabs>
          <w:tab w:leader="none" w:pos="1240" w:val="left"/>
        </w:tabs>
        <w:rPr>
          <w:rFonts w:ascii="Arial" w:cs="Arial" w:eastAsia="Arial" w:hAnsi="Arial"/>
          <w:sz w:val="18"/>
          <w:szCs w:val="18"/>
          <w:color w:val="0000EE"/>
        </w:rPr>
      </w:pPr>
      <w:hyperlink r:id="rId71">
        <w:r>
          <w:rPr>
            <w:rFonts w:ascii="Arial" w:cs="Arial" w:eastAsia="Arial" w:hAnsi="Arial"/>
            <w:sz w:val="18"/>
            <w:szCs w:val="18"/>
            <w:u w:val="single" w:color="auto"/>
            <w:color w:val="0000EE"/>
          </w:rPr>
          <w:t>10.67</w:t>
        </w:r>
      </w:hyperlink>
      <w:r>
        <w:rPr>
          <w:rFonts w:ascii="Arial" w:cs="Arial" w:eastAsia="Arial" w:hAnsi="Arial"/>
          <w:sz w:val="18"/>
          <w:szCs w:val="18"/>
          <w:color w:val="0000EE"/>
        </w:rPr>
        <w:tab/>
      </w:r>
      <w:r>
        <w:rPr>
          <w:rFonts w:ascii="Arial" w:cs="Arial" w:eastAsia="Arial" w:hAnsi="Arial"/>
          <w:sz w:val="16"/>
          <w:szCs w:val="16"/>
          <w:color w:val="0000EE"/>
        </w:rPr>
        <w:t>Note Exchange and Purchase Agreement dated as of October 11, 2012 by and between VistaGen Therapeutics, Inc. and Platinum Long Term Growth VII, LLP, incorporated by reference from Exhibit 10.1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1260" w:hanging="817"/>
        <w:spacing w:after="0" w:line="252" w:lineRule="auto"/>
        <w:tabs>
          <w:tab w:leader="none" w:pos="1240" w:val="left"/>
        </w:tabs>
        <w:rPr>
          <w:rFonts w:ascii="Arial" w:cs="Arial" w:eastAsia="Arial" w:hAnsi="Arial"/>
          <w:sz w:val="18"/>
          <w:szCs w:val="18"/>
          <w:color w:val="0000EE"/>
        </w:rPr>
      </w:pPr>
      <w:hyperlink r:id="rId74">
        <w:r>
          <w:rPr>
            <w:rFonts w:ascii="Arial" w:cs="Arial" w:eastAsia="Arial" w:hAnsi="Arial"/>
            <w:sz w:val="18"/>
            <w:szCs w:val="18"/>
            <w:u w:val="single" w:color="auto"/>
            <w:color w:val="0000EE"/>
          </w:rPr>
          <w:t>10.73</w:t>
        </w:r>
      </w:hyperlink>
      <w:r>
        <w:rPr>
          <w:rFonts w:ascii="Arial" w:cs="Arial" w:eastAsia="Arial" w:hAnsi="Arial"/>
          <w:sz w:val="18"/>
          <w:szCs w:val="18"/>
          <w:color w:val="0000EE"/>
        </w:rPr>
        <w:tab/>
        <w:t>Amendment to Note Exchange and Purchase Agreement as of November 14, 2012 between VistaGen Therapeutics Inc. and Platinum Long Term Growth VII, LLP, incorporated by reference from Exhibit 10.1 to the Company’s Current Report on Form 8-K filed on November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right="20" w:hanging="817"/>
        <w:spacing w:after="0" w:line="250" w:lineRule="auto"/>
        <w:tabs>
          <w:tab w:leader="none" w:pos="1240" w:val="left"/>
        </w:tabs>
        <w:rPr>
          <w:rFonts w:ascii="Arial" w:cs="Arial" w:eastAsia="Arial" w:hAnsi="Arial"/>
          <w:sz w:val="18"/>
          <w:szCs w:val="18"/>
          <w:color w:val="0000EE"/>
        </w:rPr>
      </w:pPr>
      <w:hyperlink r:id="rId76">
        <w:r>
          <w:rPr>
            <w:rFonts w:ascii="Arial" w:cs="Arial" w:eastAsia="Arial" w:hAnsi="Arial"/>
            <w:sz w:val="18"/>
            <w:szCs w:val="18"/>
            <w:u w:val="single" w:color="auto"/>
            <w:color w:val="0000EE"/>
          </w:rPr>
          <w:t>10.75</w:t>
        </w:r>
      </w:hyperlink>
      <w:r>
        <w:rPr>
          <w:rFonts w:ascii="Arial" w:cs="Arial" w:eastAsia="Arial" w:hAnsi="Arial"/>
          <w:sz w:val="18"/>
          <w:szCs w:val="18"/>
          <w:color w:val="0000EE"/>
        </w:rPr>
        <w:tab/>
        <w:t>Amendment No. 2 to Note Exchange and Purchase Agreement as of January 31, 2013 between VistaGen Therapeutics Inc. and Platinum Long Term Growth VII, LLP, incorporated by reference from Exhibit 10.1 to the Company’s Quarterly Report on Form 10-Q filed on February 14, 2013.</w:t>
      </w:r>
    </w:p>
    <w:p>
      <w:pPr>
        <w:spacing w:after="0" w:line="1" w:lineRule="exact"/>
        <w:rPr>
          <w:sz w:val="20"/>
          <w:szCs w:val="20"/>
          <w:color w:val="auto"/>
        </w:rPr>
      </w:pPr>
    </w:p>
    <w:p>
      <w:pPr>
        <w:jc w:val="both"/>
        <w:ind w:left="1260" w:hanging="817"/>
        <w:spacing w:after="0" w:line="250" w:lineRule="auto"/>
        <w:tabs>
          <w:tab w:leader="none" w:pos="1240" w:val="left"/>
        </w:tabs>
        <w:rPr>
          <w:rFonts w:ascii="Arial" w:cs="Arial" w:eastAsia="Arial" w:hAnsi="Arial"/>
          <w:sz w:val="18"/>
          <w:szCs w:val="18"/>
          <w:color w:val="0000EE"/>
        </w:rPr>
      </w:pPr>
      <w:hyperlink r:id="rId77">
        <w:r>
          <w:rPr>
            <w:rFonts w:ascii="Arial" w:cs="Arial" w:eastAsia="Arial" w:hAnsi="Arial"/>
            <w:sz w:val="18"/>
            <w:szCs w:val="18"/>
            <w:u w:val="single" w:color="auto"/>
            <w:color w:val="0000EE"/>
          </w:rPr>
          <w:t>10.76</w:t>
        </w:r>
      </w:hyperlink>
      <w:r>
        <w:rPr>
          <w:rFonts w:ascii="Arial" w:cs="Arial" w:eastAsia="Arial" w:hAnsi="Arial"/>
          <w:sz w:val="18"/>
          <w:szCs w:val="18"/>
          <w:color w:val="0000EE"/>
        </w:rPr>
        <w:tab/>
        <w:t>Amendment No. 3 to Note Exchange and Purchase Agreement as of February 22, 2013 between VistaGen Therapeutics Inc. and Platinum Long Term Growth VII, LLP, incorporated by reference from Exhibit 10.1 to the Company’s Current Report on Form 8-K filed on February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817"/>
        <w:spacing w:after="0" w:line="281" w:lineRule="auto"/>
        <w:tabs>
          <w:tab w:leader="none" w:pos="1240" w:val="left"/>
        </w:tabs>
        <w:rPr>
          <w:rFonts w:ascii="Arial" w:cs="Arial" w:eastAsia="Arial" w:hAnsi="Arial"/>
          <w:sz w:val="18"/>
          <w:szCs w:val="18"/>
          <w:color w:val="0000EE"/>
        </w:rPr>
      </w:pPr>
      <w:hyperlink r:id="rId79">
        <w:r>
          <w:rPr>
            <w:rFonts w:ascii="Arial" w:cs="Arial" w:eastAsia="Arial" w:hAnsi="Arial"/>
            <w:sz w:val="18"/>
            <w:szCs w:val="18"/>
            <w:u w:val="single" w:color="auto"/>
            <w:color w:val="0000EE"/>
          </w:rPr>
          <w:t>10.77</w:t>
        </w:r>
      </w:hyperlink>
      <w:r>
        <w:rPr>
          <w:rFonts w:ascii="Arial" w:cs="Arial" w:eastAsia="Arial" w:hAnsi="Arial"/>
          <w:sz w:val="18"/>
          <w:szCs w:val="18"/>
          <w:color w:val="0000EE"/>
        </w:rPr>
        <w:tab/>
      </w:r>
      <w:r>
        <w:rPr>
          <w:rFonts w:ascii="Arial" w:cs="Arial" w:eastAsia="Arial" w:hAnsi="Arial"/>
          <w:sz w:val="16"/>
          <w:szCs w:val="16"/>
          <w:color w:val="0000EE"/>
        </w:rPr>
        <w:t>Form of Warrant to Purchase Common Stock issued to independent members of the Company’s Board of Directors and its executive officers on March 3, 2013, incorporated by reference from Exhibit 10.1 to the Company’s Current Report on Form 8-K filed on March 6, 2013.</w:t>
      </w:r>
    </w:p>
    <w:p>
      <w:pPr>
        <w:spacing w:after="0" w:line="1" w:lineRule="exact"/>
        <w:rPr>
          <w:sz w:val="20"/>
          <w:szCs w:val="20"/>
          <w:color w:val="auto"/>
        </w:rPr>
      </w:pPr>
    </w:p>
    <w:p>
      <w:pPr>
        <w:jc w:val="both"/>
        <w:ind w:left="1260" w:right="20" w:hanging="817"/>
        <w:spacing w:after="0" w:line="250" w:lineRule="auto"/>
        <w:tabs>
          <w:tab w:leader="none" w:pos="1240" w:val="left"/>
        </w:tabs>
        <w:rPr>
          <w:rFonts w:ascii="Arial" w:cs="Arial" w:eastAsia="Arial" w:hAnsi="Arial"/>
          <w:sz w:val="18"/>
          <w:szCs w:val="18"/>
          <w:color w:val="0000EE"/>
        </w:rPr>
      </w:pPr>
      <w:hyperlink r:id="rId80">
        <w:r>
          <w:rPr>
            <w:rFonts w:ascii="Arial" w:cs="Arial" w:eastAsia="Arial" w:hAnsi="Arial"/>
            <w:sz w:val="18"/>
            <w:szCs w:val="18"/>
            <w:u w:val="single" w:color="auto"/>
            <w:color w:val="0000EE"/>
          </w:rPr>
          <w:t>10.83</w:t>
        </w:r>
      </w:hyperlink>
      <w:r>
        <w:rPr>
          <w:rFonts w:ascii="Arial" w:cs="Arial" w:eastAsia="Arial" w:hAnsi="Arial"/>
          <w:sz w:val="18"/>
          <w:szCs w:val="18"/>
          <w:color w:val="0000EE"/>
        </w:rPr>
        <w:tab/>
        <w:t>Lease between Bayside Area Development, LLC and VistaGen Therapeutics, Inc. (California) dated April 24, 2013, incorporated by reference from Exhibit 10.83 to the Company’s Annual Report on Form 10-K filed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hanging="817"/>
        <w:spacing w:after="0" w:line="250" w:lineRule="auto"/>
        <w:tabs>
          <w:tab w:leader="none" w:pos="1240" w:val="left"/>
        </w:tabs>
        <w:rPr>
          <w:rFonts w:ascii="Arial" w:cs="Arial" w:eastAsia="Arial" w:hAnsi="Arial"/>
          <w:sz w:val="18"/>
          <w:szCs w:val="18"/>
          <w:color w:val="0000EE"/>
        </w:rPr>
      </w:pPr>
      <w:hyperlink r:id="rId82">
        <w:r>
          <w:rPr>
            <w:rFonts w:ascii="Arial" w:cs="Arial" w:eastAsia="Arial" w:hAnsi="Arial"/>
            <w:sz w:val="18"/>
            <w:szCs w:val="18"/>
            <w:u w:val="single" w:color="auto"/>
            <w:color w:val="0000EE"/>
          </w:rPr>
          <w:t>10.84</w:t>
        </w:r>
      </w:hyperlink>
      <w:r>
        <w:rPr>
          <w:rFonts w:ascii="Arial" w:cs="Arial" w:eastAsia="Arial" w:hAnsi="Arial"/>
          <w:sz w:val="18"/>
          <w:szCs w:val="18"/>
          <w:color w:val="0000EE"/>
        </w:rPr>
        <w:tab/>
        <w:t>Indemnification Agreement effective May 20, 2013 between the Company and Jon S. Saxe, incorporated by reference from Exhibit 10.84 to the Company’s Annual Report on Form 10-K filed on July 18, 2013.</w:t>
      </w:r>
    </w:p>
    <w:p>
      <w:pPr>
        <w:spacing w:after="0" w:line="1" w:lineRule="exact"/>
        <w:rPr>
          <w:sz w:val="20"/>
          <w:szCs w:val="20"/>
          <w:color w:val="auto"/>
        </w:rPr>
      </w:pPr>
    </w:p>
    <w:p>
      <w:pPr>
        <w:jc w:val="both"/>
        <w:ind w:left="1260" w:hanging="817"/>
        <w:spacing w:after="0" w:line="250" w:lineRule="auto"/>
        <w:tabs>
          <w:tab w:leader="none" w:pos="1240" w:val="left"/>
        </w:tabs>
        <w:rPr>
          <w:rFonts w:ascii="Arial" w:cs="Arial" w:eastAsia="Arial" w:hAnsi="Arial"/>
          <w:sz w:val="18"/>
          <w:szCs w:val="18"/>
          <w:color w:val="0000EE"/>
        </w:rPr>
      </w:pPr>
      <w:hyperlink r:id="rId83">
        <w:r>
          <w:rPr>
            <w:rFonts w:ascii="Arial" w:cs="Arial" w:eastAsia="Arial" w:hAnsi="Arial"/>
            <w:sz w:val="18"/>
            <w:szCs w:val="18"/>
            <w:u w:val="single" w:color="auto"/>
            <w:color w:val="0000EE"/>
          </w:rPr>
          <w:t>10.85</w:t>
        </w:r>
      </w:hyperlink>
      <w:r>
        <w:rPr>
          <w:rFonts w:ascii="Arial" w:cs="Arial" w:eastAsia="Arial" w:hAnsi="Arial"/>
          <w:sz w:val="18"/>
          <w:szCs w:val="18"/>
          <w:color w:val="0000EE"/>
        </w:rPr>
        <w:tab/>
        <w:t>Indemnification Agreement effective May 20, 2013 between the Company and Shawn K. Singh, incorporated by reference from Exhibit 10.85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440"/>
        <w:spacing w:after="0"/>
        <w:tabs>
          <w:tab w:leader="none" w:pos="1240" w:val="left"/>
        </w:tabs>
        <w:rPr>
          <w:rFonts w:ascii="Arial" w:cs="Arial" w:eastAsia="Arial" w:hAnsi="Arial"/>
          <w:sz w:val="18"/>
          <w:szCs w:val="18"/>
          <w:color w:val="0000EE"/>
        </w:rPr>
      </w:pPr>
      <w:hyperlink r:id="rId85">
        <w:r>
          <w:rPr>
            <w:rFonts w:ascii="Arial" w:cs="Arial" w:eastAsia="Arial" w:hAnsi="Arial"/>
            <w:sz w:val="18"/>
            <w:szCs w:val="18"/>
            <w:u w:val="single" w:color="auto"/>
            <w:color w:val="0000EE"/>
          </w:rPr>
          <w:t>10.86</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H. Ralph Snodgrass,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10.86 to the Company’s Annual Report on Form 10-K filed on July 18, 2013.</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86">
        <w:r>
          <w:rPr>
            <w:rFonts w:ascii="Arial" w:cs="Arial" w:eastAsia="Arial" w:hAnsi="Arial"/>
            <w:sz w:val="18"/>
            <w:szCs w:val="18"/>
            <w:u w:val="single" w:color="auto"/>
            <w:color w:val="0000EE"/>
          </w:rPr>
          <w:t>10.87</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Brian J. Underdown,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10.87 to the Company’s Annual Report on Form 10-K filed on July 18, 2013.</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88">
        <w:r>
          <w:rPr>
            <w:rFonts w:ascii="Arial" w:cs="Arial" w:eastAsia="Arial" w:hAnsi="Arial"/>
            <w:sz w:val="18"/>
            <w:szCs w:val="18"/>
            <w:u w:val="single" w:color="auto"/>
            <w:color w:val="0000EE"/>
          </w:rPr>
          <w:t>10.88</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Jerrold D. Dotson,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10.88 to the Company’s Annual Report on Form 10-K filed on July 18, 2013.</w:t>
      </w:r>
    </w:p>
    <w:p>
      <w:pPr>
        <w:spacing w:after="0" w:line="9" w:lineRule="exact"/>
        <w:rPr>
          <w:sz w:val="20"/>
          <w:szCs w:val="20"/>
          <w:color w:val="auto"/>
        </w:rPr>
      </w:pPr>
    </w:p>
    <w:p>
      <w:pPr>
        <w:jc w:val="both"/>
        <w:ind w:left="1260" w:hanging="855"/>
        <w:spacing w:after="0" w:line="250" w:lineRule="auto"/>
        <w:tabs>
          <w:tab w:leader="none" w:pos="1240" w:val="left"/>
        </w:tabs>
        <w:rPr>
          <w:rFonts w:ascii="Arial" w:cs="Arial" w:eastAsia="Arial" w:hAnsi="Arial"/>
          <w:sz w:val="18"/>
          <w:szCs w:val="18"/>
          <w:color w:val="0000EE"/>
        </w:rPr>
      </w:pPr>
      <w:hyperlink r:id="rId89">
        <w:r>
          <w:rPr>
            <w:rFonts w:ascii="Arial" w:cs="Arial" w:eastAsia="Arial" w:hAnsi="Arial"/>
            <w:sz w:val="18"/>
            <w:szCs w:val="18"/>
            <w:u w:val="single" w:color="auto"/>
            <w:color w:val="0000EE"/>
          </w:rPr>
          <w:t>10.111</w:t>
        </w:r>
      </w:hyperlink>
      <w:r>
        <w:rPr>
          <w:rFonts w:ascii="Arial" w:cs="Arial" w:eastAsia="Arial" w:hAnsi="Arial"/>
          <w:sz w:val="18"/>
          <w:szCs w:val="18"/>
          <w:color w:val="0000EE"/>
        </w:rPr>
        <w:tab/>
        <w:t>Exchange Agreement, by and between VistaGen Therapeutics, Inc., and Platinum Long Term Growth VII, LLC and Montsant Partners, LLC, dated January 25, 2016, incorporated by reference from Exhibit 10.1 to the Company’s Current Report on Form 8-K filed on 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858"/>
        <w:spacing w:after="0" w:line="250" w:lineRule="auto"/>
        <w:tabs>
          <w:tab w:leader="none" w:pos="1240" w:val="left"/>
        </w:tabs>
        <w:rPr>
          <w:rFonts w:ascii="Arial" w:cs="Arial" w:eastAsia="Arial" w:hAnsi="Arial"/>
          <w:sz w:val="18"/>
          <w:szCs w:val="18"/>
          <w:color w:val="0000EE"/>
        </w:rPr>
      </w:pPr>
      <w:hyperlink r:id="rId91">
        <w:r>
          <w:rPr>
            <w:rFonts w:ascii="Arial" w:cs="Arial" w:eastAsia="Arial" w:hAnsi="Arial"/>
            <w:sz w:val="18"/>
            <w:szCs w:val="18"/>
            <w:u w:val="single" w:color="auto"/>
            <w:color w:val="0000EE"/>
          </w:rPr>
          <w:t>10.112</w:t>
        </w:r>
      </w:hyperlink>
      <w:r>
        <w:rPr>
          <w:rFonts w:ascii="Arial" w:cs="Arial" w:eastAsia="Arial" w:hAnsi="Arial"/>
          <w:sz w:val="18"/>
          <w:szCs w:val="18"/>
          <w:color w:val="0000EE"/>
        </w:rPr>
        <w:tab/>
        <w:t>Indemnification Agreement effective April 8, 2016 between the Company and Jerry B. Gin, incorporated by reference from Exhibit 10.112 to the Company’s Annual Report on Form 10-K filed on June 24, 2016.</w:t>
      </w:r>
    </w:p>
    <w:p>
      <w:pPr>
        <w:spacing w:after="0" w:line="1" w:lineRule="exact"/>
        <w:rPr>
          <w:sz w:val="20"/>
          <w:szCs w:val="20"/>
          <w:color w:val="auto"/>
        </w:rPr>
      </w:pPr>
    </w:p>
    <w:p>
      <w:pPr>
        <w:jc w:val="both"/>
        <w:ind w:left="1260" w:hanging="858"/>
        <w:spacing w:after="0" w:line="250" w:lineRule="auto"/>
        <w:tabs>
          <w:tab w:leader="none" w:pos="1240" w:val="left"/>
        </w:tabs>
        <w:rPr>
          <w:rFonts w:ascii="Arial" w:cs="Arial" w:eastAsia="Arial" w:hAnsi="Arial"/>
          <w:sz w:val="18"/>
          <w:szCs w:val="18"/>
          <w:color w:val="0000EE"/>
        </w:rPr>
      </w:pPr>
      <w:hyperlink r:id="rId92">
        <w:r>
          <w:rPr>
            <w:rFonts w:ascii="Arial" w:cs="Arial" w:eastAsia="Arial" w:hAnsi="Arial"/>
            <w:sz w:val="18"/>
            <w:szCs w:val="18"/>
            <w:u w:val="single" w:color="auto"/>
            <w:color w:val="0000EE"/>
          </w:rPr>
          <w:t>10.113</w:t>
        </w:r>
      </w:hyperlink>
      <w:r>
        <w:rPr>
          <w:rFonts w:ascii="Arial" w:cs="Arial" w:eastAsia="Arial" w:hAnsi="Arial"/>
          <w:sz w:val="18"/>
          <w:szCs w:val="18"/>
          <w:color w:val="0000EE"/>
        </w:rPr>
        <w:tab/>
        <w:t>Underwriting Agreement, by and between Chardan Capital Markets, LLC and WallachBeth Capital, LLC, as representatives of the several underwriters, and VistaGen Therapeutics, Inc., dated May 10, 2016, incorporated by reference from Exhibit 1.1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858"/>
        <w:spacing w:after="0" w:line="250" w:lineRule="auto"/>
        <w:tabs>
          <w:tab w:leader="none" w:pos="1240" w:val="left"/>
        </w:tabs>
        <w:rPr>
          <w:rFonts w:ascii="Arial" w:cs="Arial" w:eastAsia="Arial" w:hAnsi="Arial"/>
          <w:sz w:val="18"/>
          <w:szCs w:val="18"/>
          <w:color w:val="0000EE"/>
        </w:rPr>
      </w:pPr>
      <w:hyperlink r:id="rId94">
        <w:r>
          <w:rPr>
            <w:rFonts w:ascii="Arial" w:cs="Arial" w:eastAsia="Arial" w:hAnsi="Arial"/>
            <w:sz w:val="18"/>
            <w:szCs w:val="18"/>
            <w:u w:val="single" w:color="auto"/>
            <w:color w:val="0000EE"/>
          </w:rPr>
          <w:t>10.114</w:t>
        </w:r>
      </w:hyperlink>
      <w:r>
        <w:rPr>
          <w:rFonts w:ascii="Arial" w:cs="Arial" w:eastAsia="Arial" w:hAnsi="Arial"/>
          <w:sz w:val="18"/>
          <w:szCs w:val="18"/>
          <w:color w:val="0000EE"/>
        </w:rPr>
        <w:tab/>
        <w:t>Warrant Agency Agreement, by and between Computershare, Inc. and VistaGen Therapeutics, Inc., dated May 16, 2016, incorporated by reference from Exhibit 4.1 to the Company’s Current Report on Form 8-K filed on May 16, 2016.</w:t>
      </w:r>
    </w:p>
    <w:p>
      <w:pPr>
        <w:spacing w:after="0" w:line="1" w:lineRule="exact"/>
        <w:rPr>
          <w:sz w:val="20"/>
          <w:szCs w:val="20"/>
          <w:color w:val="auto"/>
        </w:rPr>
      </w:pPr>
    </w:p>
    <w:p>
      <w:pPr>
        <w:ind w:left="400"/>
        <w:spacing w:after="0"/>
        <w:tabs>
          <w:tab w:leader="none" w:pos="1240" w:val="left"/>
        </w:tabs>
        <w:rPr>
          <w:rFonts w:ascii="Arial" w:cs="Arial" w:eastAsia="Arial" w:hAnsi="Arial"/>
          <w:sz w:val="18"/>
          <w:szCs w:val="18"/>
          <w:color w:val="0000EE"/>
        </w:rPr>
      </w:pPr>
      <w:hyperlink r:id="rId95">
        <w:r>
          <w:rPr>
            <w:rFonts w:ascii="Arial" w:cs="Arial" w:eastAsia="Arial" w:hAnsi="Arial"/>
            <w:sz w:val="18"/>
            <w:szCs w:val="18"/>
            <w:u w:val="single" w:color="auto"/>
            <w:color w:val="0000EE"/>
          </w:rPr>
          <w:t>10.115</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4.2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1260" w:hanging="858"/>
        <w:spacing w:after="0" w:line="281" w:lineRule="auto"/>
        <w:tabs>
          <w:tab w:leader="none" w:pos="1240" w:val="left"/>
        </w:tabs>
        <w:rPr>
          <w:rFonts w:ascii="Arial" w:cs="Arial" w:eastAsia="Arial" w:hAnsi="Arial"/>
          <w:sz w:val="18"/>
          <w:szCs w:val="18"/>
          <w:color w:val="0000EE"/>
        </w:rPr>
      </w:pPr>
      <w:hyperlink r:id="rId97">
        <w:r>
          <w:rPr>
            <w:rFonts w:ascii="Arial" w:cs="Arial" w:eastAsia="Arial" w:hAnsi="Arial"/>
            <w:sz w:val="18"/>
            <w:szCs w:val="18"/>
            <w:u w:val="single" w:color="auto"/>
            <w:color w:val="0000EE"/>
          </w:rPr>
          <w:t>10.116</w:t>
        </w:r>
      </w:hyperlink>
      <w:r>
        <w:rPr>
          <w:rFonts w:ascii="Arial" w:cs="Arial" w:eastAsia="Arial" w:hAnsi="Arial"/>
          <w:sz w:val="18"/>
          <w:szCs w:val="18"/>
          <w:color w:val="0000EE"/>
        </w:rPr>
        <w:tab/>
      </w:r>
      <w:r>
        <w:rPr>
          <w:rFonts w:ascii="Arial" w:cs="Arial" w:eastAsia="Arial" w:hAnsi="Arial"/>
          <w:sz w:val="16"/>
          <w:szCs w:val="16"/>
          <w:color w:val="0000EE"/>
        </w:rPr>
        <w:t>Second Amendment to Employment Agreement by and between VistaGen Therapeutics, Inc. and Shawn K. Singh, dated June 22, 2016, incorporated by reference from Exhibit 10.116 to the Company’s Annual Report on Form 10-K filed on June 24, 2016.</w:t>
      </w:r>
    </w:p>
    <w:p>
      <w:pPr>
        <w:spacing w:after="0" w:line="1" w:lineRule="exact"/>
        <w:rPr>
          <w:sz w:val="20"/>
          <w:szCs w:val="20"/>
          <w:color w:val="auto"/>
        </w:rPr>
      </w:pPr>
    </w:p>
    <w:p>
      <w:pPr>
        <w:ind w:left="400"/>
        <w:spacing w:after="0"/>
        <w:tabs>
          <w:tab w:leader="none" w:pos="1240" w:val="left"/>
        </w:tabs>
        <w:rPr>
          <w:rFonts w:ascii="Arial" w:cs="Arial" w:eastAsia="Arial" w:hAnsi="Arial"/>
          <w:sz w:val="18"/>
          <w:szCs w:val="18"/>
          <w:color w:val="0000EE"/>
        </w:rPr>
      </w:pPr>
      <w:hyperlink r:id="rId98">
        <w:r>
          <w:rPr>
            <w:rFonts w:ascii="Arial" w:cs="Arial" w:eastAsia="Arial" w:hAnsi="Arial"/>
            <w:sz w:val="18"/>
            <w:szCs w:val="18"/>
            <w:u w:val="single" w:color="auto"/>
            <w:color w:val="0000EE"/>
          </w:rPr>
          <w:t>10.117</w:t>
        </w:r>
      </w:hyperlink>
      <w:r>
        <w:rPr>
          <w:rFonts w:ascii="Arial" w:cs="Arial" w:eastAsia="Arial" w:hAnsi="Arial"/>
          <w:sz w:val="18"/>
          <w:szCs w:val="18"/>
          <w:color w:val="0000EE"/>
        </w:rPr>
        <w:tab/>
      </w:r>
      <w:r>
        <w:rPr>
          <w:rFonts w:ascii="Arial" w:cs="Arial" w:eastAsia="Arial" w:hAnsi="Arial"/>
          <w:sz w:val="15"/>
          <w:szCs w:val="15"/>
          <w:color w:val="0000EE"/>
        </w:rPr>
        <w:t>Second Amendment to Employment Agreement by and between VistaGen Therapeutics, Inc. and H. Ralph Snodgrass, Ph.D., dated June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p>
      <w:pPr>
        <w:spacing w:after="0" w:line="9" w:lineRule="exact"/>
        <w:rPr>
          <w:sz w:val="20"/>
          <w:szCs w:val="20"/>
          <w:color w:val="auto"/>
        </w:rPr>
      </w:pPr>
    </w:p>
    <w:p>
      <w:pPr>
        <w:jc w:val="both"/>
        <w:ind w:left="1260" w:hanging="858"/>
        <w:spacing w:after="0" w:line="250" w:lineRule="auto"/>
        <w:tabs>
          <w:tab w:leader="none" w:pos="1240" w:val="left"/>
        </w:tabs>
        <w:rPr>
          <w:rFonts w:ascii="Arial" w:cs="Arial" w:eastAsia="Arial" w:hAnsi="Arial"/>
          <w:sz w:val="18"/>
          <w:szCs w:val="18"/>
          <w:color w:val="0000EE"/>
        </w:rPr>
      </w:pPr>
      <w:hyperlink r:id="rId100">
        <w:r>
          <w:rPr>
            <w:rFonts w:ascii="Arial" w:cs="Arial" w:eastAsia="Arial" w:hAnsi="Arial"/>
            <w:sz w:val="18"/>
            <w:szCs w:val="18"/>
            <w:u w:val="single" w:color="auto"/>
            <w:color w:val="0000EE"/>
          </w:rPr>
          <w:t>10.118</w:t>
        </w:r>
      </w:hyperlink>
      <w:r>
        <w:rPr>
          <w:rFonts w:ascii="Arial" w:cs="Arial" w:eastAsia="Arial" w:hAnsi="Arial"/>
          <w:sz w:val="18"/>
          <w:szCs w:val="18"/>
          <w:color w:val="0000EE"/>
        </w:rPr>
        <w:tab/>
        <w:t>Second Amendment to Lease between Bayside Area Development and the Company, effective November 10, 2016, incorporated by reference from Exhibit 10.1 to the Company’s Quarterly report on Form 10-Q filed on November 15, 2016.</w:t>
      </w:r>
    </w:p>
    <w:p>
      <w:pPr>
        <w:spacing w:after="0" w:line="1" w:lineRule="exact"/>
        <w:rPr>
          <w:sz w:val="20"/>
          <w:szCs w:val="20"/>
          <w:color w:val="auto"/>
        </w:rPr>
      </w:pPr>
    </w:p>
    <w:p>
      <w:pPr>
        <w:ind w:left="400"/>
        <w:spacing w:after="0"/>
        <w:tabs>
          <w:tab w:leader="none" w:pos="1240" w:val="left"/>
        </w:tabs>
        <w:rPr>
          <w:rFonts w:ascii="Arial" w:cs="Arial" w:eastAsia="Arial" w:hAnsi="Arial"/>
          <w:sz w:val="18"/>
          <w:szCs w:val="18"/>
          <w:color w:val="0000EE"/>
        </w:rPr>
      </w:pPr>
      <w:hyperlink r:id="rId101">
        <w:r>
          <w:rPr>
            <w:rFonts w:ascii="Arial" w:cs="Arial" w:eastAsia="Arial" w:hAnsi="Arial"/>
            <w:sz w:val="18"/>
            <w:szCs w:val="18"/>
            <w:u w:val="single" w:color="auto"/>
            <w:color w:val="0000EE"/>
          </w:rPr>
          <w:t>10.119</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November 10, 2016 between the Company and Mark A. Smith,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10.2 to the Company’s Quarterly report on Form 10-Q filed on November 15, 2016.</w:t>
      </w:r>
    </w:p>
    <w:p>
      <w:pPr>
        <w:spacing w:after="0" w:line="9" w:lineRule="exact"/>
        <w:rPr>
          <w:sz w:val="20"/>
          <w:szCs w:val="20"/>
          <w:color w:val="auto"/>
        </w:rPr>
      </w:pPr>
    </w:p>
    <w:p>
      <w:pPr>
        <w:ind w:left="340"/>
        <w:spacing w:after="0"/>
        <w:tabs>
          <w:tab w:leader="none" w:pos="1240" w:val="left"/>
        </w:tabs>
        <w:rPr>
          <w:rFonts w:ascii="Arial" w:cs="Arial" w:eastAsia="Arial" w:hAnsi="Arial"/>
          <w:sz w:val="18"/>
          <w:szCs w:val="18"/>
          <w:color w:val="0000EE"/>
        </w:rPr>
      </w:pPr>
      <w:hyperlink r:id="rId103">
        <w:r>
          <w:rPr>
            <w:rFonts w:ascii="Arial" w:cs="Arial" w:eastAsia="Arial" w:hAnsi="Arial"/>
            <w:sz w:val="18"/>
            <w:szCs w:val="18"/>
            <w:u w:val="single" w:color="auto"/>
            <w:color w:val="0000EE"/>
          </w:rPr>
          <w:t>10.120+</w:t>
        </w:r>
      </w:hyperlink>
      <w:r>
        <w:rPr>
          <w:rFonts w:ascii="Arial" w:cs="Arial" w:eastAsia="Arial" w:hAnsi="Arial"/>
          <w:sz w:val="18"/>
          <w:szCs w:val="18"/>
          <w:color w:val="0000EE"/>
        </w:rPr>
        <w:tab/>
      </w:r>
      <w:r>
        <w:rPr>
          <w:rFonts w:ascii="Arial" w:cs="Arial" w:eastAsia="Arial" w:hAnsi="Arial"/>
          <w:sz w:val="16"/>
          <w:szCs w:val="16"/>
          <w:color w:val="0000EE"/>
        </w:rPr>
        <w:t>Exclusive License and Sublicense Agreement by and between VistaGen Therapeutics, Inc. and Apollo Biologics LP, effective December 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2016, incorporated by reference from Exhibit 10.1 to the Company’s Quarterly Report on Form 10-Q filed on May 11, 2017.</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260" w:hanging="911"/>
        <w:spacing w:after="0" w:line="285" w:lineRule="auto"/>
        <w:tabs>
          <w:tab w:leader="none" w:pos="1240" w:val="left"/>
        </w:tabs>
        <w:rPr>
          <w:rFonts w:ascii="Arial" w:cs="Arial" w:eastAsia="Arial" w:hAnsi="Arial"/>
          <w:sz w:val="18"/>
          <w:szCs w:val="18"/>
          <w:color w:val="0000EE"/>
        </w:rPr>
      </w:pPr>
      <w:hyperlink r:id="rId105">
        <w:r>
          <w:rPr>
            <w:rFonts w:ascii="Arial" w:cs="Arial" w:eastAsia="Arial" w:hAnsi="Arial"/>
            <w:sz w:val="18"/>
            <w:szCs w:val="18"/>
            <w:u w:val="single" w:color="auto"/>
            <w:color w:val="0000EE"/>
          </w:rPr>
          <w:t>10.121+</w:t>
        </w:r>
      </w:hyperlink>
      <w:r>
        <w:rPr>
          <w:rFonts w:ascii="Arial" w:cs="Arial" w:eastAsia="Arial" w:hAnsi="Arial"/>
          <w:sz w:val="18"/>
          <w:szCs w:val="18"/>
          <w:color w:val="0000EE"/>
        </w:rPr>
        <w:tab/>
      </w:r>
      <w:r>
        <w:rPr>
          <w:rFonts w:ascii="Arial" w:cs="Arial" w:eastAsia="Arial" w:hAnsi="Arial"/>
          <w:sz w:val="16"/>
          <w:szCs w:val="16"/>
          <w:color w:val="0000EE"/>
        </w:rPr>
        <w:t>Patent License Amendment Agreement between VistaGen Therapeutics Inc. and University Health Network effective December 9, 2016, incorporated by reference from Exhibit 10.2 to the Company’s Quarterly Report on Form 10-Q/A filed on May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07">
        <w:r>
          <w:rPr>
            <w:rFonts w:ascii="Arial" w:cs="Arial" w:eastAsia="Arial" w:hAnsi="Arial"/>
            <w:sz w:val="18"/>
            <w:szCs w:val="18"/>
            <w:u w:val="single" w:color="auto"/>
            <w:color w:val="0000EE"/>
          </w:rPr>
          <w:t>10.122</w:t>
        </w:r>
      </w:hyperlink>
      <w:r>
        <w:rPr>
          <w:rFonts w:ascii="Arial" w:cs="Arial" w:eastAsia="Arial" w:hAnsi="Arial"/>
          <w:sz w:val="18"/>
          <w:szCs w:val="18"/>
          <w:color w:val="0000EE"/>
        </w:rPr>
        <w:tab/>
        <w:t>Amended and Restated 2016 Stock Incentive Plan (formerly the VistaGen Therapeutics, Inc. 2008 Stock Incentive Plan), incorporated by reference from Exhibit 10.122 to the Company’s Annual Report on Form 10-K filed on June 29, 2017.</w:t>
      </w:r>
    </w:p>
    <w:p>
      <w:pPr>
        <w:spacing w:after="0" w:line="1" w:lineRule="exact"/>
        <w:rPr>
          <w:sz w:val="20"/>
          <w:szCs w:val="20"/>
          <w:color w:val="auto"/>
        </w:rPr>
      </w:pPr>
    </w:p>
    <w:p>
      <w:pPr>
        <w:ind w:left="1260" w:right="20" w:hanging="861"/>
        <w:spacing w:after="0" w:line="250" w:lineRule="auto"/>
        <w:tabs>
          <w:tab w:leader="none" w:pos="1240" w:val="left"/>
        </w:tabs>
        <w:rPr>
          <w:rFonts w:ascii="Arial" w:cs="Arial" w:eastAsia="Arial" w:hAnsi="Arial"/>
          <w:sz w:val="18"/>
          <w:szCs w:val="18"/>
          <w:color w:val="0000EE"/>
        </w:rPr>
      </w:pPr>
      <w:hyperlink r:id="rId108">
        <w:r>
          <w:rPr>
            <w:rFonts w:ascii="Arial" w:cs="Arial" w:eastAsia="Arial" w:hAnsi="Arial"/>
            <w:sz w:val="18"/>
            <w:szCs w:val="18"/>
            <w:u w:val="single" w:color="auto"/>
            <w:color w:val="0000EE"/>
          </w:rPr>
          <w:t>10.123</w:t>
        </w:r>
      </w:hyperlink>
      <w:r>
        <w:rPr>
          <w:rFonts w:ascii="Arial" w:cs="Arial" w:eastAsia="Arial" w:hAnsi="Arial"/>
          <w:sz w:val="18"/>
          <w:szCs w:val="18"/>
          <w:color w:val="0000EE"/>
        </w:rPr>
        <w:tab/>
        <w:t>Underwriting Agreement, dated as of August 31, 2017, by and between VistaGen Therapeutics, Inc. and Oppenheimer &amp; Co. Inc., incorporated by reference from Exhibit 1.1 to the Company’s Current Report on Form 8-K filed on August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110">
        <w:r>
          <w:rPr>
            <w:rFonts w:ascii="Arial" w:cs="Arial" w:eastAsia="Arial" w:hAnsi="Arial"/>
            <w:sz w:val="18"/>
            <w:szCs w:val="18"/>
            <w:u w:val="single" w:color="auto"/>
            <w:color w:val="0000EE"/>
          </w:rPr>
          <w:t>10.124</w:t>
        </w:r>
      </w:hyperlink>
      <w:r>
        <w:rPr>
          <w:rFonts w:ascii="Arial" w:cs="Arial" w:eastAsia="Arial" w:hAnsi="Arial"/>
          <w:sz w:val="18"/>
          <w:szCs w:val="18"/>
          <w:color w:val="0000EE"/>
        </w:rPr>
        <w:tab/>
      </w:r>
      <w:r>
        <w:rPr>
          <w:rFonts w:ascii="Arial" w:cs="Arial" w:eastAsia="Arial" w:hAnsi="Arial"/>
          <w:sz w:val="16"/>
          <w:szCs w:val="16"/>
          <w:color w:val="0000EE"/>
        </w:rPr>
        <w:t>Form of Series A1 Warrant, incorporated by reference from Exhibit 4.1 to the Company’s Current Report on Form 8-K filed on August 31,</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111">
        <w:r>
          <w:rPr>
            <w:rFonts w:ascii="Arial" w:cs="Arial" w:eastAsia="Arial" w:hAnsi="Arial"/>
            <w:sz w:val="18"/>
            <w:szCs w:val="18"/>
            <w:u w:val="single" w:color="auto"/>
            <w:color w:val="0000EE"/>
          </w:rPr>
          <w:t>10.125</w:t>
        </w:r>
      </w:hyperlink>
      <w:r>
        <w:rPr>
          <w:rFonts w:ascii="Arial" w:cs="Arial" w:eastAsia="Arial" w:hAnsi="Arial"/>
          <w:sz w:val="18"/>
          <w:szCs w:val="18"/>
          <w:color w:val="0000EE"/>
        </w:rPr>
        <w:tab/>
      </w:r>
      <w:r>
        <w:rPr>
          <w:rFonts w:ascii="Arial" w:cs="Arial" w:eastAsia="Arial" w:hAnsi="Arial"/>
          <w:sz w:val="16"/>
          <w:szCs w:val="16"/>
          <w:color w:val="0000EE"/>
        </w:rPr>
        <w:t>Form of Series A2 Warrant, incorporated by reference from Exhibit 4.2 to the Company’s Current Report on Form 8-K filed on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1260" w:hanging="861"/>
        <w:spacing w:after="0" w:line="281" w:lineRule="auto"/>
        <w:tabs>
          <w:tab w:leader="none" w:pos="1240" w:val="left"/>
        </w:tabs>
        <w:rPr>
          <w:rFonts w:ascii="Arial" w:cs="Arial" w:eastAsia="Arial" w:hAnsi="Arial"/>
          <w:sz w:val="18"/>
          <w:szCs w:val="18"/>
          <w:color w:val="0000EE"/>
        </w:rPr>
      </w:pPr>
      <w:hyperlink r:id="rId113">
        <w:r>
          <w:rPr>
            <w:rFonts w:ascii="Arial" w:cs="Arial" w:eastAsia="Arial" w:hAnsi="Arial"/>
            <w:sz w:val="18"/>
            <w:szCs w:val="18"/>
            <w:u w:val="single" w:color="auto"/>
            <w:color w:val="0000EE"/>
          </w:rPr>
          <w:t>10.126</w:t>
        </w:r>
      </w:hyperlink>
      <w:r>
        <w:rPr>
          <w:rFonts w:ascii="Arial" w:cs="Arial" w:eastAsia="Arial" w:hAnsi="Arial"/>
          <w:sz w:val="18"/>
          <w:szCs w:val="18"/>
          <w:color w:val="0000EE"/>
        </w:rPr>
        <w:tab/>
      </w:r>
      <w:r>
        <w:rPr>
          <w:rFonts w:ascii="Arial" w:cs="Arial" w:eastAsia="Arial" w:hAnsi="Arial"/>
          <w:sz w:val="16"/>
          <w:szCs w:val="16"/>
          <w:color w:val="0000EE"/>
        </w:rPr>
        <w:t>Underwriting Agreement, dated as of December 11, 2017, by and between VistaGen Therapeutics, Inc. and Oppenheimer &amp; Co. Inc., incorporated by reference from Exhibit 1.1 to the Company’s Current Report on Form 8-K filed on December 13, 2017.</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113">
        <w:r>
          <w:rPr>
            <w:rFonts w:ascii="Arial" w:cs="Arial" w:eastAsia="Arial" w:hAnsi="Arial"/>
            <w:sz w:val="18"/>
            <w:szCs w:val="18"/>
            <w:u w:val="single" w:color="auto"/>
            <w:color w:val="0000EE"/>
          </w:rPr>
          <w:t>10.127</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4.1 to the Company’s Current Report on Form 8-K filed on 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15">
        <w:r>
          <w:rPr>
            <w:rFonts w:ascii="Arial" w:cs="Arial" w:eastAsia="Arial" w:hAnsi="Arial"/>
            <w:sz w:val="18"/>
            <w:szCs w:val="18"/>
            <w:u w:val="single" w:color="auto"/>
            <w:color w:val="0000EE"/>
          </w:rPr>
          <w:t>10.128</w:t>
        </w:r>
      </w:hyperlink>
      <w:r>
        <w:rPr>
          <w:rFonts w:ascii="Arial" w:cs="Arial" w:eastAsia="Arial" w:hAnsi="Arial"/>
          <w:sz w:val="18"/>
          <w:szCs w:val="18"/>
          <w:color w:val="0000EE"/>
        </w:rPr>
        <w:tab/>
        <w:t>Form of Summer 2018 Private Placement Subscription Agreement, incorporated by reference from the Company’s Current Report on Form 8-K filed on August 9, 2018.</w:t>
      </w:r>
    </w:p>
    <w:p>
      <w:pPr>
        <w:spacing w:after="0" w:line="1" w:lineRule="exact"/>
        <w:rPr>
          <w:sz w:val="20"/>
          <w:szCs w:val="20"/>
          <w:color w:val="auto"/>
        </w:rPr>
      </w:pPr>
    </w:p>
    <w:p>
      <w:pPr>
        <w:ind w:left="1260" w:hanging="861"/>
        <w:spacing w:after="0" w:line="250" w:lineRule="auto"/>
        <w:tabs>
          <w:tab w:leader="none" w:pos="1240" w:val="left"/>
        </w:tabs>
        <w:rPr>
          <w:rFonts w:ascii="Arial" w:cs="Arial" w:eastAsia="Arial" w:hAnsi="Arial"/>
          <w:sz w:val="18"/>
          <w:szCs w:val="18"/>
          <w:color w:val="0000EE"/>
        </w:rPr>
      </w:pPr>
      <w:hyperlink r:id="rId116">
        <w:r>
          <w:rPr>
            <w:rFonts w:ascii="Arial" w:cs="Arial" w:eastAsia="Arial" w:hAnsi="Arial"/>
            <w:sz w:val="18"/>
            <w:szCs w:val="18"/>
            <w:u w:val="single" w:color="auto"/>
            <w:color w:val="0000EE"/>
          </w:rPr>
          <w:t>10.129</w:t>
        </w:r>
      </w:hyperlink>
      <w:r>
        <w:rPr>
          <w:rFonts w:ascii="Arial" w:cs="Arial" w:eastAsia="Arial" w:hAnsi="Arial"/>
          <w:sz w:val="18"/>
          <w:szCs w:val="18"/>
          <w:color w:val="0000EE"/>
        </w:rPr>
        <w:tab/>
        <w:t>Form of Summer 2018 Private Placement Warrant, incorporated by reference from the Company’s Current Report on Form 8-K filed on 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911"/>
        <w:spacing w:after="0" w:line="281" w:lineRule="auto"/>
        <w:tabs>
          <w:tab w:leader="none" w:pos="1240" w:val="left"/>
        </w:tabs>
        <w:rPr>
          <w:rFonts w:ascii="Arial" w:cs="Arial" w:eastAsia="Arial" w:hAnsi="Arial"/>
          <w:sz w:val="18"/>
          <w:szCs w:val="18"/>
          <w:color w:val="0000EE"/>
        </w:rPr>
      </w:pPr>
      <w:hyperlink r:id="rId118">
        <w:r>
          <w:rPr>
            <w:rFonts w:ascii="Arial" w:cs="Arial" w:eastAsia="Arial" w:hAnsi="Arial"/>
            <w:sz w:val="18"/>
            <w:szCs w:val="18"/>
            <w:u w:val="single" w:color="auto"/>
            <w:color w:val="0000EE"/>
          </w:rPr>
          <w:t>10.130+</w:t>
        </w:r>
      </w:hyperlink>
      <w:r>
        <w:rPr>
          <w:rFonts w:ascii="Arial" w:cs="Arial" w:eastAsia="Arial" w:hAnsi="Arial"/>
          <w:sz w:val="18"/>
          <w:szCs w:val="18"/>
          <w:color w:val="0000EE"/>
        </w:rPr>
        <w:tab/>
      </w:r>
      <w:r>
        <w:rPr>
          <w:rFonts w:ascii="Arial" w:cs="Arial" w:eastAsia="Arial" w:hAnsi="Arial"/>
          <w:sz w:val="16"/>
          <w:szCs w:val="16"/>
          <w:color w:val="0000EE"/>
        </w:rPr>
        <w:t>License Agreement (PH94B), by and between VistaGen Therapeutics, Inc. and Pherin Pharmaceuticals, Inc., dated September 11, 2018, incorporated by reference from Exhibit 10.1 to the Company’s Current Report on Form 8-K filed on September 13, 2018</w:t>
      </w:r>
    </w:p>
    <w:p>
      <w:pPr>
        <w:spacing w:after="0" w:line="1" w:lineRule="exact"/>
        <w:rPr>
          <w:sz w:val="20"/>
          <w:szCs w:val="20"/>
          <w:color w:val="auto"/>
        </w:rPr>
      </w:pPr>
    </w:p>
    <w:p>
      <w:pPr>
        <w:ind w:left="1260" w:hanging="911"/>
        <w:spacing w:after="0" w:line="281" w:lineRule="auto"/>
        <w:tabs>
          <w:tab w:leader="none" w:pos="1240" w:val="left"/>
        </w:tabs>
        <w:rPr>
          <w:rFonts w:ascii="Arial" w:cs="Arial" w:eastAsia="Arial" w:hAnsi="Arial"/>
          <w:sz w:val="18"/>
          <w:szCs w:val="18"/>
          <w:color w:val="0000EE"/>
        </w:rPr>
      </w:pPr>
      <w:hyperlink r:id="rId119">
        <w:r>
          <w:rPr>
            <w:rFonts w:ascii="Arial" w:cs="Arial" w:eastAsia="Arial" w:hAnsi="Arial"/>
            <w:sz w:val="18"/>
            <w:szCs w:val="18"/>
            <w:u w:val="single" w:color="auto"/>
            <w:color w:val="0000EE"/>
          </w:rPr>
          <w:t>10.131+</w:t>
        </w:r>
      </w:hyperlink>
      <w:r>
        <w:rPr>
          <w:rFonts w:ascii="Arial" w:cs="Arial" w:eastAsia="Arial" w:hAnsi="Arial"/>
          <w:sz w:val="18"/>
          <w:szCs w:val="18"/>
          <w:color w:val="0000EE"/>
        </w:rPr>
        <w:tab/>
      </w:r>
      <w:r>
        <w:rPr>
          <w:rFonts w:ascii="Arial" w:cs="Arial" w:eastAsia="Arial" w:hAnsi="Arial"/>
          <w:sz w:val="16"/>
          <w:szCs w:val="16"/>
          <w:color w:val="0000EE"/>
        </w:rPr>
        <w:t>Option Agreement, by and between VistaGen Therapeutics, Inc. and Pherin Pharmaceuticals, Inc., dated September 11, 2018, incorporated by reference from Exhibit 10.2 to the Company’s Current Report on Form 8-K filed on September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911"/>
        <w:spacing w:after="0" w:line="281" w:lineRule="auto"/>
        <w:tabs>
          <w:tab w:leader="none" w:pos="1240" w:val="left"/>
        </w:tabs>
        <w:rPr>
          <w:rFonts w:ascii="Arial" w:cs="Arial" w:eastAsia="Arial" w:hAnsi="Arial"/>
          <w:sz w:val="18"/>
          <w:szCs w:val="18"/>
          <w:color w:val="0000EE"/>
        </w:rPr>
      </w:pPr>
      <w:hyperlink r:id="rId121">
        <w:r>
          <w:rPr>
            <w:rFonts w:ascii="Arial" w:cs="Arial" w:eastAsia="Arial" w:hAnsi="Arial"/>
            <w:sz w:val="18"/>
            <w:szCs w:val="18"/>
            <w:u w:val="single" w:color="auto"/>
            <w:color w:val="0000EE"/>
          </w:rPr>
          <w:t>10.132+</w:t>
        </w:r>
      </w:hyperlink>
      <w:r>
        <w:rPr>
          <w:rFonts w:ascii="Arial" w:cs="Arial" w:eastAsia="Arial" w:hAnsi="Arial"/>
          <w:sz w:val="18"/>
          <w:szCs w:val="18"/>
          <w:color w:val="0000EE"/>
        </w:rPr>
        <w:tab/>
      </w:r>
      <w:r>
        <w:rPr>
          <w:rFonts w:ascii="Arial" w:cs="Arial" w:eastAsia="Arial" w:hAnsi="Arial"/>
          <w:sz w:val="16"/>
          <w:szCs w:val="16"/>
          <w:color w:val="0000EE"/>
        </w:rPr>
        <w:t>License Agreement (PH10), by and between VistaGen Therapeutics, Inc. and Pherin Pharmaceuticals, Inc., dated October 24, 2018, incorporated by reference from Exhibit 10.3 to the Company’s Quarterly Report on Form 10-Q/A filed on October 30, 2018.</w:t>
      </w:r>
    </w:p>
    <w:p>
      <w:pPr>
        <w:spacing w:after="0" w:line="1" w:lineRule="exact"/>
        <w:rPr>
          <w:sz w:val="20"/>
          <w:szCs w:val="20"/>
          <w:color w:val="auto"/>
        </w:rPr>
      </w:pPr>
    </w:p>
    <w:p>
      <w:pPr>
        <w:ind w:left="1260" w:hanging="861"/>
        <w:spacing w:after="0" w:line="250" w:lineRule="auto"/>
        <w:tabs>
          <w:tab w:leader="none" w:pos="1240" w:val="left"/>
        </w:tabs>
        <w:rPr>
          <w:rFonts w:ascii="Arial" w:cs="Arial" w:eastAsia="Arial" w:hAnsi="Arial"/>
          <w:sz w:val="18"/>
          <w:szCs w:val="18"/>
          <w:color w:val="0000EE"/>
        </w:rPr>
      </w:pPr>
      <w:hyperlink r:id="rId122">
        <w:r>
          <w:rPr>
            <w:rFonts w:ascii="Arial" w:cs="Arial" w:eastAsia="Arial" w:hAnsi="Arial"/>
            <w:sz w:val="18"/>
            <w:szCs w:val="18"/>
            <w:u w:val="single" w:color="auto"/>
            <w:color w:val="0000EE"/>
          </w:rPr>
          <w:t>10.133</w:t>
        </w:r>
      </w:hyperlink>
      <w:r>
        <w:rPr>
          <w:rFonts w:ascii="Arial" w:cs="Arial" w:eastAsia="Arial" w:hAnsi="Arial"/>
          <w:sz w:val="18"/>
          <w:szCs w:val="18"/>
          <w:color w:val="0000EE"/>
        </w:rPr>
        <w:tab/>
        <w:t>Form of Fall 2018 Private Placement Subscription Agreement, incorporated by reference from Exhibit 10.4 to the Company’s Quarterly Report on Form 10-Q filed on 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24">
        <w:r>
          <w:rPr>
            <w:rFonts w:ascii="Arial" w:cs="Arial" w:eastAsia="Arial" w:hAnsi="Arial"/>
            <w:sz w:val="18"/>
            <w:szCs w:val="18"/>
            <w:u w:val="single" w:color="auto"/>
            <w:color w:val="0000EE"/>
          </w:rPr>
          <w:t>10.134</w:t>
        </w:r>
      </w:hyperlink>
      <w:r>
        <w:rPr>
          <w:rFonts w:ascii="Arial" w:cs="Arial" w:eastAsia="Arial" w:hAnsi="Arial"/>
          <w:sz w:val="18"/>
          <w:szCs w:val="18"/>
          <w:color w:val="0000EE"/>
        </w:rPr>
        <w:tab/>
        <w:t>Form of Fall 2018 Private Placement Warrant, incorporated by reference from Exhibit 10.5 to the Company’s Quarterly Report on Form 10-Q filed on October 29, 2018.</w:t>
      </w:r>
    </w:p>
    <w:p>
      <w:pPr>
        <w:spacing w:after="0" w:line="1" w:lineRule="exact"/>
        <w:rPr>
          <w:sz w:val="20"/>
          <w:szCs w:val="20"/>
          <w:color w:val="auto"/>
        </w:rPr>
      </w:pPr>
    </w:p>
    <w:p>
      <w:pPr>
        <w:ind w:left="1260" w:right="20" w:hanging="861"/>
        <w:spacing w:after="0" w:line="250" w:lineRule="auto"/>
        <w:tabs>
          <w:tab w:leader="none" w:pos="1240" w:val="left"/>
        </w:tabs>
        <w:rPr>
          <w:rFonts w:ascii="Arial" w:cs="Arial" w:eastAsia="Arial" w:hAnsi="Arial"/>
          <w:sz w:val="18"/>
          <w:szCs w:val="18"/>
          <w:color w:val="0000EE"/>
        </w:rPr>
      </w:pPr>
      <w:hyperlink r:id="rId125">
        <w:r>
          <w:rPr>
            <w:rFonts w:ascii="Arial" w:cs="Arial" w:eastAsia="Arial" w:hAnsi="Arial"/>
            <w:sz w:val="18"/>
            <w:szCs w:val="18"/>
            <w:u w:val="single" w:color="auto"/>
            <w:color w:val="0000EE"/>
          </w:rPr>
          <w:t>10.135</w:t>
        </w:r>
      </w:hyperlink>
      <w:r>
        <w:rPr>
          <w:rFonts w:ascii="Arial" w:cs="Arial" w:eastAsia="Arial" w:hAnsi="Arial"/>
          <w:sz w:val="18"/>
          <w:szCs w:val="18"/>
          <w:color w:val="0000EE"/>
        </w:rPr>
        <w:tab/>
        <w:t>Indemnification Agreement, dated January 10, 2019, by and between VistaGen Therapeutics, Inc. and Ann Cunningham, incorporated by reference from Exhibit 10.1 to the Company’s Current Report on Form 8-K filed on January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81" w:lineRule="auto"/>
        <w:tabs>
          <w:tab w:leader="none" w:pos="1240" w:val="left"/>
        </w:tabs>
        <w:rPr>
          <w:rFonts w:ascii="Arial" w:cs="Arial" w:eastAsia="Arial" w:hAnsi="Arial"/>
          <w:sz w:val="18"/>
          <w:szCs w:val="18"/>
          <w:color w:val="0000EE"/>
        </w:rPr>
      </w:pPr>
      <w:hyperlink r:id="rId127">
        <w:r>
          <w:rPr>
            <w:rFonts w:ascii="Arial" w:cs="Arial" w:eastAsia="Arial" w:hAnsi="Arial"/>
            <w:sz w:val="18"/>
            <w:szCs w:val="18"/>
            <w:u w:val="single" w:color="auto"/>
            <w:color w:val="0000EE"/>
          </w:rPr>
          <w:t>10.136</w:t>
        </w:r>
      </w:hyperlink>
      <w:r>
        <w:rPr>
          <w:rFonts w:ascii="Arial" w:cs="Arial" w:eastAsia="Arial" w:hAnsi="Arial"/>
          <w:sz w:val="18"/>
          <w:szCs w:val="18"/>
          <w:color w:val="0000EE"/>
        </w:rPr>
        <w:tab/>
      </w:r>
      <w:r>
        <w:rPr>
          <w:rFonts w:ascii="Arial" w:cs="Arial" w:eastAsia="Arial" w:hAnsi="Arial"/>
          <w:sz w:val="16"/>
          <w:szCs w:val="16"/>
          <w:color w:val="0000EE"/>
        </w:rPr>
        <w:t>Indemnification Agreement, dated November 10, 2016, by and between VistaGen Therapeutics, Inc. and Mark A. McPartland, incorporated by reference from Exhibit 10.136 to the Company’s Annual Report on Form 10-K filed on June 25, 2019.</w:t>
      </w:r>
    </w:p>
    <w:p>
      <w:pPr>
        <w:spacing w:after="0" w:line="1" w:lineRule="exact"/>
        <w:rPr>
          <w:sz w:val="20"/>
          <w:szCs w:val="20"/>
          <w:color w:val="auto"/>
        </w:rPr>
      </w:pPr>
    </w:p>
    <w:p>
      <w:pPr>
        <w:ind w:left="1260" w:hanging="861"/>
        <w:spacing w:after="0" w:line="281" w:lineRule="auto"/>
        <w:tabs>
          <w:tab w:leader="none" w:pos="1240" w:val="left"/>
        </w:tabs>
        <w:rPr>
          <w:rFonts w:ascii="Arial" w:cs="Arial" w:eastAsia="Arial" w:hAnsi="Arial"/>
          <w:sz w:val="18"/>
          <w:szCs w:val="18"/>
          <w:color w:val="0000EE"/>
        </w:rPr>
      </w:pPr>
      <w:hyperlink r:id="rId128">
        <w:r>
          <w:rPr>
            <w:rFonts w:ascii="Arial" w:cs="Arial" w:eastAsia="Arial" w:hAnsi="Arial"/>
            <w:sz w:val="18"/>
            <w:szCs w:val="18"/>
            <w:u w:val="single" w:color="auto"/>
            <w:color w:val="0000EE"/>
          </w:rPr>
          <w:t>10.137</w:t>
        </w:r>
      </w:hyperlink>
      <w:r>
        <w:rPr>
          <w:rFonts w:ascii="Arial" w:cs="Arial" w:eastAsia="Arial" w:hAnsi="Arial"/>
          <w:sz w:val="18"/>
          <w:szCs w:val="18"/>
          <w:color w:val="0000EE"/>
        </w:rPr>
        <w:tab/>
      </w:r>
      <w:r>
        <w:rPr>
          <w:rFonts w:ascii="Arial" w:cs="Arial" w:eastAsia="Arial" w:hAnsi="Arial"/>
          <w:sz w:val="16"/>
          <w:szCs w:val="16"/>
          <w:color w:val="0000EE"/>
        </w:rPr>
        <w:t>Underwriting Agreement, dated as of February 26, 2019, by and between VistaGen Therapeutics, Inc. and William Blair &amp; Company, LLC, incorporated by reference from Exhibit 1.1 to the Company’s Current Report on Form 8-K filed on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30">
        <w:r>
          <w:rPr>
            <w:rFonts w:ascii="Arial" w:cs="Arial" w:eastAsia="Arial" w:hAnsi="Arial"/>
            <w:sz w:val="18"/>
            <w:szCs w:val="18"/>
            <w:u w:val="single" w:color="auto"/>
            <w:color w:val="0000EE"/>
          </w:rPr>
          <w:t>10.138</w:t>
        </w:r>
      </w:hyperlink>
      <w:r>
        <w:rPr>
          <w:rFonts w:ascii="Arial" w:cs="Arial" w:eastAsia="Arial" w:hAnsi="Arial"/>
          <w:sz w:val="18"/>
          <w:szCs w:val="18"/>
          <w:color w:val="0000EE"/>
        </w:rPr>
        <w:tab/>
        <w:t>Master Services Agreement, dated July 11, 2017, by and between VistaGen Therapeutics, Inc. and Cato Research Ltd., incorporated by reference from Exhibit 10.136 to the Company’s Annual Report on Form 10-K filed on June 25, 2019 .</w:t>
      </w:r>
    </w:p>
    <w:p>
      <w:pPr>
        <w:spacing w:after="0" w:line="1" w:lineRule="exact"/>
        <w:rPr>
          <w:sz w:val="20"/>
          <w:szCs w:val="20"/>
          <w:color w:val="auto"/>
        </w:rPr>
      </w:pPr>
    </w:p>
    <w:p>
      <w:pPr>
        <w:ind w:left="480"/>
        <w:spacing w:after="0"/>
        <w:tabs>
          <w:tab w:leader="none" w:pos="1240" w:val="left"/>
        </w:tabs>
        <w:rPr>
          <w:rFonts w:ascii="Arial" w:cs="Arial" w:eastAsia="Arial" w:hAnsi="Arial"/>
          <w:sz w:val="18"/>
          <w:szCs w:val="18"/>
          <w:color w:val="0000EE"/>
        </w:rPr>
      </w:pPr>
      <w:hyperlink w:anchor="page35">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Disclosure Law Group, a Professional Corporation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80"/>
        <w:spacing w:after="0"/>
        <w:tabs>
          <w:tab w:leader="none" w:pos="1240" w:val="left"/>
        </w:tabs>
        <w:rPr>
          <w:rFonts w:ascii="Arial" w:cs="Arial" w:eastAsia="Arial" w:hAnsi="Arial"/>
          <w:sz w:val="18"/>
          <w:szCs w:val="18"/>
          <w:color w:val="0000EE"/>
        </w:rPr>
      </w:pPr>
      <w:hyperlink w:anchor="page36">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Independent Registered Public Accounting Firm – OUM &amp; Co., LLP, filed herewith.</w:t>
      </w:r>
    </w:p>
    <w:p>
      <w:pPr>
        <w:spacing w:after="0" w:line="9" w:lineRule="exact"/>
        <w:rPr>
          <w:sz w:val="20"/>
          <w:szCs w:val="20"/>
          <w:color w:val="auto"/>
        </w:rPr>
      </w:pPr>
    </w:p>
    <w:p>
      <w:pPr>
        <w:ind w:left="1260" w:hanging="719"/>
        <w:spacing w:after="0"/>
        <w:tabs>
          <w:tab w:leader="none" w:pos="1260" w:val="left"/>
        </w:tabs>
        <w:numPr>
          <w:ilvl w:val="1"/>
          <w:numId w:val="14"/>
        </w:numPr>
        <w:rPr>
          <w:rFonts w:ascii="Arial" w:cs="Arial" w:eastAsia="Arial" w:hAnsi="Arial"/>
          <w:sz w:val="18"/>
          <w:szCs w:val="18"/>
          <w:u w:val="single" w:color="auto"/>
          <w:color w:val="0000EE"/>
        </w:rPr>
      </w:pPr>
      <w:r>
        <w:rPr>
          <w:rFonts w:ascii="Arial" w:cs="Arial" w:eastAsia="Arial" w:hAnsi="Arial"/>
          <w:sz w:val="18"/>
          <w:szCs w:val="18"/>
          <w:color w:val="auto"/>
        </w:rPr>
        <w:t>Power of Attorney (located on signature page).</w:t>
      </w:r>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8"/>
          <w:szCs w:val="18"/>
          <w:color w:val="auto"/>
        </w:rPr>
        <w:t>_______________</w:t>
      </w:r>
    </w:p>
    <w:p>
      <w:pPr>
        <w:spacing w:after="0" w:line="218" w:lineRule="exact"/>
        <w:rPr>
          <w:rFonts w:ascii="Arial" w:cs="Arial" w:eastAsia="Arial" w:hAnsi="Arial"/>
          <w:sz w:val="18"/>
          <w:szCs w:val="18"/>
          <w:u w:val="single" w:color="auto"/>
          <w:color w:val="0000EE"/>
        </w:rPr>
      </w:pPr>
    </w:p>
    <w:p>
      <w:pPr>
        <w:ind w:right="2660"/>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Incorporated by reference from the like-numbered exhibit filed with our Current Report on Form 8-K on May 16, 2011. + Confidential treatment has been granted for certain confidential portions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1460" w:hanging="480"/>
        <w:spacing w:after="0" w:line="290" w:lineRule="auto"/>
        <w:tabs>
          <w:tab w:leader="none" w:pos="146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1" w:lineRule="exact"/>
        <w:rPr>
          <w:rFonts w:ascii="Arial" w:cs="Arial" w:eastAsia="Arial" w:hAnsi="Arial"/>
          <w:sz w:val="16"/>
          <w:szCs w:val="16"/>
          <w:color w:val="auto"/>
        </w:rPr>
      </w:pPr>
    </w:p>
    <w:p>
      <w:pPr>
        <w:ind w:left="1460" w:right="20" w:hanging="480"/>
        <w:spacing w:after="0" w:line="268" w:lineRule="auto"/>
        <w:tabs>
          <w:tab w:leader="none" w:pos="14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color w:val="auto"/>
        </w:rPr>
        <w:t>Provided, however, that Paragraphs (a)(1)(i), (a)(1)(ii) and (a)(1)(iii) of this section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jc w:val="both"/>
        <w:ind w:firstLine="656"/>
        <w:spacing w:after="0" w:line="259" w:lineRule="auto"/>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20" w:lineRule="exact"/>
        <w:rPr>
          <w:rFonts w:ascii="Arial" w:cs="Arial" w:eastAsia="Arial" w:hAnsi="Arial"/>
          <w:sz w:val="18"/>
          <w:szCs w:val="18"/>
          <w:color w:val="auto"/>
        </w:rPr>
      </w:pPr>
    </w:p>
    <w:p>
      <w:pPr>
        <w:ind w:firstLine="656"/>
        <w:spacing w:after="0" w:line="268" w:lineRule="auto"/>
        <w:tabs>
          <w:tab w:leader="none" w:pos="11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00" w:hanging="244"/>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jc w:val="both"/>
        <w:ind w:left="1460" w:hanging="480"/>
        <w:spacing w:after="0" w:line="290" w:lineRule="auto"/>
        <w:tabs>
          <w:tab w:leader="none" w:pos="1460" w:val="left"/>
        </w:tabs>
        <w:numPr>
          <w:ilvl w:val="2"/>
          <w:numId w:val="17"/>
        </w:numPr>
        <w:rPr>
          <w:rFonts w:ascii="Arial" w:cs="Arial" w:eastAsia="Arial" w:hAnsi="Arial"/>
          <w:sz w:val="16"/>
          <w:szCs w:val="16"/>
          <w:color w:val="auto"/>
        </w:rPr>
      </w:pPr>
      <w:r>
        <w:rPr>
          <w:rFonts w:ascii="Arial" w:cs="Arial" w:eastAsia="Arial" w:hAnsi="Arial"/>
          <w:sz w:val="16"/>
          <w:szCs w:val="16"/>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1" w:lineRule="exact"/>
        <w:rPr>
          <w:rFonts w:ascii="Arial" w:cs="Arial" w:eastAsia="Arial" w:hAnsi="Arial"/>
          <w:sz w:val="16"/>
          <w:szCs w:val="16"/>
          <w:color w:val="auto"/>
        </w:rPr>
      </w:pPr>
    </w:p>
    <w:p>
      <w:pPr>
        <w:jc w:val="both"/>
        <w:ind w:firstLine="8"/>
        <w:spacing w:after="0" w:line="254" w:lineRule="auto"/>
        <w:tabs>
          <w:tab w:leader="none" w:pos="2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rFonts w:ascii="Arial" w:cs="Arial" w:eastAsia="Arial" w:hAnsi="Arial"/>
          <w:sz w:val="18"/>
          <w:szCs w:val="18"/>
          <w:color w:val="auto"/>
        </w:rPr>
      </w:pPr>
    </w:p>
    <w:p>
      <w:pPr>
        <w:jc w:val="both"/>
        <w:ind w:firstLine="8"/>
        <w:spacing w:after="0" w:line="288"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the City of South San Francisco, State of California, on the 31st day of March,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4100" w:type="dxa"/>
            <w:vAlign w:val="bottom"/>
            <w:gridSpan w:val="3"/>
          </w:tcPr>
          <w:p>
            <w:pPr>
              <w:ind w:left="2000"/>
              <w:spacing w:after="0"/>
              <w:rPr>
                <w:sz w:val="20"/>
                <w:szCs w:val="20"/>
                <w:color w:val="auto"/>
              </w:rPr>
            </w:pPr>
            <w:r>
              <w:rPr>
                <w:rFonts w:ascii="Arial" w:cs="Arial" w:eastAsia="Arial" w:hAnsi="Arial"/>
                <w:sz w:val="18"/>
                <w:szCs w:val="18"/>
                <w:b w:val="1"/>
                <w:bCs w:val="1"/>
                <w:color w:val="auto"/>
                <w:w w:val="88"/>
              </w:rPr>
              <w:t>VistaGen Therapeutics, Inc.</w:t>
            </w:r>
          </w:p>
        </w:tc>
      </w:tr>
      <w:tr>
        <w:trPr>
          <w:trHeight w:val="394"/>
        </w:trPr>
        <w:tc>
          <w:tcPr>
            <w:tcW w:w="3560" w:type="dxa"/>
            <w:vAlign w:val="bottom"/>
          </w:tcPr>
          <w:p>
            <w:pPr>
              <w:spacing w:after="0"/>
              <w:rPr>
                <w:sz w:val="20"/>
                <w:szCs w:val="20"/>
                <w:color w:val="auto"/>
              </w:rPr>
            </w:pPr>
            <w:r>
              <w:rPr>
                <w:rFonts w:ascii="Arial" w:cs="Arial" w:eastAsia="Arial" w:hAnsi="Arial"/>
                <w:sz w:val="18"/>
                <w:szCs w:val="18"/>
                <w:color w:val="auto"/>
              </w:rPr>
              <w:t>Date: March 31, 2020</w:t>
            </w:r>
          </w:p>
        </w:tc>
        <w:tc>
          <w:tcPr>
            <w:tcW w:w="4100" w:type="dxa"/>
            <w:vAlign w:val="bottom"/>
            <w:gridSpan w:val="3"/>
          </w:tcPr>
          <w:p>
            <w:pPr>
              <w:ind w:left="2000"/>
              <w:spacing w:after="0"/>
              <w:rPr>
                <w:sz w:val="20"/>
                <w:szCs w:val="20"/>
                <w:color w:val="auto"/>
              </w:rPr>
            </w:pPr>
            <w:r>
              <w:rPr>
                <w:rFonts w:ascii="Arial" w:cs="Arial" w:eastAsia="Arial" w:hAnsi="Arial"/>
                <w:sz w:val="18"/>
                <w:szCs w:val="18"/>
                <w:color w:val="auto"/>
              </w:rPr>
              <w:t>By: /s/ Shawn K. Singh</w:t>
            </w:r>
          </w:p>
        </w:tc>
      </w:tr>
      <w:tr>
        <w:trPr>
          <w:trHeight w:val="20"/>
        </w:trPr>
        <w:tc>
          <w:tcPr>
            <w:tcW w:w="3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8"/>
        </w:trPr>
        <w:tc>
          <w:tcPr>
            <w:tcW w:w="35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22"/>
        </w:trPr>
        <w:tc>
          <w:tcPr>
            <w:tcW w:w="35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5"/>
              </w:rPr>
              <w:t>Chief Executive Officer</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KNOWN ALL MEN BY THESE PRESENTS, that each person whose signature below constitutes and appoints Shawn K. Singh as attorney-in-fact, with power of substitution, for him in any and all capacities, to sign any amendments to this Registration Statement on Form S-1, and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5260" w:type="dxa"/>
            <w:vAlign w:val="bottom"/>
            <w:gridSpan w:val="3"/>
          </w:tcPr>
          <w:p>
            <w:pPr>
              <w:ind w:left="306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17"/>
                <w:szCs w:val="17"/>
                <w:color w:val="auto"/>
              </w:rPr>
            </w:pPr>
          </w:p>
        </w:tc>
        <w:tc>
          <w:tcPr>
            <w:tcW w:w="1280" w:type="dxa"/>
            <w:vAlign w:val="bottom"/>
            <w:gridSpan w:val="2"/>
          </w:tcPr>
          <w:p>
            <w:pPr>
              <w:jc w:val="center"/>
              <w:ind w:right="960"/>
              <w:spacing w:after="0"/>
              <w:rPr>
                <w:sz w:val="20"/>
                <w:szCs w:val="20"/>
                <w:color w:val="auto"/>
              </w:rPr>
            </w:pPr>
            <w:r>
              <w:rPr>
                <w:rFonts w:ascii="Arial" w:cs="Arial" w:eastAsia="Arial" w:hAnsi="Arial"/>
                <w:sz w:val="18"/>
                <w:szCs w:val="18"/>
                <w:color w:val="auto"/>
                <w:w w:val="84"/>
              </w:rPr>
              <w:t>Date</w:t>
            </w: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720" w:type="dxa"/>
            <w:vAlign w:val="bottom"/>
            <w:gridSpan w:val="7"/>
          </w:tcPr>
          <w:p>
            <w:pPr>
              <w:spacing w:after="0"/>
              <w:rPr>
                <w:sz w:val="20"/>
                <w:szCs w:val="20"/>
                <w:color w:val="auto"/>
              </w:rPr>
            </w:pPr>
            <w:r>
              <w:rPr>
                <w:rFonts w:ascii="Arial" w:cs="Arial" w:eastAsia="Arial" w:hAnsi="Arial"/>
                <w:sz w:val="18"/>
                <w:szCs w:val="18"/>
                <w:color w:val="auto"/>
              </w:rPr>
              <w:t>/s/ Shawn K. Singh</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60" w:type="dxa"/>
            <w:vAlign w:val="bottom"/>
            <w:gridSpan w:val="3"/>
          </w:tcPr>
          <w:p>
            <w:pPr>
              <w:ind w:left="960"/>
              <w:spacing w:after="0"/>
              <w:rPr>
                <w:sz w:val="20"/>
                <w:szCs w:val="20"/>
                <w:color w:val="auto"/>
              </w:rPr>
            </w:pPr>
            <w:r>
              <w:rPr>
                <w:rFonts w:ascii="Arial" w:cs="Arial" w:eastAsia="Arial" w:hAnsi="Arial"/>
                <w:sz w:val="18"/>
                <w:szCs w:val="18"/>
                <w:color w:val="auto"/>
              </w:rPr>
              <w:t>Chief Executive Officer and Director</w:t>
            </w:r>
          </w:p>
        </w:tc>
        <w:tc>
          <w:tcPr>
            <w:tcW w:w="266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31, 2020</w:t>
            </w:r>
          </w:p>
        </w:tc>
      </w:tr>
      <w:tr>
        <w:trPr>
          <w:trHeight w:val="20"/>
        </w:trPr>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5"/>
        </w:trPr>
        <w:tc>
          <w:tcPr>
            <w:tcW w:w="3320" w:type="dxa"/>
            <w:vAlign w:val="bottom"/>
            <w:gridSpan w:val="9"/>
          </w:tcPr>
          <w:p>
            <w:pPr>
              <w:spacing w:after="0"/>
              <w:rPr>
                <w:sz w:val="20"/>
                <w:szCs w:val="20"/>
                <w:color w:val="auto"/>
              </w:rPr>
            </w:pPr>
            <w:r>
              <w:rPr>
                <w:rFonts w:ascii="Arial" w:cs="Arial" w:eastAsia="Arial" w:hAnsi="Arial"/>
                <w:sz w:val="18"/>
                <w:szCs w:val="18"/>
                <w:color w:val="auto"/>
              </w:rPr>
              <w:t>Shawn K. Singh, JD</w:t>
            </w:r>
          </w:p>
        </w:tc>
        <w:tc>
          <w:tcPr>
            <w:tcW w:w="5260" w:type="dxa"/>
            <w:vAlign w:val="bottom"/>
            <w:gridSpan w:val="3"/>
          </w:tcPr>
          <w:p>
            <w:pPr>
              <w:ind w:left="960"/>
              <w:spacing w:after="0"/>
              <w:rPr>
                <w:sz w:val="20"/>
                <w:szCs w:val="20"/>
                <w:color w:val="auto"/>
              </w:rPr>
            </w:pPr>
            <w:r>
              <w:rPr>
                <w:rFonts w:ascii="Arial" w:cs="Arial" w:eastAsia="Arial" w:hAnsi="Arial"/>
                <w:sz w:val="18"/>
                <w:szCs w:val="18"/>
                <w:i w:val="1"/>
                <w:iCs w:val="1"/>
                <w:color w:val="auto"/>
              </w:rPr>
              <w:t>(Principal Executive Officer)</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 Jerrold D. Dotson</w:t>
            </w:r>
          </w:p>
        </w:tc>
        <w:tc>
          <w:tcPr>
            <w:tcW w:w="1840" w:type="dxa"/>
            <w:vAlign w:val="bottom"/>
            <w:gridSpan w:val="5"/>
          </w:tcPr>
          <w:p>
            <w:pPr>
              <w:spacing w:after="0"/>
              <w:rPr>
                <w:sz w:val="24"/>
                <w:szCs w:val="24"/>
                <w:color w:val="auto"/>
              </w:rPr>
            </w:pPr>
          </w:p>
        </w:tc>
        <w:tc>
          <w:tcPr>
            <w:tcW w:w="5260" w:type="dxa"/>
            <w:vAlign w:val="bottom"/>
            <w:gridSpan w:val="3"/>
          </w:tcPr>
          <w:p>
            <w:pPr>
              <w:ind w:left="960"/>
              <w:spacing w:after="0"/>
              <w:rPr>
                <w:sz w:val="20"/>
                <w:szCs w:val="20"/>
                <w:color w:val="auto"/>
              </w:rPr>
            </w:pPr>
            <w:r>
              <w:rPr>
                <w:rFonts w:ascii="Arial" w:cs="Arial" w:eastAsia="Arial" w:hAnsi="Arial"/>
                <w:sz w:val="18"/>
                <w:szCs w:val="18"/>
                <w:color w:val="auto"/>
              </w:rPr>
              <w:t>Vice President and Chief Financial Officer</w:t>
            </w:r>
          </w:p>
        </w:tc>
        <w:tc>
          <w:tcPr>
            <w:tcW w:w="266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31, 2020</w:t>
            </w:r>
          </w:p>
        </w:tc>
      </w:tr>
      <w:tr>
        <w:trPr>
          <w:trHeight w:val="235"/>
        </w:trPr>
        <w:tc>
          <w:tcPr>
            <w:tcW w:w="3320" w:type="dxa"/>
            <w:vAlign w:val="bottom"/>
            <w:gridSpan w:val="9"/>
          </w:tcPr>
          <w:p>
            <w:pPr>
              <w:spacing w:after="0"/>
              <w:rPr>
                <w:sz w:val="20"/>
                <w:szCs w:val="20"/>
                <w:color w:val="auto"/>
              </w:rPr>
            </w:pPr>
            <w:r>
              <w:rPr>
                <w:rFonts w:ascii="Arial" w:cs="Arial" w:eastAsia="Arial" w:hAnsi="Arial"/>
                <w:sz w:val="18"/>
                <w:szCs w:val="18"/>
                <w:color w:val="auto"/>
              </w:rPr>
              <w:t>Jerrold D. Dotson</w:t>
            </w:r>
          </w:p>
        </w:tc>
        <w:tc>
          <w:tcPr>
            <w:tcW w:w="5260" w:type="dxa"/>
            <w:vAlign w:val="bottom"/>
            <w:gridSpan w:val="3"/>
          </w:tcPr>
          <w:p>
            <w:pPr>
              <w:ind w:left="960"/>
              <w:spacing w:after="0"/>
              <w:rPr>
                <w:sz w:val="20"/>
                <w:szCs w:val="20"/>
                <w:color w:val="auto"/>
              </w:rPr>
            </w:pPr>
            <w:r>
              <w:rPr>
                <w:rFonts w:ascii="Arial" w:cs="Arial" w:eastAsia="Arial" w:hAnsi="Arial"/>
                <w:sz w:val="18"/>
                <w:szCs w:val="18"/>
                <w:i w:val="1"/>
                <w:iCs w:val="1"/>
                <w:color w:val="auto"/>
              </w:rPr>
              <w:t>(Principal Financial and Accounting Officer)</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/s/ H. Ralph Snodgrass</w:t>
            </w:r>
          </w:p>
        </w:tc>
        <w:tc>
          <w:tcPr>
            <w:tcW w:w="1700" w:type="dxa"/>
            <w:vAlign w:val="bottom"/>
            <w:gridSpan w:val="4"/>
          </w:tcPr>
          <w:p>
            <w:pPr>
              <w:spacing w:after="0"/>
              <w:rPr>
                <w:sz w:val="24"/>
                <w:szCs w:val="24"/>
                <w:color w:val="auto"/>
              </w:rPr>
            </w:pPr>
          </w:p>
        </w:tc>
        <w:tc>
          <w:tcPr>
            <w:tcW w:w="5260" w:type="dxa"/>
            <w:vAlign w:val="bottom"/>
            <w:gridSpan w:val="3"/>
          </w:tcPr>
          <w:p>
            <w:pPr>
              <w:ind w:left="960"/>
              <w:spacing w:after="0"/>
              <w:rPr>
                <w:sz w:val="20"/>
                <w:szCs w:val="20"/>
                <w:color w:val="auto"/>
              </w:rPr>
            </w:pPr>
            <w:r>
              <w:rPr>
                <w:rFonts w:ascii="Arial" w:cs="Arial" w:eastAsia="Arial" w:hAnsi="Arial"/>
                <w:sz w:val="18"/>
                <w:szCs w:val="18"/>
                <w:color w:val="auto"/>
              </w:rPr>
              <w:t>President, Chief Scientific Officer and Director</w:t>
            </w:r>
          </w:p>
        </w:tc>
        <w:tc>
          <w:tcPr>
            <w:tcW w:w="266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31, 2020</w:t>
            </w:r>
          </w:p>
        </w:tc>
      </w:tr>
      <w:tr>
        <w:trPr>
          <w:trHeight w:val="235"/>
        </w:trPr>
        <w:tc>
          <w:tcPr>
            <w:tcW w:w="3320" w:type="dxa"/>
            <w:vAlign w:val="bottom"/>
            <w:gridSpan w:val="9"/>
          </w:tcPr>
          <w:p>
            <w:pPr>
              <w:spacing w:after="0"/>
              <w:rPr>
                <w:sz w:val="20"/>
                <w:szCs w:val="20"/>
                <w:color w:val="auto"/>
              </w:rPr>
            </w:pPr>
            <w:r>
              <w:rPr>
                <w:rFonts w:ascii="Arial" w:cs="Arial" w:eastAsia="Arial" w:hAnsi="Arial"/>
                <w:sz w:val="18"/>
                <w:szCs w:val="18"/>
                <w:color w:val="auto"/>
              </w:rPr>
              <w:t>H. Ralph Snodgrass, Ph. D</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/s/ Jon S. Saxe</w:t>
            </w:r>
          </w:p>
        </w:tc>
        <w:tc>
          <w:tcPr>
            <w:tcW w:w="2280" w:type="dxa"/>
            <w:vAlign w:val="bottom"/>
            <w:gridSpan w:val="8"/>
          </w:tcPr>
          <w:p>
            <w:pPr>
              <w:spacing w:after="0"/>
              <w:rPr>
                <w:sz w:val="24"/>
                <w:szCs w:val="24"/>
                <w:color w:val="auto"/>
              </w:rPr>
            </w:pPr>
          </w:p>
        </w:tc>
        <w:tc>
          <w:tcPr>
            <w:tcW w:w="5260" w:type="dxa"/>
            <w:vAlign w:val="bottom"/>
            <w:gridSpan w:val="3"/>
          </w:tcPr>
          <w:p>
            <w:pPr>
              <w:ind w:left="960"/>
              <w:spacing w:after="0"/>
              <w:rPr>
                <w:sz w:val="20"/>
                <w:szCs w:val="20"/>
                <w:color w:val="auto"/>
              </w:rPr>
            </w:pPr>
            <w:r>
              <w:rPr>
                <w:rFonts w:ascii="Arial" w:cs="Arial" w:eastAsia="Arial" w:hAnsi="Arial"/>
                <w:sz w:val="18"/>
                <w:szCs w:val="18"/>
                <w:color w:val="auto"/>
              </w:rPr>
              <w:t>Chairman of the Board of Directors</w:t>
            </w:r>
          </w:p>
        </w:tc>
        <w:tc>
          <w:tcPr>
            <w:tcW w:w="266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31, 2020</w:t>
            </w:r>
          </w:p>
        </w:tc>
      </w:tr>
      <w:tr>
        <w:trPr>
          <w:trHeight w:val="234"/>
        </w:trPr>
        <w:tc>
          <w:tcPr>
            <w:tcW w:w="3320" w:type="dxa"/>
            <w:vAlign w:val="bottom"/>
            <w:gridSpan w:val="9"/>
          </w:tcPr>
          <w:p>
            <w:pPr>
              <w:spacing w:after="0"/>
              <w:rPr>
                <w:sz w:val="20"/>
                <w:szCs w:val="20"/>
                <w:color w:val="auto"/>
              </w:rPr>
            </w:pPr>
            <w:r>
              <w:rPr>
                <w:rFonts w:ascii="Arial" w:cs="Arial" w:eastAsia="Arial" w:hAnsi="Arial"/>
                <w:sz w:val="18"/>
                <w:szCs w:val="18"/>
                <w:color w:val="auto"/>
              </w:rPr>
              <w:t>Jon S. Saxe</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4"/>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/s/ Brian J. Underdown</w:t>
            </w:r>
          </w:p>
        </w:tc>
        <w:tc>
          <w:tcPr>
            <w:tcW w:w="1680" w:type="dxa"/>
            <w:vAlign w:val="bottom"/>
            <w:gridSpan w:val="3"/>
          </w:tcPr>
          <w:p>
            <w:pPr>
              <w:spacing w:after="0"/>
              <w:rPr>
                <w:sz w:val="24"/>
                <w:szCs w:val="24"/>
                <w:color w:val="auto"/>
              </w:rPr>
            </w:pPr>
          </w:p>
        </w:tc>
        <w:tc>
          <w:tcPr>
            <w:tcW w:w="526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31, 2020</w:t>
            </w:r>
          </w:p>
        </w:tc>
      </w:tr>
      <w:tr>
        <w:trPr>
          <w:trHeight w:val="235"/>
        </w:trPr>
        <w:tc>
          <w:tcPr>
            <w:tcW w:w="3320" w:type="dxa"/>
            <w:vAlign w:val="bottom"/>
            <w:gridSpan w:val="9"/>
          </w:tcPr>
          <w:p>
            <w:pPr>
              <w:spacing w:after="0"/>
              <w:rPr>
                <w:sz w:val="20"/>
                <w:szCs w:val="20"/>
                <w:color w:val="auto"/>
              </w:rPr>
            </w:pPr>
            <w:r>
              <w:rPr>
                <w:rFonts w:ascii="Arial" w:cs="Arial" w:eastAsia="Arial" w:hAnsi="Arial"/>
                <w:sz w:val="18"/>
                <w:szCs w:val="18"/>
                <w:color w:val="auto"/>
              </w:rPr>
              <w:t>Brian J. Underdown, Ph. D</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3320" w:type="dxa"/>
            <w:vAlign w:val="bottom"/>
            <w:gridSpan w:val="9"/>
          </w:tcPr>
          <w:p>
            <w:pPr>
              <w:spacing w:after="0"/>
              <w:rPr>
                <w:sz w:val="20"/>
                <w:szCs w:val="20"/>
                <w:color w:val="auto"/>
              </w:rPr>
            </w:pPr>
            <w:r>
              <w:rPr>
                <w:rFonts w:ascii="Arial" w:cs="Arial" w:eastAsia="Arial" w:hAnsi="Arial"/>
                <w:sz w:val="18"/>
                <w:szCs w:val="18"/>
                <w:color w:val="auto"/>
              </w:rPr>
              <w:t>/s/ Jerry B. Gin</w:t>
            </w:r>
          </w:p>
        </w:tc>
        <w:tc>
          <w:tcPr>
            <w:tcW w:w="526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31, 2020</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5"/>
        </w:trPr>
        <w:tc>
          <w:tcPr>
            <w:tcW w:w="3320" w:type="dxa"/>
            <w:vAlign w:val="bottom"/>
            <w:gridSpan w:val="9"/>
          </w:tcPr>
          <w:p>
            <w:pPr>
              <w:spacing w:after="0"/>
              <w:rPr>
                <w:sz w:val="20"/>
                <w:szCs w:val="20"/>
                <w:color w:val="auto"/>
              </w:rPr>
            </w:pPr>
            <w:r>
              <w:rPr>
                <w:rFonts w:ascii="Arial" w:cs="Arial" w:eastAsia="Arial" w:hAnsi="Arial"/>
                <w:sz w:val="18"/>
                <w:szCs w:val="18"/>
                <w:color w:val="auto"/>
              </w:rPr>
              <w:t>Jerry B. Gin, Ph. D.</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3"/>
        </w:trPr>
        <w:tc>
          <w:tcPr>
            <w:tcW w:w="17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 Ann M. Cunningham</w:t>
            </w:r>
          </w:p>
        </w:tc>
        <w:tc>
          <w:tcPr>
            <w:tcW w:w="1600" w:type="dxa"/>
            <w:vAlign w:val="bottom"/>
            <w:gridSpan w:val="2"/>
          </w:tcPr>
          <w:p>
            <w:pPr>
              <w:spacing w:after="0"/>
              <w:rPr>
                <w:sz w:val="24"/>
                <w:szCs w:val="24"/>
                <w:color w:val="auto"/>
              </w:rPr>
            </w:pPr>
          </w:p>
        </w:tc>
        <w:tc>
          <w:tcPr>
            <w:tcW w:w="5260" w:type="dxa"/>
            <w:vAlign w:val="bottom"/>
            <w:gridSpan w:val="3"/>
          </w:tcPr>
          <w:p>
            <w:pPr>
              <w:ind w:left="96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March 31, 2020</w:t>
            </w:r>
          </w:p>
        </w:tc>
      </w:tr>
      <w:tr>
        <w:trPr>
          <w:trHeight w:val="235"/>
        </w:trPr>
        <w:tc>
          <w:tcPr>
            <w:tcW w:w="3320" w:type="dxa"/>
            <w:vAlign w:val="bottom"/>
            <w:gridSpan w:val="9"/>
          </w:tcPr>
          <w:p>
            <w:pPr>
              <w:spacing w:after="0"/>
              <w:rPr>
                <w:sz w:val="20"/>
                <w:szCs w:val="20"/>
                <w:color w:val="auto"/>
              </w:rPr>
            </w:pPr>
            <w:r>
              <w:rPr>
                <w:rFonts w:ascii="Arial" w:cs="Arial" w:eastAsia="Arial" w:hAnsi="Arial"/>
                <w:sz w:val="18"/>
                <w:szCs w:val="18"/>
                <w:color w:val="auto"/>
              </w:rPr>
              <w:t>Ann M. Cunningham</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05"/>
        </w:trPr>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3"/>
          </w:tcPr>
          <w:p>
            <w:pPr>
              <w:ind w:left="2180"/>
              <w:spacing w:after="0"/>
              <w:rPr>
                <w:sz w:val="20"/>
                <w:szCs w:val="20"/>
                <w:color w:val="auto"/>
              </w:rPr>
            </w:pPr>
            <w:r>
              <w:rPr>
                <w:rFonts w:ascii="Arial" w:cs="Arial" w:eastAsia="Arial" w:hAnsi="Arial"/>
                <w:sz w:val="18"/>
                <w:szCs w:val="18"/>
                <w:color w:val="auto"/>
              </w:rPr>
              <w:t>II-7</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151765</wp:posOffset>
            </wp:positionV>
            <wp:extent cx="1637030" cy="1414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extLst>
                    </a:blip>
                    <a:srcRect/>
                    <a:stretch>
                      <a:fillRect/>
                    </a:stretch>
                  </pic:blipFill>
                  <pic:spPr bwMode="auto">
                    <a:xfrm>
                      <a:off x="0" y="0"/>
                      <a:ext cx="16370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acted as legal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its registration statement on Form S-1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first filed on March 31, 2020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relating to the proposed resale of up to 9,592,607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by the selling stockholders identified in the Registration Statement (the “</w:t>
      </w:r>
      <w:r>
        <w:rPr>
          <w:rFonts w:ascii="Arial" w:cs="Arial" w:eastAsia="Arial" w:hAnsi="Arial"/>
          <w:sz w:val="16"/>
          <w:szCs w:val="16"/>
          <w:i w:val="1"/>
          <w:iCs w:val="1"/>
          <w:color w:val="auto"/>
        </w:rPr>
        <w:t>Selling Stockholders</w:t>
      </w:r>
      <w:r>
        <w:rPr>
          <w:rFonts w:ascii="Arial" w:cs="Arial" w:eastAsia="Arial" w:hAnsi="Arial"/>
          <w:sz w:val="16"/>
          <w:szCs w:val="16"/>
          <w:color w:val="auto"/>
        </w:rPr>
        <w:t>”). This opinion letter is furnished to you at your request to enable you to fulfill the requirements of Item 601(b)(5) of Regulation S-K, 17 C.F.R. § 229.601(b)(5), in connection with the Registration Statement.</w:t>
      </w:r>
    </w:p>
    <w:p>
      <w:pPr>
        <w:spacing w:after="0" w:line="169"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 In connection with the opinion hereinafter expressed, we have assumed that all of the Shares will be resold in the manner stated in the prospectus forming a part of the Registration Statement.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the Shares will be duly authorized, validly issued, fully paid and nonassessable.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opinions expressed herein are with respect to, and limited to, the corporate laws of the State of Nevada and the federal laws of the United States, in each case as currently in effect, and we express no opinion as to the effect of the laws of any other jurisdiction.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hereby consent to the reference to us under the caption “Legal Matters”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Disclosure Law Group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23.2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on Form S-1 of VistaGen Therapeutics, Inc. of our report dated June 25, 2019 (which report expresses an unqualified opinion and includes an explanatory paragraph expressing substantial doubt about the Company’s ability to continue as a going concern), relating to the consolidated financial statements of VistaGen Therapeutics, Inc. appearing in the Company’s Annual Report on Form 10-K for the fiscal year ended March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2"/>
      <w:numFmt w:val="decimal"/>
      <w:start w:val="24"/>
    </w:lvl>
  </w:abstractNum>
  <w:abstractNum w:abstractNumId="14">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25E45D32"/>
    <w:multiLevelType w:val="hybridMultilevel"/>
    <w:lvl w:ilvl="0">
      <w:lvlJc w:val="left"/>
      <w:lvlText w:val="(%1)"/>
      <w:numFmt w:val="decimal"/>
      <w:start w:val="2"/>
    </w:lvl>
  </w:abstractNum>
  <w:abstractNum w:abstractNumId="16">
    <w:nsid w:val="519B500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9"/>
    </w:lvl>
  </w:abstractNum>
  <w:abstractNum w:abstractNumId="17">
    <w:nsid w:val="431BD7B7"/>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2" Type="http://schemas.openxmlformats.org/officeDocument/2006/relationships/image" Target="media/image42.png"/><Relationship Id="rId55" Type="http://schemas.openxmlformats.org/officeDocument/2006/relationships/image" Target="media/image43.png"/><Relationship Id="rId58" Type="http://schemas.openxmlformats.org/officeDocument/2006/relationships/image" Target="media/image44.png"/><Relationship Id="rId61" Type="http://schemas.openxmlformats.org/officeDocument/2006/relationships/image" Target="media/image45.png"/><Relationship Id="rId63" Type="http://schemas.openxmlformats.org/officeDocument/2006/relationships/image" Target="media/image46.png"/><Relationship Id="rId66" Type="http://schemas.openxmlformats.org/officeDocument/2006/relationships/image" Target="media/image47.png"/><Relationship Id="rId69"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5" Type="http://schemas.openxmlformats.org/officeDocument/2006/relationships/image" Target="media/image51.png"/><Relationship Id="rId78" Type="http://schemas.openxmlformats.org/officeDocument/2006/relationships/image" Target="media/image52.png"/><Relationship Id="rId81" Type="http://schemas.openxmlformats.org/officeDocument/2006/relationships/image" Target="media/image53.png"/><Relationship Id="rId84" Type="http://schemas.openxmlformats.org/officeDocument/2006/relationships/image" Target="media/image54.png"/><Relationship Id="rId87" Type="http://schemas.openxmlformats.org/officeDocument/2006/relationships/image" Target="media/image55.png"/><Relationship Id="rId90" Type="http://schemas.openxmlformats.org/officeDocument/2006/relationships/image" Target="media/image56.png"/><Relationship Id="rId93" Type="http://schemas.openxmlformats.org/officeDocument/2006/relationships/image" Target="media/image57.png"/><Relationship Id="rId96" Type="http://schemas.openxmlformats.org/officeDocument/2006/relationships/image" Target="media/image58.png"/><Relationship Id="rId99" Type="http://schemas.openxmlformats.org/officeDocument/2006/relationships/image" Target="media/image59.png"/><Relationship Id="rId102" Type="http://schemas.openxmlformats.org/officeDocument/2006/relationships/image" Target="media/image60.png"/><Relationship Id="rId104" Type="http://schemas.openxmlformats.org/officeDocument/2006/relationships/image" Target="media/image61.png"/><Relationship Id="rId106" Type="http://schemas.openxmlformats.org/officeDocument/2006/relationships/image" Target="media/image62.png"/><Relationship Id="rId109" Type="http://schemas.openxmlformats.org/officeDocument/2006/relationships/image" Target="media/image63.png"/><Relationship Id="rId112" Type="http://schemas.openxmlformats.org/officeDocument/2006/relationships/image" Target="media/image64.png"/><Relationship Id="rId114" Type="http://schemas.openxmlformats.org/officeDocument/2006/relationships/image" Target="media/image65.png"/><Relationship Id="rId117" Type="http://schemas.openxmlformats.org/officeDocument/2006/relationships/image" Target="media/image66.png"/><Relationship Id="rId120" Type="http://schemas.openxmlformats.org/officeDocument/2006/relationships/image" Target="media/image67.png"/><Relationship Id="rId123" Type="http://schemas.openxmlformats.org/officeDocument/2006/relationships/image" Target="media/image68.png"/><Relationship Id="rId126" Type="http://schemas.openxmlformats.org/officeDocument/2006/relationships/image" Target="media/image69.png"/><Relationship Id="rId129" Type="http://schemas.openxmlformats.org/officeDocument/2006/relationships/image" Target="media/image70.png"/><Relationship Id="rId131" Type="http://schemas.openxmlformats.org/officeDocument/2006/relationships/image" Target="media/image71.png"/><Relationship Id="rId132" Type="http://schemas.openxmlformats.org/officeDocument/2006/relationships/image" Target="media/image72.png"/><Relationship Id="rId133" Type="http://schemas.openxmlformats.org/officeDocument/2006/relationships/image" Target="media/image73.png"/><Relationship Id="rId134" Type="http://schemas.openxmlformats.org/officeDocument/2006/relationships/image" Target="media/image74.png"/><Relationship Id="rId135" Type="http://schemas.openxmlformats.org/officeDocument/2006/relationships/image" Target="media/image75.png"/><Relationship Id="rId136" Type="http://schemas.openxmlformats.org/officeDocument/2006/relationships/image" Target="media/image76.jpeg"/><Relationship Id="rId137" Type="http://schemas.openxmlformats.org/officeDocument/2006/relationships/image" Target="media/image77.png"/><Relationship Id="rId138" Type="http://schemas.openxmlformats.org/officeDocument/2006/relationships/image" Target="media/image78.png"/><Relationship Id="rId48" Type="http://schemas.openxmlformats.org/officeDocument/2006/relationships/hyperlink" Target="http://www.sec.gov/Archives/edgar/data/1411685/000141588911000362/ex2-1.htm" TargetMode="External"/><Relationship Id="rId50" Type="http://schemas.openxmlformats.org/officeDocument/2006/relationships/hyperlink" Target="http://www.sec.gov/Archives/edgar/data/1411685/000141588911000445/exhibit3-1.htm" TargetMode="External"/><Relationship Id="rId51" Type="http://schemas.openxmlformats.org/officeDocument/2006/relationships/hyperlink" Target="http://www.sec.gov/Archives/edgar/data/1411685/000141588911001446/ex3-12232011_081210.htm" TargetMode="External"/><Relationship Id="rId53" Type="http://schemas.openxmlformats.org/officeDocument/2006/relationships/hyperlink" Target="http://www.sec.gov/Archives/edgar/data/1411685/000141588914002464/ex3-1.htm" TargetMode="External"/><Relationship Id="rId54" Type="http://schemas.openxmlformats.org/officeDocument/2006/relationships/hyperlink" Target="http://www.sec.gov/Archives/edgar/data/1411685/000141588915001677/ex3-1.htm" TargetMode="External"/><Relationship Id="rId56" Type="http://schemas.openxmlformats.org/officeDocument/2006/relationships/hyperlink" Target="http://www.sec.gov/Archives/edgar/data/1411685/000141588916004564/ex3-01292016_020121.htm" TargetMode="External"/><Relationship Id="rId57" Type="http://schemas.openxmlformats.org/officeDocument/2006/relationships/hyperlink" Target="http://www.sec.gov/Archives/edgar/data/1411685/000141588916006879/ex3-1.htm" TargetMode="External"/><Relationship Id="rId59" Type="http://schemas.openxmlformats.org/officeDocument/2006/relationships/hyperlink" Target="http://www.sec.gov/Archives/edgar/data/1411685/000141588916006879/ex3-2.htm" TargetMode="External"/><Relationship Id="rId60" Type="http://schemas.openxmlformats.org/officeDocument/2006/relationships/hyperlink" Target="http://www.sec.gov/Archives/edgar/data/1411685/000165495417008632/ex3-1.htm" TargetMode="External"/><Relationship Id="rId62" Type="http://schemas.openxmlformats.org/officeDocument/2006/relationships/hyperlink" Target="http://www.sec.gov/Archives/edgar/data/1411685/000141588911000362/ex10-22.htm" TargetMode="External"/><Relationship Id="rId64" Type="http://schemas.openxmlformats.org/officeDocument/2006/relationships/hyperlink" Target="http://www.sec.gov/Archives/edgar/data/1411685/000141588911000362/ex10-26.htm" TargetMode="External"/><Relationship Id="rId65" Type="http://schemas.openxmlformats.org/officeDocument/2006/relationships/hyperlink" Target="http://www.sec.gov/Archives/edgar/data/1411685/000141588911000362/ex10-40.htm" TargetMode="External"/><Relationship Id="rId67" Type="http://schemas.openxmlformats.org/officeDocument/2006/relationships/hyperlink" Target="http://www.sec.gov/Archives/edgar/data/1411685/000141588911000362/ex10-41.htm" TargetMode="External"/><Relationship Id="rId68" Type="http://schemas.openxmlformats.org/officeDocument/2006/relationships/hyperlink" Target="http://www.sec.gov/Archives/edgar/data/1411685/000141588911001342/ex10-11302011_101124.htm" TargetMode="External"/><Relationship Id="rId70" Type="http://schemas.openxmlformats.org/officeDocument/2006/relationships/hyperlink" Target="http://www.sec.gov/Archives/edgar/data/1411685/000141588912000973/ex10-57.htm" TargetMode="External"/><Relationship Id="rId71" Type="http://schemas.openxmlformats.org/officeDocument/2006/relationships/hyperlink" Target="http://www.sec.gov/Archives/edgar/data/1411685/000141588912001496/ex10-1.htm" TargetMode="External"/><Relationship Id="rId74" Type="http://schemas.openxmlformats.org/officeDocument/2006/relationships/hyperlink" Target="http://www.sec.gov/Archives/edgar/data/1411685/000141588912001749/ex10-11202012_021125.htm" TargetMode="External"/><Relationship Id="rId76" Type="http://schemas.openxmlformats.org/officeDocument/2006/relationships/hyperlink" Target="http://www.sec.gov/Archives/edgar/data/1411685/000141588913000263/npeaamend.htm" TargetMode="External"/><Relationship Id="rId77" Type="http://schemas.openxmlformats.org/officeDocument/2006/relationships/hyperlink" Target="http://www.sec.gov/Archives/edgar/data/1411685/000141588913000316/ex10-02282013_010201.htm" TargetMode="External"/><Relationship Id="rId79" Type="http://schemas.openxmlformats.org/officeDocument/2006/relationships/hyperlink" Target="http://www.sec.gov/Archives/edgar/data/1411685/000141588913000363/ex10-03062013_040313.htm" TargetMode="External"/><Relationship Id="rId80" Type="http://schemas.openxmlformats.org/officeDocument/2006/relationships/hyperlink" Target="http://www.sec.gov/Archives/edgar/data/1411685/000141588913001409/leasebaysidevistagen.htm" TargetMode="External"/><Relationship Id="rId82" Type="http://schemas.openxmlformats.org/officeDocument/2006/relationships/hyperlink" Target="http://www.sec.gov/Archives/edgar/data/1411685/000141588913001409/saxeindemnification.htm" TargetMode="External"/><Relationship Id="rId83" Type="http://schemas.openxmlformats.org/officeDocument/2006/relationships/hyperlink" Target="http://www.sec.gov/Archives/edgar/data/1411685/000141588913001409/singhindemnification.htm" TargetMode="External"/><Relationship Id="rId85" Type="http://schemas.openxmlformats.org/officeDocument/2006/relationships/hyperlink" Target="http://www.sec.gov/Archives/edgar/data/1411685/000141588913001409/snodgrassindemnification.htm" TargetMode="External"/><Relationship Id="rId86" Type="http://schemas.openxmlformats.org/officeDocument/2006/relationships/hyperlink" Target="http://www.sec.gov/Archives/edgar/data/1411685/000141588913001409/underdownindemnification.htm" TargetMode="External"/><Relationship Id="rId88" Type="http://schemas.openxmlformats.org/officeDocument/2006/relationships/hyperlink" Target="http://www.sec.gov/Archives/edgar/data/1411685/000141588913001409/dotsonindemnification.htm" TargetMode="External"/><Relationship Id="rId89" Type="http://schemas.openxmlformats.org/officeDocument/2006/relationships/hyperlink" Target="http://www.sec.gov/Archives/edgar/data/1411685/000141588916004564/ex10-01292016_020122.htm" TargetMode="External"/><Relationship Id="rId91" Type="http://schemas.openxmlformats.org/officeDocument/2006/relationships/hyperlink" Target="http://www.sec.gov/Archives/edgar/data/1411685/000141588916006331/ex10-112.htm" TargetMode="External"/><Relationship Id="rId92" Type="http://schemas.openxmlformats.org/officeDocument/2006/relationships/hyperlink" Target="http://www.sec.gov/Archives/edgar/data/1411685/000141588916005945/ex1-1.htm" TargetMode="External"/><Relationship Id="rId94" Type="http://schemas.openxmlformats.org/officeDocument/2006/relationships/hyperlink" Target="http://www.sec.gov/Archives/edgar/data/1411685/000141588916005945/ex4-1.htm" TargetMode="External"/><Relationship Id="rId95" Type="http://schemas.openxmlformats.org/officeDocument/2006/relationships/hyperlink" Target="http://www.sec.gov/Archives/edgar/data/1411685/000141588916005945/ex4-2.htm" TargetMode="External"/><Relationship Id="rId97" Type="http://schemas.openxmlformats.org/officeDocument/2006/relationships/hyperlink" Target="http://www.sec.gov/Archives/edgar/data/1411685/000141588916006331/ex10-116.htm" TargetMode="External"/><Relationship Id="rId98" Type="http://schemas.openxmlformats.org/officeDocument/2006/relationships/hyperlink" Target="http://www.sec.gov/Archives/edgar/data/1411685/000141588916006331/ex10-117.htm" TargetMode="External"/><Relationship Id="rId100" Type="http://schemas.openxmlformats.org/officeDocument/2006/relationships/hyperlink" Target="http://www.sec.gov/Archives/edgar/data/1411685/000141588916007413/ex10-1.htm" TargetMode="External"/><Relationship Id="rId101" Type="http://schemas.openxmlformats.org/officeDocument/2006/relationships/hyperlink" Target="http://www.sec.gov/Archives/edgar/data/1411685/000141588916007413/ex10-2.htm" TargetMode="External"/><Relationship Id="rId103" Type="http://schemas.openxmlformats.org/officeDocument/2006/relationships/hyperlink" Target="http://www.sec.gov/Archives/edgar/data/1411685/000165495417004468/ex10-1.htm" TargetMode="External"/><Relationship Id="rId105" Type="http://schemas.openxmlformats.org/officeDocument/2006/relationships/hyperlink" Target="http://www.sec.gov/Archives/edgar/data/1411685/000165495417003815/ex10-2.htm" TargetMode="External"/><Relationship Id="rId107" Type="http://schemas.openxmlformats.org/officeDocument/2006/relationships/hyperlink" Target="http://www.sec.gov/Archives/edgar/data/1411685/000165495417005976/ex10-122.htm" TargetMode="External"/><Relationship Id="rId108" Type="http://schemas.openxmlformats.org/officeDocument/2006/relationships/hyperlink" Target="http://www.sec.gov/Archives/edgar/data/1411685/000165495417008025/vsta_ex11.htm" TargetMode="External"/><Relationship Id="rId110" Type="http://schemas.openxmlformats.org/officeDocument/2006/relationships/hyperlink" Target="http://www.sec.gov/Archives/edgar/data/1411685/000165495417008025/ex4-1.htm" TargetMode="External"/><Relationship Id="rId111" Type="http://schemas.openxmlformats.org/officeDocument/2006/relationships/hyperlink" Target="http://www.sec.gov/Archives/edgar/data/1411685/000165495417008025/ex4-2.htm" TargetMode="External"/><Relationship Id="rId113" Type="http://schemas.openxmlformats.org/officeDocument/2006/relationships/hyperlink" Target="http://www.sec.gov/Archives/edgar/data/1411685/000165495417011630/ex4-1.htm" TargetMode="External"/><Relationship Id="rId115" Type="http://schemas.openxmlformats.org/officeDocument/2006/relationships/hyperlink" Target="http://www.sec.gov/Archives/edgar/data/1411685/000165495418008742/ex10-1.htm" TargetMode="External"/><Relationship Id="rId116" Type="http://schemas.openxmlformats.org/officeDocument/2006/relationships/hyperlink" Target="http://www.sec.gov/Archives/edgar/data/1411685/000165495418008742/ex10-2.htm" TargetMode="External"/><Relationship Id="rId118" Type="http://schemas.openxmlformats.org/officeDocument/2006/relationships/hyperlink" Target="http://www.sec.gov/Archives/edgar/data/1411685/000165495418010158/ex10-1.htm" TargetMode="External"/><Relationship Id="rId119" Type="http://schemas.openxmlformats.org/officeDocument/2006/relationships/hyperlink" Target="http://www.sec.gov/Archives/edgar/data/1411685/000165495418010158/ex10-2.htm" TargetMode="External"/><Relationship Id="rId121" Type="http://schemas.openxmlformats.org/officeDocument/2006/relationships/hyperlink" Target="http://www.sec.gov/Archives/edgar/data/1411685/000165495418011715/ex10-3.htm" TargetMode="External"/><Relationship Id="rId122" Type="http://schemas.openxmlformats.org/officeDocument/2006/relationships/hyperlink" Target="http://www.sec.gov/Archives/edgar/data/1411685/000165495418011665/ex10-4.htm" TargetMode="External"/><Relationship Id="rId124" Type="http://schemas.openxmlformats.org/officeDocument/2006/relationships/hyperlink" Target="http://www.sec.gov/Archives/edgar/data/1411685/000165495418011665/ex10-5.htm" TargetMode="External"/><Relationship Id="rId125" Type="http://schemas.openxmlformats.org/officeDocument/2006/relationships/hyperlink" Target="http://www.sec.gov/Archives/edgar/data/1411685/000165495419000496/ex10-1.htm" TargetMode="External"/><Relationship Id="rId127" Type="http://schemas.openxmlformats.org/officeDocument/2006/relationships/hyperlink" Target="http://www.sec.gov/Archives/edgar/data/1411685/000165495419007632/ex10_136.htm" TargetMode="External"/><Relationship Id="rId128" Type="http://schemas.openxmlformats.org/officeDocument/2006/relationships/hyperlink" Target="http://www.sec.gov/Archives/edgar/data/1411685/000165495419002248/ex1-1.htm" TargetMode="External"/><Relationship Id="rId130" Type="http://schemas.openxmlformats.org/officeDocument/2006/relationships/hyperlink" Target="http://www.sec.gov/Archives/edgar/data/1411685/000165495419007632/ex10-1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2020-03-31T16:29:41Z</dcterms:created>
  <dcterms:modified xsi:type="dcterms:W3CDTF">2020-03-31T16:29:41Z</dcterms:modified>
</cp:coreProperties>
</file>