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59" w:lineRule="exact"/>
        <w:rPr>
          <w:sz w:val="24"/>
          <w:szCs w:val="24"/>
          <w:color w:val="auto"/>
        </w:rPr>
      </w:pPr>
    </w:p>
    <w:p>
      <w:pPr>
        <w:ind w:left="640" w:hanging="466"/>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0" w:lineRule="exact"/>
        <w:rPr>
          <w:sz w:val="24"/>
          <w:szCs w:val="24"/>
          <w:color w:val="auto"/>
        </w:rPr>
      </w:pPr>
    </w:p>
    <w:p>
      <w:pPr>
        <w:ind w:left="640" w:hanging="466"/>
        <w:spacing w:after="0"/>
        <w:tabs>
          <w:tab w:leader="none" w:pos="6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93"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001-37761</w:t>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VISTAGEN THERAPEUTICS, INC.</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28" w:lineRule="exact"/>
        <w:rPr>
          <w:sz w:val="24"/>
          <w:szCs w:val="24"/>
          <w:color w:val="auto"/>
        </w:rPr>
      </w:pPr>
    </w:p>
    <w:tbl>
      <w:tblPr>
        <w:tblLayout w:type="fixed"/>
        <w:tblInd w:w="1700" w:type="dxa"/>
        <w:tblCellMar>
          <w:top w:w="0" w:type="dxa"/>
          <w:left w:w="0" w:type="dxa"/>
          <w:bottom w:w="0" w:type="dxa"/>
          <w:right w:w="0" w:type="dxa"/>
        </w:tblCellMar>
      </w:tblPr>
      <w:tr>
        <w:trPr>
          <w:trHeight w:val="238"/>
        </w:trPr>
        <w:tc>
          <w:tcPr>
            <w:tcW w:w="414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2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8"/>
              </w:rPr>
              <w:t>20-5093315</w:t>
            </w:r>
          </w:p>
        </w:tc>
      </w:tr>
      <w:tr>
        <w:trPr>
          <w:trHeight w:val="223"/>
        </w:trPr>
        <w:tc>
          <w:tcPr>
            <w:tcW w:w="4140" w:type="dxa"/>
            <w:vAlign w:val="bottom"/>
          </w:tcPr>
          <w:p>
            <w:pPr>
              <w:jc w:val="center"/>
              <w:ind w:right="181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3260" w:type="dxa"/>
            <w:vAlign w:val="bottom"/>
          </w:tcPr>
          <w:p>
            <w:pPr>
              <w:jc w:val="center"/>
              <w:ind w:left="185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4140" w:type="dxa"/>
            <w:vAlign w:val="bottom"/>
          </w:tcPr>
          <w:p>
            <w:pPr>
              <w:jc w:val="center"/>
              <w:ind w:right="183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3260" w:type="dxa"/>
            <w:vAlign w:val="bottom"/>
          </w:tcPr>
          <w:p>
            <w:pPr>
              <w:jc w:val="center"/>
              <w:ind w:left="183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bl>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418"/>
        </w:trPr>
        <w:tc>
          <w:tcPr>
            <w:tcW w:w="16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640" w:type="dxa"/>
            <w:vAlign w:val="bottom"/>
          </w:tcPr>
          <w:p>
            <w:pPr>
              <w:spacing w:after="0"/>
              <w:rPr>
                <w:sz w:val="24"/>
                <w:szCs w:val="24"/>
                <w:color w:val="auto"/>
              </w:rPr>
            </w:pPr>
          </w:p>
        </w:tc>
        <w:tc>
          <w:tcPr>
            <w:tcW w:w="284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6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45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380" w:type="dxa"/>
            <w:vAlign w:val="bottom"/>
          </w:tcPr>
          <w:p>
            <w:pPr>
              <w:spacing w:after="0"/>
              <w:rPr>
                <w:sz w:val="24"/>
                <w:szCs w:val="24"/>
                <w:color w:val="auto"/>
              </w:rPr>
            </w:pPr>
          </w:p>
        </w:tc>
        <w:tc>
          <w:tcPr>
            <w:tcW w:w="246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color w:val="auto"/>
                <w:w w:val="99"/>
              </w:rPr>
              <w:t>VTGN</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6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89"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120"/>
              <w:spacing w:after="0"/>
              <w:rPr>
                <w:sz w:val="20"/>
                <w:szCs w:val="20"/>
                <w:color w:val="auto"/>
              </w:rPr>
            </w:pPr>
            <w:r>
              <w:rPr>
                <w:rFonts w:ascii="Wingdings" w:cs="Wingdings" w:eastAsia="Wingdings" w:hAnsi="Wingdings"/>
                <w:sz w:val="18"/>
                <w:szCs w:val="18"/>
                <w:b w:val="1"/>
                <w:bCs w:val="1"/>
                <w:color w:val="auto"/>
              </w:rPr>
              <w:t>o</w:t>
            </w:r>
          </w:p>
        </w:tc>
        <w:tc>
          <w:tcPr>
            <w:tcW w:w="37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Accelerated filer</w:t>
            </w:r>
          </w:p>
        </w:tc>
        <w:tc>
          <w:tcPr>
            <w:tcW w:w="1140" w:type="dxa"/>
            <w:vAlign w:val="bottom"/>
          </w:tcPr>
          <w:p>
            <w:pPr>
              <w:ind w:left="940"/>
              <w:spacing w:after="0"/>
              <w:rPr>
                <w:sz w:val="20"/>
                <w:szCs w:val="20"/>
                <w:color w:val="auto"/>
              </w:rPr>
            </w:pPr>
            <w:r>
              <w:rPr>
                <w:rFonts w:ascii="Wingdings" w:cs="Wingdings" w:eastAsia="Wingdings" w:hAnsi="Wingdings"/>
                <w:sz w:val="18"/>
                <w:szCs w:val="18"/>
                <w:b w:val="1"/>
                <w:bCs w:val="1"/>
                <w:color w:val="auto"/>
              </w:rPr>
              <w:t>o</w:t>
            </w:r>
          </w:p>
        </w:tc>
      </w:tr>
      <w:tr>
        <w:trPr>
          <w:trHeight w:val="25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120"/>
              <w:spacing w:after="0"/>
              <w:rPr>
                <w:sz w:val="20"/>
                <w:szCs w:val="20"/>
                <w:color w:val="auto"/>
              </w:rPr>
            </w:pPr>
            <w:r>
              <w:rPr>
                <w:rFonts w:ascii="Wingdings" w:cs="Wingdings" w:eastAsia="Wingdings" w:hAnsi="Wingdings"/>
                <w:sz w:val="18"/>
                <w:szCs w:val="18"/>
                <w:b w:val="1"/>
                <w:bCs w:val="1"/>
                <w:color w:val="auto"/>
              </w:rPr>
              <w:t>x</w:t>
            </w:r>
          </w:p>
        </w:tc>
        <w:tc>
          <w:tcPr>
            <w:tcW w:w="37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40" w:type="dxa"/>
            <w:vAlign w:val="bottom"/>
          </w:tcPr>
          <w:p>
            <w:pPr>
              <w:ind w:left="940"/>
              <w:spacing w:after="0"/>
              <w:rPr>
                <w:sz w:val="20"/>
                <w:szCs w:val="20"/>
                <w:color w:val="auto"/>
              </w:rPr>
            </w:pPr>
            <w:r>
              <w:rPr>
                <w:rFonts w:ascii="Wingdings" w:cs="Wingdings" w:eastAsia="Wingdings" w:hAnsi="Wingdings"/>
                <w:sz w:val="18"/>
                <w:szCs w:val="18"/>
                <w:b w:val="1"/>
                <w:bCs w:val="1"/>
                <w:color w:val="auto"/>
                <w:w w:val="94"/>
              </w:rPr>
              <w:t>x</w:t>
            </w:r>
          </w:p>
        </w:tc>
      </w:tr>
      <w:tr>
        <w:trPr>
          <w:trHeight w:val="256"/>
        </w:trPr>
        <w:tc>
          <w:tcPr>
            <w:tcW w:w="27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7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40" w:type="dxa"/>
            <w:vAlign w:val="bottom"/>
          </w:tcPr>
          <w:p>
            <w:pPr>
              <w:ind w:left="940"/>
              <w:spacing w:after="0"/>
              <w:rPr>
                <w:sz w:val="20"/>
                <w:szCs w:val="20"/>
                <w:color w:val="auto"/>
              </w:rPr>
            </w:pPr>
            <w:r>
              <w:rPr>
                <w:rFonts w:ascii="Wingdings" w:cs="Wingdings" w:eastAsia="Wingdings" w:hAnsi="Wingdings"/>
                <w:sz w:val="18"/>
                <w:szCs w:val="18"/>
                <w:b w:val="1"/>
                <w:bCs w:val="1"/>
                <w:color w:val="auto"/>
              </w:rPr>
              <w:t>o</w:t>
            </w:r>
          </w:p>
        </w:tc>
      </w:tr>
    </w:tbl>
    <w:p>
      <w:pPr>
        <w:spacing w:after="0" w:line="26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12, 2024, 27,055,107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171450</wp:posOffset>
            </wp:positionV>
            <wp:extent cx="70465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197485</wp:posOffset>
            </wp:positionV>
            <wp:extent cx="70465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140" w:type="dxa"/>
            <w:vAlign w:val="bottom"/>
          </w:tcPr>
          <w:p>
            <w:pPr>
              <w:spacing w:after="0"/>
              <w:rPr>
                <w:sz w:val="20"/>
                <w:szCs w:val="20"/>
                <w:color w:val="auto"/>
              </w:rPr>
            </w:pPr>
          </w:p>
        </w:tc>
        <w:tc>
          <w:tcPr>
            <w:tcW w:w="1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Page</w:t>
            </w:r>
          </w:p>
        </w:tc>
      </w:tr>
      <w:tr>
        <w:trPr>
          <w:trHeight w:val="263"/>
        </w:trPr>
        <w:tc>
          <w:tcPr>
            <w:tcW w:w="10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100" w:type="dxa"/>
            <w:vAlign w:val="bottom"/>
            <w:shd w:val="clear" w:color="auto" w:fill="CCEEFF"/>
          </w:tcPr>
          <w:p>
            <w:pPr>
              <w:spacing w:after="0"/>
              <w:rPr>
                <w:sz w:val="22"/>
                <w:szCs w:val="22"/>
                <w:color w:val="auto"/>
              </w:rPr>
            </w:pPr>
          </w:p>
        </w:tc>
      </w:tr>
      <w:tr>
        <w:trPr>
          <w:trHeight w:val="270"/>
        </w:trPr>
        <w:tc>
          <w:tcPr>
            <w:tcW w:w="101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7"/>
        </w:trPr>
        <w:tc>
          <w:tcPr>
            <w:tcW w:w="10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 Condensed Consolidated Financial Statements</w:t>
            </w:r>
          </w:p>
        </w:tc>
        <w:tc>
          <w:tcPr>
            <w:tcW w:w="11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1</w:t>
            </w:r>
          </w:p>
        </w:tc>
      </w:tr>
      <w:tr>
        <w:trPr>
          <w:trHeight w:val="250"/>
        </w:trPr>
        <w:tc>
          <w:tcPr>
            <w:tcW w:w="10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Condensed Consolidated Balance Sheets as of June 30, 2024 and March 31, 2024</w:t>
            </w: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1</w:t>
            </w:r>
          </w:p>
        </w:tc>
      </w:tr>
      <w:tr>
        <w:trPr>
          <w:trHeight w:val="263"/>
        </w:trPr>
        <w:tc>
          <w:tcPr>
            <w:tcW w:w="10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 for the three months ended June 30, 2024 and 2023</w:t>
            </w:r>
          </w:p>
        </w:tc>
        <w:tc>
          <w:tcPr>
            <w:tcW w:w="11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2</w:t>
            </w:r>
          </w:p>
        </w:tc>
      </w:tr>
      <w:tr>
        <w:trPr>
          <w:trHeight w:val="250"/>
        </w:trPr>
        <w:tc>
          <w:tcPr>
            <w:tcW w:w="10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Condensed Consolidated Statement of Changes in Stockholders’ Equity for the three months ended June 30, 2024 and 2023</w:t>
            </w: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3</w:t>
            </w:r>
          </w:p>
        </w:tc>
      </w:tr>
      <w:tr>
        <w:trPr>
          <w:trHeight w:val="263"/>
        </w:trPr>
        <w:tc>
          <w:tcPr>
            <w:tcW w:w="10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three months ended June 30, 2024 and 2023</w:t>
            </w:r>
          </w:p>
        </w:tc>
        <w:tc>
          <w:tcPr>
            <w:tcW w:w="11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4</w:t>
            </w:r>
          </w:p>
        </w:tc>
      </w:tr>
      <w:tr>
        <w:trPr>
          <w:trHeight w:val="250"/>
        </w:trPr>
        <w:tc>
          <w:tcPr>
            <w:tcW w:w="10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5</w:t>
            </w:r>
          </w:p>
        </w:tc>
      </w:tr>
      <w:tr>
        <w:trPr>
          <w:trHeight w:val="263"/>
        </w:trPr>
        <w:tc>
          <w:tcPr>
            <w:tcW w:w="10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11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13</w:t>
            </w:r>
          </w:p>
        </w:tc>
      </w:tr>
      <w:tr>
        <w:trPr>
          <w:trHeight w:val="250"/>
        </w:trPr>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24</w:t>
            </w:r>
          </w:p>
        </w:tc>
      </w:tr>
      <w:tr>
        <w:trPr>
          <w:trHeight w:val="263"/>
        </w:trPr>
        <w:tc>
          <w:tcPr>
            <w:tcW w:w="10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11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24</w:t>
            </w:r>
          </w:p>
        </w:tc>
      </w:tr>
      <w:tr>
        <w:trPr>
          <w:trHeight w:val="270"/>
        </w:trPr>
        <w:tc>
          <w:tcPr>
            <w:tcW w:w="101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7"/>
        </w:trPr>
        <w:tc>
          <w:tcPr>
            <w:tcW w:w="10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100" w:type="dxa"/>
            <w:vAlign w:val="bottom"/>
            <w:shd w:val="clear" w:color="auto" w:fill="CCEEFF"/>
          </w:tcPr>
          <w:p>
            <w:pPr>
              <w:spacing w:after="0"/>
              <w:rPr>
                <w:sz w:val="22"/>
                <w:szCs w:val="22"/>
                <w:color w:val="auto"/>
              </w:rPr>
            </w:pPr>
          </w:p>
        </w:tc>
      </w:tr>
      <w:tr>
        <w:trPr>
          <w:trHeight w:val="270"/>
        </w:trPr>
        <w:tc>
          <w:tcPr>
            <w:tcW w:w="101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7"/>
        </w:trPr>
        <w:tc>
          <w:tcPr>
            <w:tcW w:w="10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 Legal Proceedings</w:t>
            </w:r>
          </w:p>
        </w:tc>
        <w:tc>
          <w:tcPr>
            <w:tcW w:w="11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25</w:t>
            </w:r>
          </w:p>
        </w:tc>
      </w:tr>
      <w:tr>
        <w:trPr>
          <w:trHeight w:val="250"/>
        </w:trPr>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 Risk Factors</w:t>
            </w: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25</w:t>
            </w:r>
          </w:p>
        </w:tc>
      </w:tr>
      <w:tr>
        <w:trPr>
          <w:trHeight w:val="263"/>
        </w:trPr>
        <w:tc>
          <w:tcPr>
            <w:tcW w:w="10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11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77</w:t>
            </w:r>
          </w:p>
        </w:tc>
      </w:tr>
      <w:tr>
        <w:trPr>
          <w:trHeight w:val="250"/>
        </w:trPr>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77</w:t>
            </w:r>
          </w:p>
        </w:tc>
      </w:tr>
      <w:tr>
        <w:trPr>
          <w:trHeight w:val="263"/>
        </w:trPr>
        <w:tc>
          <w:tcPr>
            <w:tcW w:w="10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11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77</w:t>
            </w:r>
          </w:p>
        </w:tc>
      </w:tr>
      <w:tr>
        <w:trPr>
          <w:trHeight w:val="250"/>
        </w:trPr>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 Other Information</w:t>
            </w: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77</w:t>
            </w:r>
          </w:p>
        </w:tc>
      </w:tr>
      <w:tr>
        <w:trPr>
          <w:trHeight w:val="263"/>
        </w:trPr>
        <w:tc>
          <w:tcPr>
            <w:tcW w:w="10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6. Exhibits</w:t>
            </w:r>
          </w:p>
        </w:tc>
        <w:tc>
          <w:tcPr>
            <w:tcW w:w="11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77</w:t>
            </w:r>
          </w:p>
        </w:tc>
      </w:tr>
      <w:tr>
        <w:trPr>
          <w:trHeight w:val="270"/>
        </w:trPr>
        <w:tc>
          <w:tcPr>
            <w:tcW w:w="101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6"/>
        </w:trPr>
        <w:tc>
          <w:tcPr>
            <w:tcW w:w="10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11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78</w:t>
            </w:r>
          </w:p>
        </w:tc>
      </w:tr>
      <w:tr>
        <w:trPr>
          <w:trHeight w:val="1006"/>
        </w:trPr>
        <w:tc>
          <w:tcPr>
            <w:tcW w:w="10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18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VISTAGEN THERAPEUTICS, INC.</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18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par value amounts)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24"/>
                <w:szCs w:val="24"/>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102,918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119,166</w:t>
            </w:r>
          </w:p>
        </w:tc>
        <w:tc>
          <w:tcPr>
            <w:tcW w:w="0" w:type="dxa"/>
            <w:vAlign w:val="bottom"/>
          </w:tcPr>
          <w:p>
            <w:pPr>
              <w:spacing w:after="0"/>
              <w:rPr>
                <w:sz w:val="1"/>
                <w:szCs w:val="1"/>
                <w:color w:val="auto"/>
              </w:rPr>
            </w:pPr>
          </w:p>
        </w:tc>
      </w:tr>
      <w:tr>
        <w:trPr>
          <w:trHeight w:val="25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50"/>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120,672</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57"/>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113,548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123,653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shd w:val="clear" w:color="auto" w:fill="CCEEFF"/>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5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lease obligation - current portion</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non-current portion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 - non-current portion</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at June 30, 2024 and March 31, 2024; no shares</w:t>
            </w:r>
          </w:p>
        </w:tc>
        <w:tc>
          <w:tcPr>
            <w:tcW w:w="200" w:type="dxa"/>
            <w:vAlign w:val="bottom"/>
            <w:shd w:val="clear" w:color="auto" w:fill="CCEEFF"/>
          </w:tcPr>
          <w:p>
            <w:pPr>
              <w:spacing w:after="0"/>
              <w:rPr>
                <w:sz w:val="20"/>
                <w:szCs w:val="20"/>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June 30, 2024 and March 31, 2024</w:t>
            </w:r>
          </w:p>
        </w:tc>
        <w:tc>
          <w:tcPr>
            <w:tcW w:w="20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$0.001 par value; 325,000,000 shares authorized at June 30, 2024 and March 31, 2024;</w:t>
            </w:r>
          </w:p>
        </w:tc>
        <w:tc>
          <w:tcPr>
            <w:tcW w:w="200" w:type="dxa"/>
            <w:vAlign w:val="bottom"/>
          </w:tcPr>
          <w:p>
            <w:pPr>
              <w:spacing w:after="0"/>
              <w:rPr>
                <w:sz w:val="19"/>
                <w:szCs w:val="19"/>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4"/>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27,059,629 and 27,029,731 shares issued at June 30, 2024 and March 31, 2024, respectively</w:t>
            </w:r>
          </w:p>
        </w:tc>
        <w:tc>
          <w:tcPr>
            <w:tcW w:w="20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475,689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474,441</w:t>
            </w:r>
          </w:p>
        </w:tc>
        <w:tc>
          <w:tcPr>
            <w:tcW w:w="0" w:type="dxa"/>
            <w:vAlign w:val="bottom"/>
          </w:tcPr>
          <w:p>
            <w:pPr>
              <w:spacing w:after="0"/>
              <w:rPr>
                <w:sz w:val="1"/>
                <w:szCs w:val="1"/>
                <w:color w:val="auto"/>
              </w:rPr>
            </w:pPr>
          </w:p>
        </w:tc>
      </w:tr>
      <w:tr>
        <w:trPr>
          <w:trHeight w:val="25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4,522 shares of common stock held at June 30, 2024 and March 31, 2024</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(366,947)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(356,214)</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114,286</w:t>
            </w:r>
          </w:p>
        </w:tc>
        <w:tc>
          <w:tcPr>
            <w:tcW w:w="0" w:type="dxa"/>
            <w:vAlign w:val="bottom"/>
          </w:tcPr>
          <w:p>
            <w:pPr>
              <w:spacing w:after="0"/>
              <w:rPr>
                <w:sz w:val="1"/>
                <w:szCs w:val="1"/>
                <w:color w:val="auto"/>
              </w:rPr>
            </w:pPr>
          </w:p>
        </w:tc>
      </w:tr>
      <w:tr>
        <w:trPr>
          <w:trHeight w:val="257"/>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113,548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123,653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21590</wp:posOffset>
            </wp:positionV>
            <wp:extent cx="1945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Sublicense and other revenue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57"/>
        </w:trPr>
        <w:tc>
          <w:tcPr>
            <w:tcW w:w="8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r>
      <w:tr>
        <w:trPr>
          <w:trHeight w:val="25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w:t>
            </w:r>
          </w:p>
        </w:tc>
      </w:tr>
      <w:tr>
        <w:trPr>
          <w:trHeight w:val="250"/>
        </w:trPr>
        <w:tc>
          <w:tcPr>
            <w:tcW w:w="8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24"/>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30,603,435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7,337,005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66"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8"/>
        </w:trPr>
        <w:tc>
          <w:tcPr>
            <w:tcW w:w="3580" w:type="dxa"/>
            <w:vAlign w:val="bottom"/>
          </w:tcPr>
          <w:p>
            <w:pPr>
              <w:spacing w:after="0"/>
              <w:rPr>
                <w:sz w:val="17"/>
                <w:szCs w:val="17"/>
                <w:color w:val="auto"/>
              </w:rPr>
            </w:pPr>
          </w:p>
        </w:tc>
        <w:tc>
          <w:tcPr>
            <w:tcW w:w="1500" w:type="dxa"/>
            <w:vAlign w:val="bottom"/>
            <w:tcBorders>
              <w:bottom w:val="single" w:sz="8" w:color="auto"/>
            </w:tcBorders>
            <w:gridSpan w:val="3"/>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960" w:type="dxa"/>
            <w:vAlign w:val="bottom"/>
            <w:gridSpan w:val="3"/>
          </w:tcPr>
          <w:p>
            <w:pPr>
              <w:jc w:val="center"/>
              <w:ind w:right="80"/>
              <w:spacing w:after="0" w:line="198" w:lineRule="exact"/>
              <w:rPr>
                <w:sz w:val="20"/>
                <w:szCs w:val="20"/>
                <w:color w:val="auto"/>
              </w:rPr>
            </w:pPr>
            <w:r>
              <w:rPr>
                <w:rFonts w:ascii="Times New Roman" w:cs="Times New Roman" w:eastAsia="Times New Roman" w:hAnsi="Times New Roman"/>
                <w:sz w:val="18"/>
                <w:szCs w:val="18"/>
                <w:b w:val="1"/>
                <w:bCs w:val="1"/>
                <w:color w:val="auto"/>
                <w:w w:val="95"/>
              </w:rPr>
              <w:t>Treasury</w:t>
            </w:r>
          </w:p>
        </w:tc>
        <w:tc>
          <w:tcPr>
            <w:tcW w:w="1340" w:type="dxa"/>
            <w:vAlign w:val="bottom"/>
            <w:gridSpan w:val="3"/>
          </w:tcPr>
          <w:p>
            <w:pPr>
              <w:jc w:val="center"/>
              <w:ind w:right="1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1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44"/>
        </w:trPr>
        <w:tc>
          <w:tcPr>
            <w:tcW w:w="3580" w:type="dxa"/>
            <w:vAlign w:val="bottom"/>
          </w:tcPr>
          <w:p>
            <w:pPr>
              <w:spacing w:after="0"/>
              <w:rPr>
                <w:sz w:val="21"/>
                <w:szCs w:val="21"/>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60" w:type="dxa"/>
            <w:vAlign w:val="bottom"/>
          </w:tcPr>
          <w:p>
            <w:pPr>
              <w:spacing w:after="0"/>
              <w:rPr>
                <w:sz w:val="21"/>
                <w:szCs w:val="21"/>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1"/>
                <w:szCs w:val="21"/>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18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1"/>
                <w:szCs w:val="21"/>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56"/>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7,315,583</w:t>
            </w:r>
          </w:p>
        </w:tc>
        <w:tc>
          <w:tcPr>
            <w:tcW w:w="8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342,893</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(326,852)</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12,080</w:t>
            </w: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18"/>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common stock pursuant to 2019</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 Open Market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Sale Agreement, net of issuance costs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561,418</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6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0" w:type="dxa"/>
            <w:vAlign w:val="bottom"/>
          </w:tcPr>
          <w:p>
            <w:pPr>
              <w:spacing w:after="0"/>
              <w:rPr>
                <w:sz w:val="1"/>
                <w:szCs w:val="1"/>
                <w:color w:val="auto"/>
              </w:rPr>
            </w:pPr>
          </w:p>
        </w:tc>
      </w:tr>
      <w:tr>
        <w:trPr>
          <w:trHeight w:val="244"/>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7,879,673</w:t>
            </w:r>
          </w:p>
        </w:tc>
        <w:tc>
          <w:tcPr>
            <w:tcW w:w="80" w:type="dxa"/>
            <w:vAlign w:val="bottom"/>
          </w:tcPr>
          <w:p>
            <w:pPr>
              <w:spacing w:after="0"/>
              <w:rPr>
                <w:sz w:val="21"/>
                <w:szCs w:val="21"/>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344,564</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(333,755)</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1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center"/>
              <w:ind w:right="1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1540" w:type="dxa"/>
            <w:vAlign w:val="bottom"/>
            <w:tcBorders>
              <w:bottom w:val="single" w:sz="8" w:color="auto"/>
            </w:tcBorders>
            <w:gridSpan w:val="3"/>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920" w:type="dxa"/>
            <w:vAlign w:val="bottom"/>
            <w:gridSpan w:val="3"/>
          </w:tcPr>
          <w:p>
            <w:pPr>
              <w:jc w:val="right"/>
              <w:ind w:right="160"/>
              <w:spacing w:after="0" w:line="178" w:lineRule="exact"/>
              <w:rPr>
                <w:sz w:val="20"/>
                <w:szCs w:val="20"/>
                <w:color w:val="auto"/>
              </w:rPr>
            </w:pPr>
            <w:r>
              <w:rPr>
                <w:rFonts w:ascii="Times New Roman" w:cs="Times New Roman" w:eastAsia="Times New Roman" w:hAnsi="Times New Roman"/>
                <w:sz w:val="18"/>
                <w:szCs w:val="18"/>
                <w:b w:val="1"/>
                <w:bCs w:val="1"/>
                <w:color w:val="auto"/>
              </w:rPr>
              <w:t>Treasury</w:t>
            </w:r>
          </w:p>
        </w:tc>
        <w:tc>
          <w:tcPr>
            <w:tcW w:w="1320" w:type="dxa"/>
            <w:vAlign w:val="bottom"/>
            <w:gridSpan w:val="3"/>
          </w:tcPr>
          <w:p>
            <w:pPr>
              <w:jc w:val="center"/>
              <w:ind w:right="80"/>
              <w:spacing w:after="0" w:line="178"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6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10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1"/>
                <w:szCs w:val="21"/>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60" w:type="dxa"/>
            <w:vAlign w:val="bottom"/>
          </w:tcPr>
          <w:p>
            <w:pPr>
              <w:spacing w:after="0"/>
              <w:rPr>
                <w:sz w:val="21"/>
                <w:szCs w:val="21"/>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1"/>
                <w:szCs w:val="21"/>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20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21"/>
                <w:szCs w:val="21"/>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56"/>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27,029,731</w:t>
            </w:r>
          </w:p>
        </w:tc>
        <w:tc>
          <w:tcPr>
            <w:tcW w:w="8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474,441</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(356,214)</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114,286</w:t>
            </w:r>
          </w:p>
        </w:tc>
        <w:tc>
          <w:tcPr>
            <w:tcW w:w="0" w:type="dxa"/>
            <w:vAlign w:val="bottom"/>
          </w:tcPr>
          <w:p>
            <w:pPr>
              <w:spacing w:after="0"/>
              <w:rPr>
                <w:sz w:val="1"/>
                <w:szCs w:val="1"/>
                <w:color w:val="auto"/>
              </w:rPr>
            </w:pPr>
          </w:p>
        </w:tc>
      </w:tr>
      <w:tr>
        <w:trPr>
          <w:trHeight w:val="25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1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common stock pursuant to 2019</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29,898</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1"/>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net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0" w:type="dxa"/>
            <w:vAlign w:val="bottom"/>
          </w:tcPr>
          <w:p>
            <w:pPr>
              <w:spacing w:after="0"/>
              <w:rPr>
                <w:sz w:val="1"/>
                <w:szCs w:val="1"/>
                <w:color w:val="auto"/>
              </w:rPr>
            </w:pPr>
          </w:p>
        </w:tc>
      </w:tr>
      <w:tr>
        <w:trPr>
          <w:trHeight w:val="24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27,059,629</w:t>
            </w:r>
          </w:p>
        </w:tc>
        <w:tc>
          <w:tcPr>
            <w:tcW w:w="8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27</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475,689</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(366,947)</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21590</wp:posOffset>
            </wp:positionV>
            <wp:extent cx="19456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w:t>
            </w:r>
          </w:p>
        </w:tc>
      </w:tr>
      <w:tr>
        <w:trPr>
          <w:trHeight w:val="26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6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50"/>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6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Accretion on marketable securities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57"/>
        </w:trPr>
        <w:tc>
          <w:tcPr>
            <w:tcW w:w="8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50"/>
        </w:trPr>
        <w:tc>
          <w:tcPr>
            <w:tcW w:w="8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Deferred sublicense and other revenue, net of deferred contract acquisition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57"/>
        </w:trPr>
        <w:tc>
          <w:tcPr>
            <w:tcW w:w="8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50"/>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(7,891)</w:t>
            </w:r>
          </w:p>
        </w:tc>
      </w:tr>
      <w:tr>
        <w:trPr>
          <w:trHeight w:val="243"/>
        </w:trPr>
        <w:tc>
          <w:tcPr>
            <w:tcW w:w="8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Purchases of laboratory and other equipment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11"/>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(expenses) from sale of common stock under Open Market Sale Agreement, net of deferred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offering costs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6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sale of common stock under 2019 Employee Stock Purchase Plan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Repayment of note payable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5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5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w:t>
            </w:r>
          </w:p>
        </w:tc>
      </w:tr>
      <w:tr>
        <w:trPr>
          <w:trHeight w:val="257"/>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16,638</w:t>
            </w:r>
          </w:p>
        </w:tc>
      </w:tr>
      <w:tr>
        <w:trPr>
          <w:trHeight w:val="25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102,918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9,622</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Insurance premiums settled by issuing note payable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4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Purchases of equipment included in 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Vistagen Therapeutics, Inc., a Nevada corporation (</w:t>
      </w:r>
      <w:r>
        <w:rPr>
          <w:rFonts w:ascii="Times New Roman" w:cs="Times New Roman" w:eastAsia="Times New Roman" w:hAnsi="Times New Roman"/>
          <w:sz w:val="18"/>
          <w:szCs w:val="18"/>
          <w:i w:val="1"/>
          <w:iCs w:val="1"/>
          <w:color w:val="auto"/>
        </w:rPr>
        <w:t>Vistagen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is a late clinical-stage neuroscience-focused biopharmaceutical company dedicated to developing and commercializing groundbreaking therapies for psychiatric and neurological disorders based on our deep understanding of nose-to-brain neurocircuitry. Our neuroscience pipeline consists of multiple intranasal product candidates from a new class of potential non-systemic, neurocircuitry-focused therapies called pherines. Designed exclusively as nasal sprays, each of our pherine product candidates is centered on our pioneering approach to addressing psychiatric and neurological disorders with the nose as a portal for the administration of novel neuroactive therapies. Our goal is to develop and commercialize a broad and diverse pipeline of innovative neurocircuitry-focused pherine therapies for multiple highly prevalent neuroscience indications with limited or inadequate current treatment options to meet the needs of millions of underserved patients. Our lead clinical-stage neuroscience programs are focused on social anxiety disorder, major depressive disorder, and vasomotor symptoms (hot flashes) associated with menopause.</w:t>
      </w:r>
    </w:p>
    <w:p>
      <w:pPr>
        <w:spacing w:after="0" w:line="146" w:lineRule="exact"/>
        <w:rPr>
          <w:sz w:val="20"/>
          <w:szCs w:val="20"/>
          <w:color w:val="auto"/>
        </w:rPr>
      </w:pPr>
    </w:p>
    <w:p>
      <w:pPr>
        <w:ind w:right="3520" w:firstLine="8"/>
        <w:spacing w:after="0" w:line="46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Principles of Consolidation and Summary of Significant Accounting Policies Basis of Presentation</w:t>
      </w: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applicable to interim financial information and pursuant to the instructions of the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Form 10-Q and Rule 10-01 of Regulation S-X. Accordingly, they do not include all of the information and footnotes required by U.S. GAAP for complete financial statements. Further, the results of our operations for any interim periods are not necessarily indicative of the results that may be expected for any other interim period or the full fiscal year. In the opinion of management, all normal and recurring adjustments considered necessary for a fair presentation have been included. The condensed consolidated balance sheet at March 31, 2024, has been derived from our audited consolidated financial statements but does not include all disclosures required by U.S. GAAP. Because all of the disclosures required by U.S. GAAP for complete financial statements are not included herein, these unaudited condensed consolidated financial statements and the accompanying notes should be read in conjunction with the Company’s Annual Report on Form 10-K for the year ended March 31, 2024 (</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Vistagen and its subsidiaries. All intercompany accounts and transactions have been eliminated in consolidation.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include, but are not limited to, those relating to stock-based compensation, revenue recognition, research and development expenses, determination of right-of-use assets under lease transactions and related lease obligations, and the assumptions used to value warrants. Although these estimates are based on our knowledge of current events and actions we may undertake in the future, actual results may materially differ from these estimates and assumptions.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inception. As of June 30, 2024, we had an accumulated deficit of $366.9 million. We expect that operating losses and negative cash flows will continue for the foreseeable future as we continue to develop our pherine product candidates. We currently expect that our cash, cash equivalents and marketable securities of $108.4 million as of June 30, 2024 will be sufficient to fund operating expenses and capital requirements for more than 12 months from the date these unaudited condensed consolidated financial statements are issued.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measures cash equivalents and available-for-sale debt securities at fair value. Fair value is defined as an exit price, representing the amount that would be received to sell an asset or paid to transfer a liability in an orderly transaction between market participants. Therefore, fair value is a market-based measurement that is determined based on assumptions that market participants would use in pricing an asset or liability. Fair value is affected by a number of factors, including the type of asset or liability, the characteristics specific to the asset or liability and the state of the marketplace including the existence and transparency of transactions between market participants. As a basis for considering such assumptions, the accounting guidance establishes a three-tier fair value hierarchy, which prioritizes the inputs used in measuring fair value as follows: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1—Unadjusted quoted prices in active markets that are accessible at the measurement date for identical, unrestricted assets or liabilities.</w:t>
      </w:r>
    </w:p>
    <w:p>
      <w:pPr>
        <w:spacing w:after="0" w:line="23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175"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Level 3—Prices or valuation techniques that require inputs that are both significant to the fair value measurement and unobservable (i.e. supported by little or no market activity).</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Money market funds are highly liquid investments and are classified as Level 1. The pricing information for these assets is readily available and can be independently validated as of the measurement date. Available-for sale debt securities are valued using observable inputs from similar assets, or from observable data in markets that are not active. These assets are classified as Level 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Marketable securities consist of U.S. treasury notes. These securities are classified as available-for sale, as the sale of such securities may be required prior to their maturity. Available-for-sale securities are recorded at fair value, with the related unrealized gains and losses included in accumulated other comprehensive income or loss and included as a separate component of stockholders' equity. Our marketable debt securities are classified as cash equivalents if the original maturity, from the date of purchase, is 90 days or less, and as marketable debt securities if the original maturity, from the date of purchase, is in excess of 90 days. Our cash equivalents are generally composed of U.S. treasury securities and money market funds. The amortized cost of available-for-sale securities reflects amortization of premiums and accretion of discounts to maturity. Premiums and discounts on debt securities are amortized into interest and other income, net. The Company classifies investments in marketable debt securities as current assets, regardless of the stated maturity date, which may be beyond one year from the current balance sheet date. Short-term classification reflects management's view that the entire portfolio is available and the Company may use the proceeds from sale of these investments to fund current operations, as necessary.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significant updates not already disclosed in the Company’s audited consolidated financial statements for the years ended March 31, 2024, and 2023, to the recently issued accounting standards for the three months ended June 30,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Accounting Pronouncements Not Yet Adopted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i w:val="1"/>
          <w:iCs w:val="1"/>
          <w:color w:val="auto"/>
        </w:rPr>
        <w:t>ASU</w:t>
      </w:r>
      <w:r>
        <w:rPr>
          <w:rFonts w:ascii="Times New Roman" w:cs="Times New Roman" w:eastAsia="Times New Roman" w:hAnsi="Times New Roman"/>
          <w:sz w:val="18"/>
          <w:szCs w:val="18"/>
          <w:color w:val="auto"/>
        </w:rPr>
        <w:t>) No. 2023-09, “Income Taxes (Topic 740): Improvements to Income Tax Disclosures.” ASU 2023-09 requires disaggregated information about a reporting entity’s effective tax rate reconciliation as well as information on income taxes paid. ASU 2023-09 is effective for public entities with annual periods beginning after December 15, 2024, with early adoption permitted. The Company is currently evaluating the impact of this guidance on its condensed financial statements.</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The amendments in this update expand segment disclosure requirements, including new segment disclosure requirements for entities with a single reportable segment among other disclosure requirements. This update is effective for fiscal years beginning after December 15, 2023, and interim periods within fiscal years beginning after December 15, 2024. The adoption of this standard is not expected to have a material impact on the Company’s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cash, cash equivalents and marketable securities at fair value as of June 30, 2024 and March 31, 2024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19"/>
                <w:szCs w:val="19"/>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money market funds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94,966</w:t>
            </w:r>
          </w:p>
        </w:tc>
      </w:tr>
      <w:tr>
        <w:trPr>
          <w:trHeight w:val="230"/>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notes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160" w:type="dxa"/>
            <w:vAlign w:val="bottom"/>
          </w:tcPr>
          <w:p>
            <w:pPr>
              <w:spacing w:after="0"/>
              <w:rPr>
                <w:sz w:val="19"/>
                <w:szCs w:val="19"/>
                <w:color w:val="auto"/>
              </w:rPr>
            </w:pP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notes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160" w:type="dxa"/>
            <w:vAlign w:val="bottom"/>
          </w:tcPr>
          <w:p>
            <w:pPr>
              <w:spacing w:after="0"/>
              <w:rPr>
                <w:sz w:val="19"/>
                <w:szCs w:val="19"/>
                <w:color w:val="auto"/>
              </w:rPr>
            </w:pP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w:t>
            </w:r>
          </w:p>
        </w:tc>
      </w:tr>
      <w:tr>
        <w:trPr>
          <w:trHeight w:val="248"/>
        </w:trPr>
        <w:tc>
          <w:tcPr>
            <w:tcW w:w="40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13,398</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108,364</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40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bottom w:val="single" w:sz="8" w:color="auto"/>
            </w:tcBorders>
          </w:tcPr>
          <w:p>
            <w:pPr>
              <w:spacing w:after="0"/>
              <w:rPr>
                <w:sz w:val="19"/>
                <w:szCs w:val="19"/>
                <w:color w:val="auto"/>
              </w:rPr>
            </w:pPr>
          </w:p>
        </w:tc>
      </w:tr>
      <w:tr>
        <w:trPr>
          <w:trHeight w:val="21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money market funds</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119,166</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119,166</w:t>
            </w:r>
          </w:p>
        </w:tc>
      </w:tr>
      <w:tr>
        <w:trPr>
          <w:trHeight w:val="223"/>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119,166</w:t>
            </w: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119,166</w:t>
            </w:r>
          </w:p>
        </w:tc>
      </w:tr>
      <w:tr>
        <w:trPr>
          <w:trHeight w:val="21"/>
        </w:trPr>
        <w:tc>
          <w:tcPr>
            <w:tcW w:w="4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prepaid and other current assets, accounts payable, and accrued and other current liabilities, approximate fair value due to their short maturities. We had no financial liabilities measured at fair value on a recurring basis at June 30, 2024 or March 31, 2024. There were no transfers between Levels 1, 2 or 3 for any of the periods presented.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record any impairment charges related to our marketable debt securities during the three months ended June 30, 2024 or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marketable securities as of June 30, 2024:</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2700" w:type="dxa"/>
            <w:vAlign w:val="bottom"/>
            <w:vMerge w:val="restart"/>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Maturity (in years)</w:t>
            </w:r>
          </w:p>
        </w:tc>
        <w:tc>
          <w:tcPr>
            <w:tcW w:w="17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1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700" w:type="dxa"/>
            <w:vAlign w:val="bottom"/>
            <w:vMerge w:val="continue"/>
          </w:tcPr>
          <w:p>
            <w:pPr>
              <w:spacing w:after="0"/>
              <w:rPr>
                <w:sz w:val="21"/>
                <w:szCs w:val="21"/>
                <w:color w:val="auto"/>
              </w:rPr>
            </w:pPr>
          </w:p>
        </w:tc>
        <w:tc>
          <w:tcPr>
            <w:tcW w:w="1700" w:type="dxa"/>
            <w:vAlign w:val="bottom"/>
            <w:gridSpan w:val="3"/>
            <w:vMerge w:val="continue"/>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notes</w:t>
            </w:r>
          </w:p>
        </w:tc>
        <w:tc>
          <w:tcPr>
            <w:tcW w:w="2700" w:type="dxa"/>
            <w:vAlign w:val="bottom"/>
            <w:tcBorders>
              <w:top w:val="single" w:sz="8" w:color="CCEEFF"/>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Less than 1</w:t>
            </w: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13,396</w:t>
            </w:r>
          </w:p>
        </w:tc>
        <w:tc>
          <w:tcPr>
            <w:tcW w:w="2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13,398</w:t>
            </w:r>
          </w:p>
        </w:tc>
        <w:tc>
          <w:tcPr>
            <w:tcW w:w="0" w:type="dxa"/>
            <w:vAlign w:val="bottom"/>
          </w:tcPr>
          <w:p>
            <w:pPr>
              <w:spacing w:after="0"/>
              <w:rPr>
                <w:sz w:val="1"/>
                <w:szCs w:val="1"/>
                <w:color w:val="auto"/>
              </w:rPr>
            </w:pPr>
          </w:p>
        </w:tc>
      </w:tr>
      <w:tr>
        <w:trPr>
          <w:trHeight w:val="223"/>
        </w:trPr>
        <w:tc>
          <w:tcPr>
            <w:tcW w:w="2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13,396</w:t>
            </w:r>
          </w:p>
        </w:tc>
        <w:tc>
          <w:tcPr>
            <w:tcW w:w="280" w:type="dxa"/>
            <w:vAlign w:val="bottom"/>
          </w:tcPr>
          <w:p>
            <w:pPr>
              <w:spacing w:after="0"/>
              <w:rPr>
                <w:sz w:val="19"/>
                <w:szCs w:val="19"/>
                <w:color w:val="auto"/>
              </w:rPr>
            </w:pPr>
          </w:p>
        </w:tc>
        <w:tc>
          <w:tcPr>
            <w:tcW w:w="11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hold any marketable securities as of March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Note Payable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2023, we executed a 7.43% promissory note in the principal amount of $0.9 million in connection with certain insurance policy renewal premiums. The note was payable in monthly installments of $0.1 million, including principal and interest, through February 2024. We paid this note in full in August 2023.</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2022, we executed a 3.88% promissory note in the principal amount of $1.1 million in connection with certain insurance policy premiums. The note was payable in monthly installments of $0.1 million, including principal and interest, and was paid in full in April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10000" w:firstLine="8"/>
        <w:spacing w:after="0" w:line="461"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2023 Public Offering</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completed an underwritten public offering (the </w:t>
      </w:r>
      <w:r>
        <w:rPr>
          <w:rFonts w:ascii="Times New Roman" w:cs="Times New Roman" w:eastAsia="Times New Roman" w:hAnsi="Times New Roman"/>
          <w:sz w:val="18"/>
          <w:szCs w:val="18"/>
          <w:i w:val="1"/>
          <w:iCs w:val="1"/>
          <w:color w:val="auto"/>
        </w:rPr>
        <w:t>October 2023 Public Offering</w:t>
      </w:r>
      <w:r>
        <w:rPr>
          <w:rFonts w:ascii="Times New Roman" w:cs="Times New Roman" w:eastAsia="Times New Roman" w:hAnsi="Times New Roman"/>
          <w:sz w:val="18"/>
          <w:szCs w:val="18"/>
          <w:color w:val="auto"/>
        </w:rPr>
        <w:t xml:space="preserve">), whereby we offered and sold, for gross proceeds of approximately $100 million, a total of 15,010,810 shares of our common stock and a total of 3,577,240 pre-funded warrants to purchase up to 3,577,240 shares of common stock (the </w:t>
      </w:r>
      <w:r>
        <w:rPr>
          <w:rFonts w:ascii="Times New Roman" w:cs="Times New Roman" w:eastAsia="Times New Roman" w:hAnsi="Times New Roman"/>
          <w:sz w:val="18"/>
          <w:szCs w:val="18"/>
          <w:i w:val="1"/>
          <w:iCs w:val="1"/>
          <w:color w:val="auto"/>
        </w:rPr>
        <w:t>Pre-Funded Warrants</w:t>
      </w:r>
      <w:r>
        <w:rPr>
          <w:rFonts w:ascii="Times New Roman" w:cs="Times New Roman" w:eastAsia="Times New Roman" w:hAnsi="Times New Roman"/>
          <w:sz w:val="18"/>
          <w:szCs w:val="18"/>
          <w:color w:val="auto"/>
        </w:rPr>
        <w:t xml:space="preserve">). Each share of common stock and each Pre-Funded Warrant was issued together with a ratably allocated portion of both warrants to purchase up to 9,294,022 shares of common stock with an exercise price of $5.38 per share (the </w:t>
      </w:r>
      <w:r>
        <w:rPr>
          <w:rFonts w:ascii="Times New Roman" w:cs="Times New Roman" w:eastAsia="Times New Roman" w:hAnsi="Times New Roman"/>
          <w:sz w:val="18"/>
          <w:szCs w:val="18"/>
          <w:i w:val="1"/>
          <w:iCs w:val="1"/>
          <w:color w:val="auto"/>
        </w:rPr>
        <w:t>T1 Warrants</w:t>
      </w:r>
      <w:r>
        <w:rPr>
          <w:rFonts w:ascii="Times New Roman" w:cs="Times New Roman" w:eastAsia="Times New Roman" w:hAnsi="Times New Roman"/>
          <w:sz w:val="18"/>
          <w:szCs w:val="18"/>
          <w:color w:val="auto"/>
        </w:rPr>
        <w:t xml:space="preserve">) and warrants to purchase 11,265,086 shares of common stock with an exercise price of $8.877 per share (the </w:t>
      </w:r>
      <w:r>
        <w:rPr>
          <w:rFonts w:ascii="Times New Roman" w:cs="Times New Roman" w:eastAsia="Times New Roman" w:hAnsi="Times New Roman"/>
          <w:sz w:val="18"/>
          <w:szCs w:val="18"/>
          <w:i w:val="1"/>
          <w:iCs w:val="1"/>
          <w:color w:val="auto"/>
        </w:rPr>
        <w:t>T2 Warrants</w:t>
      </w:r>
      <w:r>
        <w:rPr>
          <w:rFonts w:ascii="Times New Roman" w:cs="Times New Roman" w:eastAsia="Times New Roman" w:hAnsi="Times New Roman"/>
          <w:sz w:val="18"/>
          <w:szCs w:val="18"/>
          <w:color w:val="auto"/>
        </w:rPr>
        <w:t>). The net proceeds to us from the October 2023 Public Offering were approximately $93.5 million, after deducting expenses related to the offering, including commissions, legal expenses and other offering costs.</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Pre-Funded Warrants, T1 Warrants and T2 Warrants (collectively, the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are fully exercisable, only at the option of the holder. Holders may also exercise the T1 Warrants and T2 Warrants for Pre-Funded Warrants at their option. We may not effect the exercise of any Warrants, and a holder will not be entitled to exercise any portion of any of the Warrants, which, upon giving effect to such exercise, would cause the aggregate number of shares of common stock beneficially owned by the holder of such Warrant (together with its affiliates) to exceed 9.99% of the number of shares of common stock outstanding immediately after giving effect to the exercise. However, any holder may increase or decrease such percentage to any other percentage (not to exceed 19.99% if exceeding such percentage would result in a change of control under Nasdaq Listing Rule 5636(b) or any successor rule) upon at least 61 days’ prior notice from the holder to us subject to the terms of the respective warrant agreement.</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evaluated the terms of the Warrants issued and determined that they should be classified as equity instruments within additional paid-in capital. The Pre-Funded Warrants are equity classified because they (i) are freestanding financial instruments that are legally detachable and separately exercisable from the other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 Agreement</w:t>
      </w:r>
    </w:p>
    <w:p>
      <w:pPr>
        <w:spacing w:after="0" w:line="1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In May 2021, we entered into an Open Market Sale Agreement </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Sales Agreement</w:t>
      </w:r>
      <w:r>
        <w:rPr>
          <w:rFonts w:ascii="Times New Roman" w:cs="Times New Roman" w:eastAsia="Times New Roman" w:hAnsi="Times New Roman"/>
          <w:sz w:val="18"/>
          <w:szCs w:val="18"/>
          <w:color w:val="auto"/>
        </w:rPr>
        <w:t>) with Jefferies LLC (</w:t>
      </w:r>
      <w:r>
        <w:rPr>
          <w:rFonts w:ascii="Times New Roman" w:cs="Times New Roman" w:eastAsia="Times New Roman" w:hAnsi="Times New Roman"/>
          <w:sz w:val="18"/>
          <w:szCs w:val="18"/>
          <w:i w:val="1"/>
          <w:iCs w:val="1"/>
          <w:color w:val="auto"/>
        </w:rPr>
        <w:t>Jefferies</w:t>
      </w:r>
      <w:r>
        <w:rPr>
          <w:rFonts w:ascii="Times New Roman" w:cs="Times New Roman" w:eastAsia="Times New Roman" w:hAnsi="Times New Roman"/>
          <w:sz w:val="18"/>
          <w:szCs w:val="18"/>
          <w:color w:val="auto"/>
        </w:rPr>
        <w:t>) pursuant to which we may, in our sole discretion, offer and sell, from time to time, shares of our common stock having an aggregate offering price of up to $75.0 million. In February 2024, we increased the available aggregate offering price of our common stock under the Sales Agreement to $100.0 million. We will pay Jefferies a commission of up to three percent (3.0%) of the aggregate gross proceeds from any sales under the Sales Agreement.</w:t>
      </w:r>
    </w:p>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and 2023, we did not make any sales of shares under the Sales Agreement. As of June 30, 2024, $100.0 million of common stock remained available for sale under the Sales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the following common stock warrants were outstanding:</w:t>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 Common Shares</w:t>
            </w:r>
          </w:p>
        </w:tc>
        <w:tc>
          <w:tcPr>
            <w:tcW w:w="3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38"/>
        </w:trPr>
        <w:tc>
          <w:tcPr>
            <w:tcW w:w="3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Underlying Warrants</w:t>
            </w:r>
          </w:p>
        </w:tc>
        <w:tc>
          <w:tcPr>
            <w:tcW w:w="3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7"/>
        </w:trPr>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50"/>
        </w:trPr>
        <w:tc>
          <w:tcPr>
            <w:tcW w:w="2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33,334</w:t>
            </w:r>
          </w:p>
        </w:tc>
        <w:tc>
          <w:tcPr>
            <w:tcW w:w="100" w:type="dxa"/>
            <w:vAlign w:val="bottom"/>
            <w:shd w:val="clear" w:color="auto" w:fill="CCEEFF"/>
          </w:tcPr>
          <w:p>
            <w:pPr>
              <w:spacing w:after="0"/>
              <w:rPr>
                <w:sz w:val="21"/>
                <w:szCs w:val="21"/>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$15.000</w:t>
            </w:r>
          </w:p>
        </w:tc>
        <w:tc>
          <w:tcPr>
            <w:tcW w:w="80" w:type="dxa"/>
            <w:vAlign w:val="bottom"/>
            <w:shd w:val="clear" w:color="auto" w:fill="CCEEFF"/>
          </w:tcPr>
          <w:p>
            <w:pPr>
              <w:spacing w:after="0"/>
              <w:rPr>
                <w:sz w:val="21"/>
                <w:szCs w:val="21"/>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12/9/2024</w:t>
            </w:r>
          </w:p>
        </w:tc>
      </w:tr>
      <w:tr>
        <w:trPr>
          <w:trHeight w:val="250"/>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12,352</w:t>
            </w:r>
          </w:p>
        </w:tc>
        <w:tc>
          <w:tcPr>
            <w:tcW w:w="100" w:type="dxa"/>
            <w:vAlign w:val="bottom"/>
          </w:tcPr>
          <w:p>
            <w:pPr>
              <w:spacing w:after="0"/>
              <w:rPr>
                <w:sz w:val="21"/>
                <w:szCs w:val="21"/>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$21.900</w:t>
            </w:r>
          </w:p>
        </w:tc>
        <w:tc>
          <w:tcPr>
            <w:tcW w:w="80" w:type="dxa"/>
            <w:vAlign w:val="bottom"/>
          </w:tcPr>
          <w:p>
            <w:pPr>
              <w:spacing w:after="0"/>
              <w:rPr>
                <w:sz w:val="21"/>
                <w:szCs w:val="21"/>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7/25/2025</w:t>
            </w:r>
          </w:p>
        </w:tc>
      </w:tr>
      <w:tr>
        <w:trPr>
          <w:trHeight w:val="263"/>
        </w:trPr>
        <w:tc>
          <w:tcPr>
            <w:tcW w:w="2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3,577,240</w:t>
            </w:r>
          </w:p>
        </w:tc>
        <w:tc>
          <w:tcPr>
            <w:tcW w:w="100" w:type="dxa"/>
            <w:vAlign w:val="bottom"/>
            <w:shd w:val="clear" w:color="auto" w:fill="CCEEFF"/>
          </w:tcPr>
          <w:p>
            <w:pPr>
              <w:spacing w:after="0"/>
              <w:rPr>
                <w:sz w:val="22"/>
                <w:szCs w:val="22"/>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$0.001</w:t>
            </w:r>
          </w:p>
        </w:tc>
        <w:tc>
          <w:tcPr>
            <w:tcW w:w="80" w:type="dxa"/>
            <w:vAlign w:val="bottom"/>
            <w:shd w:val="clear" w:color="auto" w:fill="CCEEFF"/>
          </w:tcPr>
          <w:p>
            <w:pPr>
              <w:spacing w:after="0"/>
              <w:rPr>
                <w:sz w:val="22"/>
                <w:szCs w:val="22"/>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50"/>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9,294,022</w:t>
            </w:r>
          </w:p>
        </w:tc>
        <w:tc>
          <w:tcPr>
            <w:tcW w:w="100" w:type="dxa"/>
            <w:vAlign w:val="bottom"/>
          </w:tcPr>
          <w:p>
            <w:pPr>
              <w:spacing w:after="0"/>
              <w:rPr>
                <w:sz w:val="21"/>
                <w:szCs w:val="21"/>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$5.380</w:t>
            </w:r>
          </w:p>
        </w:tc>
        <w:tc>
          <w:tcPr>
            <w:tcW w:w="80" w:type="dxa"/>
            <w:vAlign w:val="bottom"/>
          </w:tcPr>
          <w:p>
            <w:pPr>
              <w:spacing w:after="0"/>
              <w:rPr>
                <w:sz w:val="21"/>
                <w:szCs w:val="21"/>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r>
      <w:tr>
        <w:trPr>
          <w:trHeight w:val="263"/>
        </w:trPr>
        <w:tc>
          <w:tcPr>
            <w:tcW w:w="2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11,265,086</w:t>
            </w:r>
          </w:p>
        </w:tc>
        <w:tc>
          <w:tcPr>
            <w:tcW w:w="100" w:type="dxa"/>
            <w:vAlign w:val="bottom"/>
            <w:shd w:val="clear" w:color="auto" w:fill="CCEEFF"/>
          </w:tcPr>
          <w:p>
            <w:pPr>
              <w:spacing w:after="0"/>
              <w:rPr>
                <w:sz w:val="22"/>
                <w:szCs w:val="22"/>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$8.877</w:t>
            </w:r>
          </w:p>
        </w:tc>
        <w:tc>
          <w:tcPr>
            <w:tcW w:w="80" w:type="dxa"/>
            <w:vAlign w:val="bottom"/>
            <w:shd w:val="clear" w:color="auto" w:fill="CCEEFF"/>
          </w:tcPr>
          <w:p>
            <w:pPr>
              <w:spacing w:after="0"/>
              <w:rPr>
                <w:sz w:val="22"/>
                <w:szCs w:val="22"/>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10/4/2028</w:t>
            </w:r>
          </w:p>
        </w:tc>
      </w:tr>
    </w:tbl>
    <w:p>
      <w:pPr>
        <w:spacing w:after="0" w:line="247" w:lineRule="exact"/>
        <w:rPr>
          <w:sz w:val="20"/>
          <w:szCs w:val="20"/>
          <w:color w:val="auto"/>
        </w:rPr>
      </w:pPr>
    </w:p>
    <w:p>
      <w:pPr>
        <w:jc w:val="both"/>
        <w:ind w:left="980" w:hanging="324"/>
        <w:spacing w:after="0" w:line="268" w:lineRule="auto"/>
        <w:tabs>
          <w:tab w:leader="none" w:pos="97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warrants will expire 60 days after the later of (i) the date on which the Company first publicly discloses, whether by press release or Form 8-K filing, the top-line results of its PALISADE-3 Phase 3 clinical trial of fasedienol for the acute treatment of anxiety in adults with social anxiety disorder (</w:t>
      </w:r>
      <w:r>
        <w:rPr>
          <w:rFonts w:ascii="Times New Roman" w:cs="Times New Roman" w:eastAsia="Times New Roman" w:hAnsi="Times New Roman"/>
          <w:sz w:val="14"/>
          <w:szCs w:val="14"/>
          <w:i w:val="1"/>
          <w:iCs w:val="1"/>
          <w:color w:val="auto"/>
        </w:rPr>
        <w:t>SAD</w:t>
      </w:r>
      <w:r>
        <w:rPr>
          <w:rFonts w:ascii="Times New Roman" w:cs="Times New Roman" w:eastAsia="Times New Roman" w:hAnsi="Times New Roman"/>
          <w:sz w:val="14"/>
          <w:szCs w:val="14"/>
          <w:color w:val="auto"/>
        </w:rPr>
        <w:t>) and (ii) the date on which the Company first publicly discloses, whether by press release or Form 8-K filing, the top-line results of its PALISADE-4 Phase 3 clinical trial of fasedienol for the acute treatment of anxiety in adults with SAD.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 average exercise price of all outstanding warrants at June 30, 2024 is $6.24 per share. No outstanding warrant is subject to any down-round anti-dilution protection feature. All outstanding warrants are exercisable by the holders only by payment in cash of the stated exercise price per share.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 summary of the Company’s stock option activity for the three months ended June 30, 2024 is as follows (in thousands, except share and per share data and years):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6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4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5"/>
                <w:szCs w:val="15"/>
                <w:color w:val="auto"/>
              </w:rPr>
            </w:pP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15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60"/>
              <w:spacing w:after="0" w:line="184" w:lineRule="exact"/>
              <w:rPr>
                <w:sz w:val="20"/>
                <w:szCs w:val="20"/>
                <w:color w:val="auto"/>
              </w:rPr>
            </w:pPr>
            <w:r>
              <w:rPr>
                <w:rFonts w:ascii="Times New Roman" w:cs="Times New Roman" w:eastAsia="Times New Roman" w:hAnsi="Times New Roman"/>
                <w:sz w:val="18"/>
                <w:szCs w:val="18"/>
                <w:b w:val="1"/>
                <w:bCs w:val="1"/>
                <w:color w:val="auto"/>
              </w:rPr>
              <w:t>Exercise</w:t>
            </w:r>
          </w:p>
        </w:tc>
        <w:tc>
          <w:tcPr>
            <w:tcW w:w="1840" w:type="dxa"/>
            <w:vAlign w:val="bottom"/>
            <w:gridSpan w:val="2"/>
          </w:tcPr>
          <w:p>
            <w:pPr>
              <w:jc w:val="center"/>
              <w:ind w:right="1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815,357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6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2,073,750</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2,879,525</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June 30,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765,495</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as of June 30, 2024</w:t>
            </w: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2,879,525</w:t>
            </w:r>
          </w:p>
        </w:tc>
        <w:tc>
          <w:tcPr>
            <w:tcW w:w="300" w:type="dxa"/>
            <w:vAlign w:val="bottom"/>
            <w:gridSpan w:val="2"/>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11.91</w:t>
            </w:r>
          </w:p>
        </w:tc>
        <w:tc>
          <w:tcPr>
            <w:tcW w:w="16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stock options granted during the below periods was estimated using the following assumptions: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478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gridSpan w:val="2"/>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- 4.43%</w:t>
            </w:r>
          </w:p>
        </w:tc>
        <w:tc>
          <w:tcPr>
            <w:tcW w:w="24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4.41%</w:t>
            </w:r>
          </w:p>
        </w:tc>
      </w:tr>
      <w:tr>
        <w:trPr>
          <w:trHeight w:val="230"/>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term (years)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- 6.14</w:t>
            </w:r>
          </w:p>
        </w:tc>
        <w:tc>
          <w:tcPr>
            <w:tcW w:w="24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2.53</w:t>
            </w:r>
          </w:p>
        </w:tc>
      </w:tr>
      <w:tr>
        <w:trPr>
          <w:trHeight w:val="230"/>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22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163.48% - 176.22%</w:t>
            </w:r>
          </w:p>
        </w:tc>
        <w:tc>
          <w:tcPr>
            <w:tcW w:w="24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128.95%</w:t>
            </w:r>
          </w:p>
        </w:tc>
      </w:tr>
      <w:tr>
        <w:trPr>
          <w:trHeight w:val="234"/>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24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included in operating expense:</w:t>
      </w:r>
    </w:p>
    <w:p>
      <w:pPr>
        <w:spacing w:after="0" w:line="248" w:lineRule="exact"/>
        <w:rPr>
          <w:sz w:val="20"/>
          <w:szCs w:val="20"/>
          <w:color w:val="auto"/>
        </w:rPr>
      </w:pPr>
    </w:p>
    <w:tbl>
      <w:tblPr>
        <w:tblLayout w:type="fixed"/>
        <w:tblInd w:w="1560" w:type="dxa"/>
        <w:tblCellMar>
          <w:top w:w="0" w:type="dxa"/>
          <w:left w:w="0" w:type="dxa"/>
          <w:bottom w:w="0" w:type="dxa"/>
          <w:right w:w="0" w:type="dxa"/>
        </w:tblCellMar>
      </w:tblPr>
      <w:tr>
        <w:trPr>
          <w:trHeight w:val="245"/>
        </w:trPr>
        <w:tc>
          <w:tcPr>
            <w:tcW w:w="5040" w:type="dxa"/>
            <w:vAlign w:val="bottom"/>
          </w:tcPr>
          <w:p>
            <w:pPr>
              <w:spacing w:after="0"/>
              <w:rPr>
                <w:sz w:val="21"/>
                <w:szCs w:val="21"/>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Borders>
              <w:bottom w:val="single" w:sz="8" w:color="auto"/>
            </w:tcBorders>
          </w:tcPr>
          <w:p>
            <w:pPr>
              <w:spacing w:after="0"/>
              <w:rPr>
                <w:sz w:val="21"/>
                <w:szCs w:val="21"/>
                <w:color w:val="auto"/>
              </w:rPr>
            </w:pPr>
          </w:p>
        </w:tc>
      </w:tr>
      <w:tr>
        <w:trPr>
          <w:trHeight w:val="250"/>
        </w:trPr>
        <w:tc>
          <w:tcPr>
            <w:tcW w:w="504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21"/>
                <w:szCs w:val="2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9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81"/>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for the three months ended June 30, 2024 and 2023 was $3.55 and $1.21 per share, respectively. For the three months ended June 30, 2024 and 2023, the total fair value of options vested was $1.0 million and $0.4 million, respectively. No options were exercised during the three months ended June 30, 2024 and 2023. As of June 30, 2024, total compensation cost not yet recognized related to unvested stock options was $8.2 million, which is expected to be recognized over a weighted-average period of 2.5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Net Loss per Common Share</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by the weighted average number of shares of common stock outstanding for the period, without consideration for common stock equivalents. The Pre-Funded Warrants associated with the October 2023 Public Offering (see Note 5 above) are considered outstanding shares in the basic earnings per share calculation given their nominal exercise price. Dilutive common stock equivalents for the periods presented include warrants for the purchase of common stock and common stock options outstanding under the Company’s equity compensation plans. For all periods presented, there is no difference in the number of shares used to calculate basic and diluted shares outstanding due to the Company’s net loss position.</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potentially dilutive securities that have been excluded from the calculation of diluted net loss per share because their inclusion would be anti-dilutive: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0" w:right="440"/>
        <w:spacing w:after="0" w:line="281" w:lineRule="auto"/>
        <w:rPr>
          <w:sz w:val="20"/>
          <w:szCs w:val="20"/>
          <w:color w:val="auto"/>
        </w:rPr>
      </w:pPr>
      <w:r>
        <w:rPr>
          <w:rFonts w:ascii="Times New Roman" w:cs="Times New Roman" w:eastAsia="Times New Roman" w:hAnsi="Times New Roman"/>
          <w:sz w:val="18"/>
          <w:szCs w:val="18"/>
          <w:color w:val="auto"/>
        </w:rPr>
        <w:t>Outstanding options under the Company's Amended and Restated 2016 (formerly 2008) Stock Incentive Plan and Amended and Restated 2019 Omnibus Equity Incentive Plan,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-312420</wp:posOffset>
            </wp:positionV>
            <wp:extent cx="6660515"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0515" cy="308610"/>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18"/>
          <w:szCs w:val="18"/>
          <w:color w:val="auto"/>
        </w:rPr>
        <w:t>Outstanding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26035</wp:posOffset>
            </wp:positionV>
            <wp:extent cx="666051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0515" cy="1885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Total</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Sublicensing and Collaborative Agreements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28575</wp:posOffset>
            </wp:positionV>
            <wp:extent cx="19462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46275" cy="8255"/>
                    </a:xfrm>
                    <a:prstGeom prst="rect">
                      <a:avLst/>
                    </a:prstGeom>
                    <a:noFill/>
                  </pic:spPr>
                </pic:pic>
              </a:graphicData>
            </a:graphic>
          </wp:anchor>
        </w:drawing>
      </w:r>
    </w:p>
    <w:p>
      <w:pPr>
        <w:spacing w:after="0" w:line="43"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83" w:lineRule="exact"/>
        <w:rPr>
          <w:sz w:val="20"/>
          <w:szCs w:val="20"/>
          <w:color w:val="auto"/>
        </w:rPr>
      </w:pPr>
    </w:p>
    <w:p>
      <w:pPr>
        <w:ind w:left="200"/>
        <w:spacing w:after="0"/>
        <w:tabs>
          <w:tab w:leader="none" w:pos="1880" w:val="left"/>
        </w:tabs>
        <w:rPr>
          <w:sz w:val="20"/>
          <w:szCs w:val="20"/>
          <w:color w:val="auto"/>
        </w:rPr>
      </w:pPr>
      <w:r>
        <w:rPr>
          <w:rFonts w:ascii="Times New Roman" w:cs="Times New Roman" w:eastAsia="Times New Roman" w:hAnsi="Times New Roman"/>
          <w:sz w:val="18"/>
          <w:szCs w:val="18"/>
          <w:color w:val="auto"/>
        </w:rPr>
        <w:t>2,879,525</w:t>
      </w:r>
      <w:r>
        <w:rPr>
          <w:sz w:val="20"/>
          <w:szCs w:val="20"/>
          <w:color w:val="auto"/>
        </w:rPr>
        <w:tab/>
      </w:r>
      <w:r>
        <w:rPr>
          <w:rFonts w:ascii="Times New Roman" w:cs="Times New Roman" w:eastAsia="Times New Roman" w:hAnsi="Times New Roman"/>
          <w:sz w:val="18"/>
          <w:szCs w:val="18"/>
          <w:color w:val="auto"/>
        </w:rPr>
        <w:t>712,555</w:t>
      </w:r>
    </w:p>
    <w:p>
      <w:pPr>
        <w:spacing w:after="0" w:line="50" w:lineRule="exact"/>
        <w:rPr>
          <w:sz w:val="20"/>
          <w:szCs w:val="20"/>
          <w:color w:val="auto"/>
        </w:rPr>
      </w:pPr>
    </w:p>
    <w:p>
      <w:pPr>
        <w:ind w:left="100"/>
        <w:spacing w:after="0"/>
        <w:tabs>
          <w:tab w:leader="none" w:pos="1980" w:val="left"/>
        </w:tabs>
        <w:rPr>
          <w:sz w:val="20"/>
          <w:szCs w:val="20"/>
          <w:color w:val="auto"/>
        </w:rPr>
      </w:pPr>
      <w:r>
        <w:rPr>
          <w:rFonts w:ascii="Times New Roman" w:cs="Times New Roman" w:eastAsia="Times New Roman" w:hAnsi="Times New Roman"/>
          <w:sz w:val="18"/>
          <w:szCs w:val="18"/>
          <w:color w:val="auto"/>
        </w:rPr>
        <w:t>20,604,794</w:t>
      </w:r>
      <w:r>
        <w:rPr>
          <w:sz w:val="20"/>
          <w:szCs w:val="20"/>
          <w:color w:val="auto"/>
        </w:rPr>
        <w:tab/>
      </w:r>
      <w:r>
        <w:rPr>
          <w:rFonts w:ascii="Times New Roman" w:cs="Times New Roman" w:eastAsia="Times New Roman" w:hAnsi="Times New Roman"/>
          <w:sz w:val="18"/>
          <w:szCs w:val="18"/>
          <w:color w:val="auto"/>
        </w:rPr>
        <w:t>45,686</w:t>
      </w:r>
    </w:p>
    <w:p>
      <w:pPr>
        <w:spacing w:after="0" w:line="63" w:lineRule="exact"/>
        <w:rPr>
          <w:sz w:val="20"/>
          <w:szCs w:val="20"/>
          <w:color w:val="auto"/>
        </w:rPr>
      </w:pPr>
    </w:p>
    <w:p>
      <w:pPr>
        <w:ind w:left="100"/>
        <w:spacing w:after="0"/>
        <w:tabs>
          <w:tab w:leader="none" w:pos="1880" w:val="left"/>
        </w:tabs>
        <w:rPr>
          <w:sz w:val="20"/>
          <w:szCs w:val="20"/>
          <w:color w:val="auto"/>
        </w:rPr>
      </w:pPr>
      <w:r>
        <w:rPr>
          <w:rFonts w:ascii="Times New Roman" w:cs="Times New Roman" w:eastAsia="Times New Roman" w:hAnsi="Times New Roman"/>
          <w:sz w:val="18"/>
          <w:szCs w:val="18"/>
          <w:color w:val="auto"/>
        </w:rPr>
        <w:t>23,484,319</w:t>
      </w:r>
      <w:r>
        <w:rPr>
          <w:sz w:val="20"/>
          <w:szCs w:val="20"/>
          <w:color w:val="auto"/>
        </w:rPr>
        <w:tab/>
      </w:r>
      <w:r>
        <w:rPr>
          <w:rFonts w:ascii="Times New Roman" w:cs="Times New Roman" w:eastAsia="Times New Roman" w:hAnsi="Times New Roman"/>
          <w:sz w:val="18"/>
          <w:szCs w:val="18"/>
          <w:color w:val="auto"/>
        </w:rPr>
        <w:t>758,241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51435</wp:posOffset>
            </wp:positionV>
            <wp:extent cx="19462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46275" cy="8255"/>
                    </a:xfrm>
                    <a:prstGeom prst="rect">
                      <a:avLst/>
                    </a:prstGeom>
                    <a:noFill/>
                  </pic:spPr>
                </pic:pic>
              </a:graphicData>
            </a:graphic>
          </wp:anchor>
        </w:drawing>
      </w:r>
    </w:p>
    <w:p>
      <w:pPr>
        <w:spacing w:after="0" w:line="749" w:lineRule="exact"/>
        <w:rPr>
          <w:sz w:val="20"/>
          <w:szCs w:val="20"/>
          <w:color w:val="auto"/>
        </w:rPr>
      </w:pPr>
    </w:p>
    <w:p>
      <w:pPr>
        <w:sectPr>
          <w:pgSz w:w="11900" w:h="16838" w:orient="portrait"/>
          <w:cols w:equalWidth="0" w:num="2">
            <w:col w:w="7640" w:space="720"/>
            <w:col w:w="2880"/>
          </w:cols>
          <w:pgMar w:left="320" w:top="121"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sublicense and other revenue of $0.1 million and $0.2 million for the three months ended June 30, 2024, and June 30, 2023, respectively.</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contract assets and liabilities during the three months ended June 30, 2024. Contract acquisition costs are included as a component of other assets on our condensed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180" w:type="dxa"/>
            <w:vAlign w:val="bottom"/>
          </w:tcPr>
          <w:p>
            <w:pPr>
              <w:spacing w:after="0"/>
              <w:rPr>
                <w:sz w:val="18"/>
                <w:szCs w:val="18"/>
                <w:color w:val="auto"/>
              </w:rPr>
            </w:pP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237"/>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21"/>
                <w:szCs w:val="21"/>
                <w:color w:val="auto"/>
              </w:rPr>
            </w:pPr>
          </w:p>
        </w:tc>
        <w:tc>
          <w:tcPr>
            <w:tcW w:w="12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6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80" w:type="dxa"/>
            <w:vAlign w:val="bottom"/>
          </w:tcPr>
          <w:p>
            <w:pPr>
              <w:spacing w:after="0"/>
              <w:rPr>
                <w:sz w:val="21"/>
                <w:szCs w:val="21"/>
                <w:color w:val="auto"/>
              </w:rPr>
            </w:pPr>
          </w:p>
        </w:tc>
        <w:tc>
          <w:tcPr>
            <w:tcW w:w="12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terms of our collaboration arrangements: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AffaMed Agreement</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June 2020, we entered into a license and collaboration agreement (the </w:t>
      </w:r>
      <w:r>
        <w:rPr>
          <w:rFonts w:ascii="Times New Roman" w:cs="Times New Roman" w:eastAsia="Times New Roman" w:hAnsi="Times New Roman"/>
          <w:sz w:val="18"/>
          <w:szCs w:val="18"/>
          <w:i w:val="1"/>
          <w:iCs w:val="1"/>
          <w:color w:val="auto"/>
        </w:rPr>
        <w:t>AffaMed Agreement</w:t>
      </w:r>
      <w:r>
        <w:rPr>
          <w:rFonts w:ascii="Times New Roman" w:cs="Times New Roman" w:eastAsia="Times New Roman" w:hAnsi="Times New Roman"/>
          <w:sz w:val="18"/>
          <w:szCs w:val="18"/>
          <w:color w:val="auto"/>
        </w:rPr>
        <w:t>) with EverInsight Therapeutics Inc., a company incorporated under the laws of the British Virgin Islands, now AffaMed Therapeutics, Inc. (</w:t>
      </w:r>
      <w:r>
        <w:rPr>
          <w:rFonts w:ascii="Times New Roman" w:cs="Times New Roman" w:eastAsia="Times New Roman" w:hAnsi="Times New Roman"/>
          <w:sz w:val="18"/>
          <w:szCs w:val="18"/>
          <w:i w:val="1"/>
          <w:iCs w:val="1"/>
          <w:color w:val="auto"/>
        </w:rPr>
        <w:t>AffaMed</w:t>
      </w:r>
      <w:r>
        <w:rPr>
          <w:rFonts w:ascii="Times New Roman" w:cs="Times New Roman" w:eastAsia="Times New Roman" w:hAnsi="Times New Roman"/>
          <w:sz w:val="18"/>
          <w:szCs w:val="18"/>
          <w:color w:val="auto"/>
        </w:rPr>
        <w:t xml:space="preserve">), pursuant to which we granted AffaMed an exclusive license to develop and commercialize fasedienol for SAD and potentially other anxiety-related disorders in Greater China, South Korea and Southeast Asia (which includes Indonesia, Malaysia, Philippines, Thailand and Vietnam) (collectively, the </w:t>
      </w:r>
      <w:r>
        <w:rPr>
          <w:rFonts w:ascii="Times New Roman" w:cs="Times New Roman" w:eastAsia="Times New Roman" w:hAnsi="Times New Roman"/>
          <w:sz w:val="18"/>
          <w:szCs w:val="18"/>
          <w:i w:val="1"/>
          <w:iCs w:val="1"/>
          <w:color w:val="auto"/>
        </w:rPr>
        <w:t>Territory</w:t>
      </w:r>
      <w:r>
        <w:rPr>
          <w:rFonts w:ascii="Times New Roman" w:cs="Times New Roman" w:eastAsia="Times New Roman" w:hAnsi="Times New Roman"/>
          <w:sz w:val="18"/>
          <w:szCs w:val="18"/>
          <w:color w:val="auto"/>
        </w:rPr>
        <w:t>). We retain exclusive development and commercialization rights for fasedienol in the U.S. and throughout the rest of the world outside the Territory.</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AffaMed Agreement, AffaMed paid to us a non-refundable upfront license payment of $5.0 million in August 2020. Additionally, upon successful development and commercialization of fasedienol in the Territory, we are eligible to receive milestone payments of up to $172.0 million. Further, we are eligible to receive royalty payments on a country-by-country basis on net sales for the later of ten years or the expiration of market or regulatory exclusivity in the jurisdiction, except that payments will be reduced on a country-by-country basis in the event that there is no market exclusivity in the period. Royalty payments may also be reduced if there is generic competitive product in the Territory in the period.</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determined that we have one combined performance obligation for the license to develop and commercialize fasedienol in the Territory and related development and regulatory services. In addition, AffaMed has an option that will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create manufacturing obligations for us during development upon exercise by AffaMed. This option for manufacturing services was evaluated and determined not to include a material right.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Development and commercialization milestones were not considered probable at inception and therefore, were excluded from the initial transaction price. The royalties were excluded from the initial transaction price because they relate to a license of intellectual property and are subject to the royalty constraint.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revenue as the combined performance obligation is satisfied over time using an output method. Significant management judgment is required to determine the level of effort attributable to the performance obligation included in the AffaMed Agreement and the period over which we expect to complete our performance obligation under the arrangement. The performance period or measure of progress was estimated at the inception of the arrangement and is re-evaluated in subsequent reporting periods. This re-evaluation may shorten or lengthen the period over which we recognize revenue.</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2024 and March 31, 2024, we had short-term deferred revenue of $1.0 million and $0.8 million, respectively, and long-term deferred revenue of $1.1 million and $1.4 million, respectively, related to the AffaMed Agreement. During the three months ended June 30, 2024, and 2023 we recognized revenue of $0.1 million and $0.2 million, respectively, under the AffaMed Agreement, which was included in the deferred revenue balance at the beginning of each period. The remaining deferred revenue under the AffaMed Agreement will be recognized over the expected remaining contractual term.</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AffaMed Agreement will expire on a jurisdiction-by-jurisdiction basis upon the latest to occur of expiration of the last valid claim under a licensed patent of fasedienol in such jurisdiction, the expiration of regulatory exclusivity in such jurisdiction or ten years after the first commercial sale of fasedienol in such jurisdiction.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Fuji Pharma Agreement</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September 1, 2023, we entered into an Exclusive Negotiation Agreement (the </w:t>
      </w:r>
      <w:r>
        <w:rPr>
          <w:rFonts w:ascii="Times New Roman" w:cs="Times New Roman" w:eastAsia="Times New Roman" w:hAnsi="Times New Roman"/>
          <w:sz w:val="18"/>
          <w:szCs w:val="18"/>
          <w:i w:val="1"/>
          <w:iCs w:val="1"/>
          <w:color w:val="auto"/>
        </w:rPr>
        <w:t>Negotiation Agreement</w:t>
      </w:r>
      <w:r>
        <w:rPr>
          <w:rFonts w:ascii="Times New Roman" w:cs="Times New Roman" w:eastAsia="Times New Roman" w:hAnsi="Times New Roman"/>
          <w:sz w:val="18"/>
          <w:szCs w:val="18"/>
          <w:color w:val="auto"/>
        </w:rPr>
        <w:t>) with Fuji Pharma Co., Ltd. (</w:t>
      </w:r>
      <w:r>
        <w:rPr>
          <w:rFonts w:ascii="Times New Roman" w:cs="Times New Roman" w:eastAsia="Times New Roman" w:hAnsi="Times New Roman"/>
          <w:sz w:val="18"/>
          <w:szCs w:val="18"/>
          <w:i w:val="1"/>
          <w:iCs w:val="1"/>
          <w:color w:val="auto"/>
        </w:rPr>
        <w:t>Fuji Pharma</w:t>
      </w:r>
      <w:r>
        <w:rPr>
          <w:rFonts w:ascii="Times New Roman" w:cs="Times New Roman" w:eastAsia="Times New Roman" w:hAnsi="Times New Roman"/>
          <w:sz w:val="18"/>
          <w:szCs w:val="18"/>
          <w:color w:val="auto"/>
        </w:rPr>
        <w:t xml:space="preserve">), a Tokyo Stock Exchange-listed, Japan-based pharmaceutical company. Pursuant to the terms and conditions of the Negotiation Agreement, we agreed, for a limited period of time, to negotiate exclusively with Fuji Pharma for a potential exclusive license agreement to develop and commercialize our PH80 product candidate in Japan (the </w:t>
      </w:r>
      <w:r>
        <w:rPr>
          <w:rFonts w:ascii="Times New Roman" w:cs="Times New Roman" w:eastAsia="Times New Roman" w:hAnsi="Times New Roman"/>
          <w:sz w:val="18"/>
          <w:szCs w:val="18"/>
          <w:i w:val="1"/>
          <w:iCs w:val="1"/>
          <w:color w:val="auto"/>
        </w:rPr>
        <w:t>Potential Definitive Agreement</w:t>
      </w:r>
      <w:r>
        <w:rPr>
          <w:rFonts w:ascii="Times New Roman" w:cs="Times New Roman" w:eastAsia="Times New Roman" w:hAnsi="Times New Roman"/>
          <w:sz w:val="18"/>
          <w:szCs w:val="18"/>
          <w:color w:val="auto"/>
        </w:rPr>
        <w:t xml:space="preserve">). The Negotiation Agreement provides for an exclusive negotiation period beginning on the date of formal written notice being received by Fuji Pharma that we have selected a contract development and manufacturing organization to conduct preclinical toxicology studies for the product candidate (the </w:t>
      </w:r>
      <w:r>
        <w:rPr>
          <w:rFonts w:ascii="Times New Roman" w:cs="Times New Roman" w:eastAsia="Times New Roman" w:hAnsi="Times New Roman"/>
          <w:sz w:val="18"/>
          <w:szCs w:val="18"/>
          <w:i w:val="1"/>
          <w:iCs w:val="1"/>
          <w:color w:val="auto"/>
        </w:rPr>
        <w:t>Payment Event</w:t>
      </w:r>
      <w:r>
        <w:rPr>
          <w:rFonts w:ascii="Times New Roman" w:cs="Times New Roman" w:eastAsia="Times New Roman" w:hAnsi="Times New Roman"/>
          <w:sz w:val="18"/>
          <w:szCs w:val="18"/>
          <w:color w:val="auto"/>
        </w:rPr>
        <w:t>), and terminating on the later to occur of (i) fourteen (14) months from the date of the Payment Event or (ii) ninety (90) days from the date that the U.S. Food and Drug Administration accepts an Investigational New Drug application for PH80 for the treatment of vasomotor symptoms (hot flashes) due to menopause (</w:t>
      </w:r>
      <w:r>
        <w:rPr>
          <w:rFonts w:ascii="Times New Roman" w:cs="Times New Roman" w:eastAsia="Times New Roman" w:hAnsi="Times New Roman"/>
          <w:sz w:val="18"/>
          <w:szCs w:val="18"/>
          <w:i w:val="1"/>
          <w:iCs w:val="1"/>
          <w:color w:val="auto"/>
        </w:rPr>
        <w:t>Exclusive Negotiation Period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consideration for the Exclusive Negotiation Period, Fuji Pharma agreed to make a payment to us of $1.5 million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payable upon occurrence of the Payment Event. The Payment Event occurred in October 2023, and we received payment of the Purchase Price in full in November 2023. The Purchase Price is non-refundable, except upon a material breach of the Negotiation Agreement by the Company; however, should the Company and Fuji Pharma enter into the Potential Definitive Agreement, the Purchase Price will be creditable against any upfront fee due in connection with the execution of such agreement. Neither the Company nor Fuji Pharma is obligated to enter into the Potential Definitive Agreement, and if the Company and Fuji Pharma have not entered into the Potential Definitive Agreement on or before the end of the Exclusive Negotiation Period, either the Company or Fuji Pharma may terminate any further negotiations.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2024, the entire amount remaining unrecognized under the Negotiation Agreement, of $1.3 million, was classified as short term, as a component of deferred revenue, current portion, on the condensed consolidated balance sheets. During the three months ended June 30, 2024, we recognized no revenue under the Negotiation Agreement. The remaining deferred revenue under the Negotiation Agreement will be recognized upon termination of the Exclusive Negotiation Period, which is currently expected in April 2025, or accounted for as a creditable prepayment under ASC 606, should an exclusive license agreement be reached with Fuji Pharma prior to the date of termination.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2023, in connection with his retirement, we entered into a consulting agreement with our former Chief Financial Officer, Jerrold D. Dotson, to assist in transition matters related to the employment of our new Chief Financial Officer. Pursuant to the agreement, Mr. Dotson received an initial payment of $100,000 and $10,000 per month from September 2023 through August 2024. During the three months ended June 30, 2024, we recorded expense of $30,000 under the agreement.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2022, we entered into a consulting agreement with FitzPatrick Co. LLC, a consulting firm for which Margaret FitzPatrick, a non-affiliate independent member of our Board of Directors and Chair of the Board, is Managing Director, to provide corporate development and public relations advisory services. The consulting agreement, as amended, was set to expire on December 31, 2023. However, the Company and FitzPatrick Co. LLC mutually agreed to conclude the term of the agreement effective October 1, 2023, as all matters set forth in the statement of work were completed as of that date. We recorded expense of $30,000 for the three months ended June 30, 2023.</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2022, Ann Cunningham resigned as our Chief Commercial Officer to serve full-time as Managing Partner of i3 Strategy Partners, a pharmaceutical consulting firm founded by Ms. Cunningham. i3 Strategy Partners began providing commercial planning advisory services to us pursuant to a consulting agreement, dated November 2022. The initial term of the consulting agreement expired on March 31, 2024. During the three months ended June 30, 2024, we recorded expense under the consulting agreement of $0, as compared to $35,000 for the three months ended June 30, 2023. Ms. Cunningham remains a member of our Board of Directors.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 party to litigation, arbitration or other legal proceedings in the course of our business. The outcome of any such legal proceedings, regardless of the merits, is inherently uncertain. In addition, litigation and related matters are costly and may divert the attention of our management and other resources that would otherwise be engaged in other activities. If we were unable to prevail in any such legal proceedings, our business, results of operations, liquidity, and financial condition could be adversely affected.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(Report) includes forward-looking statements. All statements contained in this Report other than statements of historical fact, including statements regarding our future outcomes and results of operations and financial position, our business strategy and plans, and our objectives for future operations, are forward-looking statements. The words “believe,” “may,”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our research and development efforts, the results of nonclinical and clinical testing, the effect of regulation by the U.S. Food and Drug Administration (the FDA) and other domestic and foreign regulatory agencies, our ability to obtain, maintain and enforce patents on our products once approved for marketing, the impact of competitive products, product development, commercialization potential and technological difficulties, the effect of our accounting policies, and other risks as detailed in the section entitled “Risk Factors” in this Report. Further, even if our product candidates appear promising at various stages of development, our share price may decrease such that we are unable to raise additional capital without significant dilution or other terms that may be unacceptable to our management and Board or disadvantageous to our stockholders.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Moreover, the biopharmaceutical industry in which we operate is a very competitive and rapidly changing environment. New challenges and risks emerge frequently. It is not possible for our management or Board to predict all challenges and risks, nor can we assess the impact of all factors on our business or the extent to which any factor, or combination of factors, may cause actual results to differ materially from those contained in any forward-looking statements we may make in this Report or otherwise.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Accordingly, you should not rely upon forward-looking statements in this Report as predictions of future events. The events and circumstances reflected in the forward-looking statements in this Report may not be achieved or occur. Although we believe that the expectations reflected in the forward-looking statements in this Report are reasonable as of the date of this Report,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a late clinical-stage neuroscience-focused biopharmaceutical company dedicated to developing and commercializing groundbreaking therapies for psychiatric and neurological disorders based on our deep understanding of nose-to-brain neurocircuitry. Our neuroscience pipeline consists of multiple intranasal product candidates from a new class of potential non-systemic, neurocircuitry-focused therapies called pherines. Designed exclusively as nasal sprays, each of our pherine product candidates is centered on our pioneering approach to addressing psychiatric and neurological disorders with the nose as a portal for the administration of novel neuroactive therapies. Unlike oral therapies requiring systemic absorption, the proposed mechanisms of action (</w:t>
      </w:r>
      <w:r>
        <w:rPr>
          <w:rFonts w:ascii="Times New Roman" w:cs="Times New Roman" w:eastAsia="Times New Roman" w:hAnsi="Times New Roman"/>
          <w:sz w:val="18"/>
          <w:szCs w:val="18"/>
          <w:i w:val="1"/>
          <w:iCs w:val="1"/>
          <w:color w:val="auto"/>
        </w:rPr>
        <w:t>MOAs</w:t>
      </w:r>
      <w:r>
        <w:rPr>
          <w:rFonts w:ascii="Times New Roman" w:cs="Times New Roman" w:eastAsia="Times New Roman" w:hAnsi="Times New Roman"/>
          <w:sz w:val="18"/>
          <w:szCs w:val="18"/>
          <w:color w:val="auto"/>
        </w:rPr>
        <w:t>) of our pherine candidates do not require systemic absorption or binding to neurons in the brain. In contrast to oral systemic therapies, microgram-level doses of our pherine nasal sprays rapidly activate peripheral chemosensory neurons in the nasal cavity to impact fundamental neurocircuitry in the olfactory system and the brain to achieve desired therapeutic effects through nose-to-brain neural connections. As a result of their novel non-systemic MOAs, we believe our pherine drug candidates have favorable and differentiated safety profiles, and have been observed to be well-tolerated in all clinical studies completed to date. Our goal is to develop and commercialize a broad and diverse pipeline of innovative neurocircuitry-focused pherine therapies for multiple highly prevalent neuroscience indications with limited or inadequate current treatment options to meet the needs of millions of underserved patients. Our lead clinical-stage neuroscience programs are focused on social anxiety disorder, major depressive disorder, and vasomotor symptoms (hot flashes) associated with menopause.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Lead Clinical-Stage Neuroscience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Anxiety Disorder</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Social anxiety disorder (</w:t>
      </w:r>
      <w:r>
        <w:rPr>
          <w:rFonts w:ascii="Times New Roman" w:cs="Times New Roman" w:eastAsia="Times New Roman" w:hAnsi="Times New Roman"/>
          <w:sz w:val="18"/>
          <w:szCs w:val="18"/>
          <w:i w:val="1"/>
          <w:iCs w:val="1"/>
          <w:color w:val="auto"/>
        </w:rPr>
        <w:t>SAD</w:t>
      </w:r>
      <w:r>
        <w:rPr>
          <w:rFonts w:ascii="Times New Roman" w:cs="Times New Roman" w:eastAsia="Times New Roman" w:hAnsi="Times New Roman"/>
          <w:sz w:val="18"/>
          <w:szCs w:val="18"/>
          <w:color w:val="auto"/>
        </w:rPr>
        <w:t xml:space="preserve">) is a highly prevalent serious and life-threatening psychiatric mental health disorder affecting approximately 12% of adults in the U.S. SAD often begins early in life, usually during adolescence </w:t>
      </w:r>
      <w:r>
        <w:rPr>
          <w:rFonts w:ascii="Times New Roman" w:cs="Times New Roman" w:eastAsia="Times New Roman" w:hAnsi="Times New Roman"/>
          <w:sz w:val="18"/>
          <w:szCs w:val="18"/>
          <w:color w:val="212121"/>
        </w:rPr>
        <w:t>and persists for many years thereafter, with a</w:t>
      </w:r>
      <w:r>
        <w:rPr>
          <w:rFonts w:ascii="Times New Roman" w:cs="Times New Roman" w:eastAsia="Times New Roman" w:hAnsi="Times New Roman"/>
          <w:sz w:val="18"/>
          <w:szCs w:val="18"/>
          <w:color w:val="auto"/>
        </w:rPr>
        <w:t xml:space="preserve"> reported mean duration of about 20 years. Although a long-term disorder often arising during adolescence, SAD presents acutely </w:t>
      </w:r>
      <w:r>
        <w:rPr>
          <w:rFonts w:ascii="Times New Roman" w:cs="Times New Roman" w:eastAsia="Times New Roman" w:hAnsi="Times New Roman"/>
          <w:sz w:val="18"/>
          <w:szCs w:val="18"/>
          <w:color w:val="212121"/>
        </w:rPr>
        <w:t>when triggered by fear and anxiety of social and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stressors in everyday life. </w:t>
      </w:r>
      <w:r>
        <w:rPr>
          <w:rFonts w:ascii="Times New Roman" w:cs="Times New Roman" w:eastAsia="Times New Roman" w:hAnsi="Times New Roman"/>
          <w:sz w:val="18"/>
          <w:szCs w:val="18"/>
          <w:color w:val="000000"/>
        </w:rPr>
        <w:t>When individuals are affected acutely by SAD in what most others consider non-threatening social and performance situations in</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everyday life, they experience extreme distress, fear, and impairment. People with SAD fear and are anxious about being embarrassed, judged, humiliated, negatively evaluated, and scrutinized by others. The disorder can disrupt family and social life, reduce self-esteem, and limit work efficiency. People with SAD may have few or no social or romantic relationships, making them feel powerless and ashamed. Their significant anxiety and distress often lead to avoidance of everyday social interactions and academic and vocational opportunities, resulting in loneliness, lack of personal and professional achievements and relationships, as well as economic hardships that potentially diminish a wide range of important aspects of a SAD patient’s daily life and add to societal burden. SAD has a lifetime comorbidity rate of approximately 81% with other serious psychiatric disorders. The pervasive effects of SAD often lead to depression and a sense of hopelessness, escalating what is sometimes perceived as extreme shyness to a life-altering mental illness. Those with SAD are at an increased risk of serious and life-threatening co-morbid depression, alcohol and substance abuse, suicidal ideation and suicide.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Acute Treatment of Social Anxiety Disorder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FDA-approved pharmacological therapy for the acute treatment of SAD.</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three FDA-approved pharmacological therapies for SAD (two selective serotonin reuptake inhibitors (</w:t>
      </w:r>
      <w:r>
        <w:rPr>
          <w:rFonts w:ascii="Times New Roman" w:cs="Times New Roman" w:eastAsia="Times New Roman" w:hAnsi="Times New Roman"/>
          <w:sz w:val="18"/>
          <w:szCs w:val="18"/>
          <w:i w:val="1"/>
          <w:iCs w:val="1"/>
          <w:color w:val="auto"/>
        </w:rPr>
        <w:t>SSRIs</w:t>
      </w:r>
      <w:r>
        <w:rPr>
          <w:rFonts w:ascii="Times New Roman" w:cs="Times New Roman" w:eastAsia="Times New Roman" w:hAnsi="Times New Roman"/>
          <w:sz w:val="18"/>
          <w:szCs w:val="18"/>
          <w:color w:val="auto"/>
        </w:rPr>
        <w:t>), sertraline and paroxetine, and the serotonin and norepinephrine reuptake inhibitor (</w:t>
      </w:r>
      <w:r>
        <w:rPr>
          <w:rFonts w:ascii="Times New Roman" w:cs="Times New Roman" w:eastAsia="Times New Roman" w:hAnsi="Times New Roman"/>
          <w:sz w:val="18"/>
          <w:szCs w:val="18"/>
          <w:i w:val="1"/>
          <w:iCs w:val="1"/>
          <w:color w:val="auto"/>
        </w:rPr>
        <w:t>SNRI</w:t>
      </w:r>
      <w:r>
        <w:rPr>
          <w:rFonts w:ascii="Times New Roman" w:cs="Times New Roman" w:eastAsia="Times New Roman" w:hAnsi="Times New Roman"/>
          <w:sz w:val="18"/>
          <w:szCs w:val="18"/>
          <w:color w:val="auto"/>
        </w:rPr>
        <w:t>)), venlafaxine, have not been evaluated in controlled Phase 3 studies for the acute treatment of SAD, are not indicated for the acute treatment of SAD, and do not have a MOA conducive to producing a rapid-onset therapeutic benefit in an acute anxiety-provoking situation. Rather, the three FDA-approved treatments usually take several weeks following the start of daily systemic oral dosing to begin to produce a potential therapeutic benefit. Each treatment requires systemic uptake and long-term daily maintenance dosing, associated with well-documented unwanted side effects, such as gastrointestinal symptoms, agitation, sedation, sleep disturbances, weight changes, and sexual dysfunction, regardless of whether the SAD patient actually experiences social anxiety on a given day or is asymptomatic as to their SAD on that day and not in need of anti-anxiety medication.</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FDA-approved pharmacological therapies that may be prescribed off-label for the acute treatment of SAD, including, beta blockers, tricyclic antidepressants, monoamine oxidase inhibitors (</w:t>
      </w:r>
      <w:r>
        <w:rPr>
          <w:rFonts w:ascii="Times New Roman" w:cs="Times New Roman" w:eastAsia="Times New Roman" w:hAnsi="Times New Roman"/>
          <w:sz w:val="18"/>
          <w:szCs w:val="18"/>
          <w:i w:val="1"/>
          <w:iCs w:val="1"/>
          <w:color w:val="auto"/>
        </w:rPr>
        <w:t>MAOIs</w:t>
      </w:r>
      <w:r>
        <w:rPr>
          <w:rFonts w:ascii="Times New Roman" w:cs="Times New Roman" w:eastAsia="Times New Roman" w:hAnsi="Times New Roman"/>
          <w:sz w:val="18"/>
          <w:szCs w:val="18"/>
          <w:color w:val="auto"/>
        </w:rPr>
        <w:t>), benzodiazepines, and modulators of GABAergic neurotransmission, require systemic uptake, and consequently, the potential neuropsychiatric and other safety risks related to systemic MOAs. Beta blockers can cause bradycardia, exacerbation of cardiac and/or pulmonary conditions, sleep disorder, dizziness, gastrointestinal symptoms, and fatigue. Tricyclic antidepressants commonly cause cardiac effects, anticholinergic effects, decreased seizure threshold, and can be life-threatening in overdose. MAOIs have severe drug-drug interactions that can cause serotonin syndrome and hypertensive crisis. As was well-documented by the FDA in its September 2020 Drug Safety Communication, the use of benzodiazepines is associated with considerable risk of abuse, misuse (including overdose), addiction, physical dependence, withdrawal effects, and mortality. The societal cost of benzodiazepine use is also high, given the need to treat the misuse and dependence problems, as well as serious complications related to withdrawal. Overall, significant limitations to the recurring acute treatment with these medication classes, each requiring systemic uptake, include numerous side effects, increased risk of mortality with overdose, potential drug-drug interactions, risks of misuse and dependence, and cognitive impairment. SAD patients may experience multiple distinct acute anxiety-provoking social or performance situations at different times during a single day. In those instances, there would be considerable safety concerns for SAD patients from repeated same-day acute use of these off-label pharmacological therapies.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Fasedienol for the Acute Treatment of Social Anxiety Disorder</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Fasedienol is a synthetic investigational neuroactive pherine nasal spray from the androstane family currently in Phase 3 clinical development for the acute treatment of SAD. The proposed MOA of fasedienol is fundamentally differentiated from all currently approved anti-anxiety medications. When administered intranasally in microgram-level doses, odorless and tasteless fasedienol activates receptors of peripheral nasal chemosensory neurons connected to subsets of neurons in the olfactory bulbs that, in turn, connect to neurons in the limbic amygdala involved in the pathophysiology of SAD, and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potentially other acute anxiety and mood disorders. Fasedienol is pharmacologically active without requiring apparent systemic absorption or direct binding on neurons in the brain to achieve its rapid-onset and short-duration anxiolytic effects. Fasedienol does not exert effects on certain cellular receptors that are associated with known drug abuse liability potential (for example, dopamine and opiate receptors) when activated by certain other pharmaceutical compounds for neuropsychiatric and neurological disorders. Fasedienol also does not modulate GABA-A receptors. Because of its innovative non-systemic neurocircuitry-focused MOA, we believe fasedienol has the potential to achieve these rapid-onset anxiolytic effects on an as-needed basis rather than chronic daily dosing, and with a significantly reduced risk of unwanted side effects and safety concerns, such as potential drug-drug interactions, abuse, misuse, and addiction, associated with current oral and certain other systemically absorbed neuropsychiatric pharmaceuticals that act directly on neurons in the brain and are sometimes prescribed for acute treatment of SAD.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Fasedienol PALISADE Phase 3 Program for the Acute Treatment of Social Anxiety Disorder</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fasedienol allows individuals affected by SAD to engage in stressful or previously avoided social or performance situations with fewer or less severe symptoms. Because of its rapid-onset non-systemic proposed MOA and pharmacological effect, a key and substantial difference between fasedienol and each of the three oral antidepressants approved by the FDA for the treatment of SAD is that fasedienol is being developed for the acute treatment of SAD. Acute treatment with fasedienol has the potential to reduce the wave of anxiety usually experienced by SAD patients before engaging in or during a feared social or performance situation.</w:t>
      </w:r>
    </w:p>
    <w:p>
      <w:pPr>
        <w:spacing w:after="0" w:line="1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aligned with the FDA that a clinic-based public speaking challenge and the Subjective Units of Distress Scale (</w:t>
      </w:r>
      <w:r>
        <w:rPr>
          <w:rFonts w:ascii="Times New Roman" w:cs="Times New Roman" w:eastAsia="Times New Roman" w:hAnsi="Times New Roman"/>
          <w:sz w:val="18"/>
          <w:szCs w:val="18"/>
          <w:i w:val="1"/>
          <w:iCs w:val="1"/>
          <w:color w:val="auto"/>
        </w:rPr>
        <w:t>SUDS</w:t>
      </w:r>
      <w:r>
        <w:rPr>
          <w:rFonts w:ascii="Times New Roman" w:cs="Times New Roman" w:eastAsia="Times New Roman" w:hAnsi="Times New Roman"/>
          <w:sz w:val="18"/>
          <w:szCs w:val="18"/>
          <w:color w:val="auto"/>
        </w:rPr>
        <w:t>) are the appropriate study design and primary efficacy endpoint, respectively, to measure anxiety immediately related to the specific stressor, and is the most appropriate and efficient path for our registration-directed PALISADE Phase 3 Program, which is focused on fasedienol’s potential to become the first FDA-approved acute treatment of SAD. Accordingly, the Phase 3 clinical trials in our PALISADE Phase 3 Program are randomized, double-blind, placebo-controlled, multi-center clinical trials designed to evaluate the efficacy, safety, and tolerability of a single dose of fasedienol to relieve anxiety symptoms in adult patients with SAD during a simulated, anxiety-provoking public speaking challenge conducted in a clinical setting, as measured using the patient-reported SUDS as the primary efficacy endpoint. Two of the Phase 3 trials in our PALISADE Phase 3 Program were previously concluded; PALISADE-1, concluded in 2022 and did not meet its primary endpoint, and PALISADE-2, concluded in 2023 and successfully met its primary endpoint, and as further described below, two Phase 3 trials, PALISADE-3 and PALISADE-4, are ongoing or will be initiated in 2024. Our PALISADE Phase 3 Program also includes open-label extension safety studies, a small Phase 2 repeat dose study (</w:t>
      </w:r>
      <w:r>
        <w:rPr>
          <w:rFonts w:ascii="Times New Roman" w:cs="Times New Roman" w:eastAsia="Times New Roman" w:hAnsi="Times New Roman"/>
          <w:sz w:val="18"/>
          <w:szCs w:val="18"/>
          <w:i w:val="1"/>
          <w:iCs w:val="1"/>
          <w:color w:val="auto"/>
        </w:rPr>
        <w:t>Repeat Dose Study</w:t>
      </w:r>
      <w:r>
        <w:rPr>
          <w:rFonts w:ascii="Times New Roman" w:cs="Times New Roman" w:eastAsia="Times New Roman" w:hAnsi="Times New Roman"/>
          <w:sz w:val="18"/>
          <w:szCs w:val="18"/>
          <w:color w:val="auto"/>
        </w:rPr>
        <w:t>), certain standard preclinical studies, and a small human factor study.</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early August 2023, we received and reported positive topline results from our PALISADE-2 Phase 3 trial of fasedienol for the acute treatment of SAD. Our PALISADE-2 Phase 3 trial met its primary efficacy endpoint, which was the difference in mean SUDS scores during the public speaking challenge at baseline (Visit 2) and treatment (Visit 3) for subjects treated with fasedienol versus placebo at Visit 3. Fasedienol-treated patients demonstrated a greater mean change from baseline (least-squares (LS) mean = -13.8) compared to placebo (LS mean = -8.0), for a statistically significant, and we believe clinically relevant, difference between groups of -5.8 (p=0.015). The trial also met its secondary endpoint, demonstrating a statistically significant difference in the proportion of clinician-assessed responders between fasedienol and placebo as measured by the Clinical Global Impressions – Improvement (</w:t>
      </w:r>
      <w:r>
        <w:rPr>
          <w:rFonts w:ascii="Times New Roman" w:cs="Times New Roman" w:eastAsia="Times New Roman" w:hAnsi="Times New Roman"/>
          <w:sz w:val="18"/>
          <w:szCs w:val="18"/>
          <w:i w:val="1"/>
          <w:iCs w:val="1"/>
          <w:color w:val="auto"/>
        </w:rPr>
        <w:t>CGI-I</w:t>
      </w:r>
      <w:r>
        <w:rPr>
          <w:rFonts w:ascii="Times New Roman" w:cs="Times New Roman" w:eastAsia="Times New Roman" w:hAnsi="Times New Roman"/>
          <w:sz w:val="18"/>
          <w:szCs w:val="18"/>
          <w:color w:val="auto"/>
        </w:rPr>
        <w:t>) scale. Responders were identified as those who were rated ‘very much less anxious’ or ‘much less anxious’ and 37.7% of fasedienol-treated patients were rated as responders, as compared to 21.4% of those treated with placebo (p=0.033). The trial also met an important exploratory patient-reported endpoint focused on the difference in the proportion of patient-assessed responders between fasedienol and placebo as measured by the Patient’s Global Impression of Change (</w:t>
      </w:r>
      <w:r>
        <w:rPr>
          <w:rFonts w:ascii="Times New Roman" w:cs="Times New Roman" w:eastAsia="Times New Roman" w:hAnsi="Times New Roman"/>
          <w:sz w:val="18"/>
          <w:szCs w:val="18"/>
          <w:i w:val="1"/>
          <w:iCs w:val="1"/>
          <w:color w:val="auto"/>
        </w:rPr>
        <w:t>PGI-C</w:t>
      </w:r>
      <w:r>
        <w:rPr>
          <w:rFonts w:ascii="Times New Roman" w:cs="Times New Roman" w:eastAsia="Times New Roman" w:hAnsi="Times New Roman"/>
          <w:sz w:val="18"/>
          <w:szCs w:val="18"/>
          <w:color w:val="auto"/>
        </w:rPr>
        <w:t>) scale. Responders were identified as those who self-rated ‘very much less anxious’ or ‘much less anxious’ and 40.6% of fasedienol-treated patients were rated as responders, as compared to 18.6% of those treated with placebo (p=0.003). Our PALISADE-2 trial also met an additional exploratory endpoint, the difference in the proportion of patients in each treatment group with a 20-point or greater improvement in patient-assessed SUDS score from baseline (Visit 2) to treatment (Visit 3). Of the fasedienol-treated patients, 35.7% demonstrated this statistically significant and clinically meaningful improvement in SUDS score, as compared to 18.6% in the placebo-treated group (p=0.020). Fasedienol was observed to be well-tolerated with no serious adverse events (</w:t>
      </w:r>
      <w:r>
        <w:rPr>
          <w:rFonts w:ascii="Times New Roman" w:cs="Times New Roman" w:eastAsia="Times New Roman" w:hAnsi="Times New Roman"/>
          <w:sz w:val="18"/>
          <w:szCs w:val="18"/>
          <w:i w:val="1"/>
          <w:iCs w:val="1"/>
          <w:color w:val="auto"/>
        </w:rPr>
        <w:t>SAEs</w:t>
      </w:r>
      <w:r>
        <w:rPr>
          <w:rFonts w:ascii="Times New Roman" w:cs="Times New Roman" w:eastAsia="Times New Roman" w:hAnsi="Times New Roman"/>
          <w:sz w:val="18"/>
          <w:szCs w:val="18"/>
          <w:color w:val="auto"/>
        </w:rPr>
        <w:t>), and the treatment-emergent adverse event (</w:t>
      </w:r>
      <w:r>
        <w:rPr>
          <w:rFonts w:ascii="Times New Roman" w:cs="Times New Roman" w:eastAsia="Times New Roman" w:hAnsi="Times New Roman"/>
          <w:sz w:val="18"/>
          <w:szCs w:val="18"/>
          <w:i w:val="1"/>
          <w:iCs w:val="1"/>
          <w:color w:val="auto"/>
        </w:rPr>
        <w:t>TEAE</w:t>
      </w:r>
      <w:r>
        <w:rPr>
          <w:rFonts w:ascii="Times New Roman" w:cs="Times New Roman" w:eastAsia="Times New Roman" w:hAnsi="Times New Roman"/>
          <w:sz w:val="18"/>
          <w:szCs w:val="18"/>
          <w:color w:val="auto"/>
        </w:rPr>
        <w:t>) profiles were comparable between fasedienol and placebo. Overall, no TEAEs, except for pyrexia in the placebo group (2.49%), was more prevalent than 2.0%.</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complement our successful PALISADE-2 Phase 3 trial, we launched our PALISADE-3 Phase 3 trial at the end of March 2024 and we are on track to launch our PALISADE-4 Phase 3 trial in the second half of 2024. Like PALISADE-2 and PALISADE-3, PALISADE-4 will be, a multi-center, randomized, double-blind, placebo-controlled study designed to evaluate the efficacy, safety, and tolerability of the acute administration of fasedienol to relieve anxiety symptoms in adult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patients with SAD after a single dose of fasedienol during a simulated, anxiety-provoking public speaking challenge conducted in a clinical setting, as measured using the patient-reported SUDS as the primary efficacy endpoint. In addition, both PALISADE-3 and PALISADE-4 will have an open-label extension for a period of up to 12 months. We are also planning to initiate the Repeat Dose Study in the second half of 2024. This study will be a small multi-center, randomized, double-blind, placebo-controlled, three-arm Phase 2 clinical trial designed to evaluate repeated dosing (up to two doses within ten minutes) of fasedienol in adult patients with SAD during a single, simulated, anxiety-provoking public speaking challenge in a clinical setting. The Repeat Dose Study will also have an open-label extension for a period of up to 12 months.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either PALISADE-3 or PALISADE-4, if successful, together with PALISADE-2, may establish substantial evidence of the effectiveness of fasedienol in support of a potential fasedienol New Drug Application (</w:t>
      </w:r>
      <w:r>
        <w:rPr>
          <w:rFonts w:ascii="Times New Roman" w:cs="Times New Roman" w:eastAsia="Times New Roman" w:hAnsi="Times New Roman"/>
          <w:sz w:val="18"/>
          <w:szCs w:val="18"/>
          <w:i w:val="1"/>
          <w:iCs w:val="1"/>
          <w:color w:val="auto"/>
        </w:rPr>
        <w:t>NDA</w:t>
      </w:r>
      <w:r>
        <w:rPr>
          <w:rFonts w:ascii="Times New Roman" w:cs="Times New Roman" w:eastAsia="Times New Roman" w:hAnsi="Times New Roman"/>
          <w:sz w:val="18"/>
          <w:szCs w:val="18"/>
          <w:color w:val="auto"/>
        </w:rPr>
        <w:t>) submission to the FDA for the acute treatment of SAD. The FDA has designated fasedienol as a Fast Track product candidate.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has granted Fast Track designation for the investigation of fasedienol for the acute treatment of SAD.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Depressive Disorder (MDD)</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Depression is a serious medical illness and a global public health concern that can occur at any time during a person's life. According to the World Health Organization (</w:t>
      </w:r>
      <w:r>
        <w:rPr>
          <w:rFonts w:ascii="Times New Roman" w:cs="Times New Roman" w:eastAsia="Times New Roman" w:hAnsi="Times New Roman"/>
          <w:sz w:val="18"/>
          <w:szCs w:val="18"/>
          <w:i w:val="1"/>
          <w:iCs w:val="1"/>
          <w:color w:val="auto"/>
        </w:rPr>
        <w:t>WHO</w:t>
      </w:r>
      <w:r>
        <w:rPr>
          <w:rFonts w:ascii="Times New Roman" w:cs="Times New Roman" w:eastAsia="Times New Roman" w:hAnsi="Times New Roman"/>
          <w:sz w:val="18"/>
          <w:szCs w:val="18"/>
          <w:color w:val="auto"/>
        </w:rPr>
        <w:t>), depression is the leading cause of disability worldwide, affecting over 250 million people. Statistics reported by the U.S. National Institute of Mental Health (</w:t>
      </w:r>
      <w:r>
        <w:rPr>
          <w:rFonts w:ascii="Times New Roman" w:cs="Times New Roman" w:eastAsia="Times New Roman" w:hAnsi="Times New Roman"/>
          <w:sz w:val="18"/>
          <w:szCs w:val="18"/>
          <w:i w:val="1"/>
          <w:iCs w:val="1"/>
          <w:color w:val="auto"/>
        </w:rPr>
        <w:t>NIMH</w:t>
      </w:r>
      <w:r>
        <w:rPr>
          <w:rFonts w:ascii="Times New Roman" w:cs="Times New Roman" w:eastAsia="Times New Roman" w:hAnsi="Times New Roman"/>
          <w:sz w:val="18"/>
          <w:szCs w:val="18"/>
          <w:color w:val="auto"/>
        </w:rPr>
        <w:t>) indicate that approximately 21 million adults in the U.S., or approximately 8.4% of all adults in the U.S., had at least one major depressive episode in 2020. While most people will experience a depressed mood at some point during their lifetime, MDD is different. MDD is the chronic, pervasive feeling of utter unhappiness and suffering, which impairs daily functioning. In typical depressive episodes, an individual experiences depressed mood, loss of interest and enjoyment, and reduced energy leading to diminished activity and impaired daily functioning for at least two weeks and often much longer. Symptoms of MDD also may include diminished pleasure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MDD is the psychiatric diagnosis most commonly associated with suicide.</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many people, depression cannot be controlled for any length of time without treatment. However, approximately two out of every three depression sufferers do not receive adequate therapeutic benefits from their initial treatment with a standard antidepressant, and the likelihood of achieving remission of depressive symptoms declines with each successive treatment attempt. Even after multiple treatment attempts with current antidepressants, approximately one-third of depression sufferers still fail to find an adequately effective therapy.</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Inadequate response to current treatments is among the key reasons MDD is one of the leading public health concerns in the U.S., creating a significant unmet medical need for new agents with fundamentally differentiated MOAs and safety profiles.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Itruvone for the Treatment of MDD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Itruvone is an odorless, tasteless synthetic investigational neuroactive pherine from the pregnane family with a novel, rapid-onset proposed neurocircuitry-focused MOA that is fundamentally differentiated from the MOA of all currently approved treatments for depression disorders. Itruvone is administered intranasally at low microgram-level doses and is designed to engage and activate chemosensory neurons in the nasal cavity, which are connected to neural circuits in the brain that produce antidepressant effects. Specifically, in a manner similar to fasedienol, itruvone’s proposed MOA involves the regulation of the olfactory-to-amygdala neural circuitry, but, unlike fasdienol, itruvone is believed to increase the activity of the limbic-hypothalamic sympathetic nervous system and increase the release of catecholamines. Unlike all currently approved antidepressant therapies, we believe itruvone does not require systemic absorption or binding to neurons in the brain to produce antidepressant effects and achieve those antidepressant effects without the side effects and safety concerns that may be associated with current antidepressant therapies, including, among others, sexual side effects, sedation, weight gain and suicidal ideation.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its potential for rapid-onset activity at a microgram-level dose that we believe does not require systemic absorption and distribution to achieve sustained antidepressant effects, as well as a favorable safety profile observed in all studies completed to date that is differentiated from current pharmacological therapies for depression, we believe itruvone has transformative potential as an innovative stand-alone treatment for MDD and presents potential opportunities for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in multiple additional depression disorders, including postpartum depression, treatment-resistant depression, and suicidal ideation.</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 randomized, double-blind, placebo-controlled parallel design exploratory Phase 2A clinical trial of itruvone in MDD, the results of which were published in the peer-reviewed British Journal of Pharmaceutical and Medical Research, at a 6.4 μg dose administered intranasally twice daily for eight weeks, itruvone significantly reduced depressive symptoms as early as one week based on the 17-item Hamilton Depression Scale (</w:t>
      </w:r>
      <w:r>
        <w:rPr>
          <w:rFonts w:ascii="Times New Roman" w:cs="Times New Roman" w:eastAsia="Times New Roman" w:hAnsi="Times New Roman"/>
          <w:sz w:val="18"/>
          <w:szCs w:val="18"/>
          <w:i w:val="1"/>
          <w:iCs w:val="1"/>
          <w:color w:val="auto"/>
        </w:rPr>
        <w:t>HAM-D-17</w:t>
      </w:r>
      <w:r>
        <w:rPr>
          <w:rFonts w:ascii="Times New Roman" w:cs="Times New Roman" w:eastAsia="Times New Roman" w:hAnsi="Times New Roman"/>
          <w:sz w:val="18"/>
          <w:szCs w:val="18"/>
          <w:color w:val="auto"/>
        </w:rPr>
        <w:t>) scores compared to placebo (p=0.022). Itruvone was well-tolerated and did not cause psychological side effects (such as dissociation or hallucinations), sexual side effects, weight gain, or other safety concerns that may be associated with other approved pharmacological therapies for MDD. The trial was sponsored by Pherin Pharmaceuticals, Inc (</w:t>
      </w:r>
      <w:r>
        <w:rPr>
          <w:rFonts w:ascii="Times New Roman" w:cs="Times New Roman" w:eastAsia="Times New Roman" w:hAnsi="Times New Roman"/>
          <w:sz w:val="18"/>
          <w:szCs w:val="18"/>
          <w:i w:val="1"/>
          <w:iCs w:val="1"/>
          <w:color w:val="auto"/>
        </w:rPr>
        <w:t>Pherin</w:t>
      </w:r>
      <w:r>
        <w:rPr>
          <w:rFonts w:ascii="Times New Roman" w:cs="Times New Roman" w:eastAsia="Times New Roman" w:hAnsi="Times New Roman"/>
          <w:sz w:val="18"/>
          <w:szCs w:val="18"/>
          <w:color w:val="auto"/>
        </w:rPr>
        <w:t>), now our wholly-owned subsidiary, and was conducted in Mexico prior to our acquisition of Pherin in February 2023. Positive data from our recent U.S. Investigational New Drug (</w:t>
      </w:r>
      <w:r>
        <w:rPr>
          <w:rFonts w:ascii="Times New Roman" w:cs="Times New Roman" w:eastAsia="Times New Roman" w:hAnsi="Times New Roman"/>
          <w:sz w:val="18"/>
          <w:szCs w:val="18"/>
          <w:i w:val="1"/>
          <w:iCs w:val="1"/>
          <w:color w:val="auto"/>
        </w:rPr>
        <w:t>IND</w:t>
      </w:r>
      <w:r>
        <w:rPr>
          <w:rFonts w:ascii="Times New Roman" w:cs="Times New Roman" w:eastAsia="Times New Roman" w:hAnsi="Times New Roman"/>
          <w:sz w:val="18"/>
          <w:szCs w:val="18"/>
          <w:color w:val="auto"/>
        </w:rPr>
        <w:t>) enabling Phase 1 trial of itruvone demonstrated that there were no reported treatment-related SAEs or discontinuations due to adverse events in the trial. Overall, itruvone was well-tolerated and continued to demonstrate the favorable safety profile seen in all clinical trials to date. As a result, building on the positive results from Phase 2A development of itruvone in MDD, we are currently preparing and planning for U.S. Phase 2B clinical development of itruvone under our U.S. IND as a novel, non-systemic stand-alone treatment for MDD.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FDA has granted Fast Track designation for the investigation of itruvone for the treatment of MDD.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Vasomotor Symptoms (Hot Flashes) due to Menopause</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Vasomotor symptoms are sudden feelings of warmth in the face, neck, and chest, or sudden intense feelings of heat and sweating (hot flashes) commonly experienced by women in menopause. Presentation of hot flashes is directly linked to changes in hormone levels due to menopause, or menopause induced by other medical treatments or co-existing conditions, and the causal mechanism is unclear. Hot flashes are the most common symptom of the menopausal transition, affecting about 75% of menopausal women and about 40% of women in perimenopause. Prevalence of hot flashes is estimated to be about 20 million women in the U.S. with nine million women estimated to be suffering from severe hot flashes. Current pharmacotherapies to treat hot flashes include hormonal therapy (estrogen with or without progesterone, or a synthetic progestin), gabapentins, certain antidepressants, clonidine, and fezolinetant, a neurokinin 3 (</w:t>
      </w:r>
      <w:r>
        <w:rPr>
          <w:rFonts w:ascii="Times New Roman" w:cs="Times New Roman" w:eastAsia="Times New Roman" w:hAnsi="Times New Roman"/>
          <w:sz w:val="18"/>
          <w:szCs w:val="18"/>
          <w:i w:val="1"/>
          <w:iCs w:val="1"/>
          <w:color w:val="auto"/>
        </w:rPr>
        <w:t>NK3</w:t>
      </w:r>
      <w:r>
        <w:rPr>
          <w:rFonts w:ascii="Times New Roman" w:cs="Times New Roman" w:eastAsia="Times New Roman" w:hAnsi="Times New Roman"/>
          <w:sz w:val="18"/>
          <w:szCs w:val="18"/>
          <w:color w:val="auto"/>
        </w:rPr>
        <w:t>) receptor antagonist, all of which require systemic absorption and are associated with certain potentially serious side effects and safety concerns.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PH80 for the Treatment of Vasomotor Symptoms (hot flashes) due to Menopause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PH80 is a hormone-free, odorless, tasteless synthetic investigational neuroactive pherine nasal spray with a novel, rapid-onset potential MOA that is fundamentally differentiated from all currently approved treatments for vasomotor symptoms (hot flashes) due to menopause and other women’s health indications. Microgram-level doses of PH80, administered as a nasal spray, engage and activate chemosensory neurons in the nasal cavity connected to neural circuits in the basal forebrain associated with the control of body temperature.</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randomized, double-blind, placebo-controlled exploratory Phase 2A clinical study of PH80 that was designed to explore the efficacy, safety, and tolerability of intranasal administration of PH80 for the management of menopausal hot flashes in women was conducted in a real-world setting in Mexico and was sponsored by Pherin prior to our acquisition of Pherin in February 2023. In the study, PH80 (0.8 µg/50 µL) was self-administered by subjects intranasally, with two sprays in each nostril (total dose = 3.2µg) up to four times daily, as-needed for four consecutive weeks. One additional dose was allowed at night if subjects were awakened by hot flashes. Through the course of the study, subjects recorded the number, severity, disruption in function, and sweating related to hot flashes. PH80 induced a significant reduction in the daily number of hot flashes compared to placebo at the end of the first week of treatment, and the improvement was maintained through each treatment week until the end of the treatment period. At baseline, subjects reported a mean daily number of hot flashes of 7.7 (PH80, n=18) and 8.0 (placebo, n=18). After one week of treatment, the number of hot flashes dropped to 2.8 (PH80) and 6.4 (placebo) (p&lt;.001), and after four weeks of treatment, the number of hot flashes dropped to 1.5 (PH80) and 5.1 (placebo) (p&lt;.001).</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PH80 treatment also significantly reduced the severity, disruption in function, and sweating related to hot flashes during the treatment period, as compared with placebo.</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PH80 was well-tolerated with no SAEs, and the adverse event profiles were comparable between PH80 and placebo. All 36 subjects completed four weeks of treatment and no subject discontinued participation in the study as a result of adverse events.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currently conducting customary nonclinical studies necessary to support our planned submission of our U.S. IND to facilitate further Phase 2 clinical development of PH80 in the U.S. as a novel non-systemic, non-hormonal treatment of vasomotor symptoms (hot flashes) due to menopause.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Other Clinical-Stage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Premenstrual Dysphoric Disorder</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According to the National Institutes of Health (</w:t>
      </w:r>
      <w:r>
        <w:rPr>
          <w:rFonts w:ascii="Times New Roman" w:cs="Times New Roman" w:eastAsia="Times New Roman" w:hAnsi="Times New Roman"/>
          <w:sz w:val="18"/>
          <w:szCs w:val="18"/>
          <w:i w:val="1"/>
          <w:iCs w:val="1"/>
          <w:color w:val="auto"/>
        </w:rPr>
        <w:t>NIH</w:t>
      </w:r>
      <w:r>
        <w:rPr>
          <w:rFonts w:ascii="Times New Roman" w:cs="Times New Roman" w:eastAsia="Times New Roman" w:hAnsi="Times New Roman"/>
          <w:sz w:val="18"/>
          <w:szCs w:val="18"/>
          <w:color w:val="auto"/>
        </w:rPr>
        <w:t>), 5% to 8% of menarcheal individuals have moderate-to-severe symptoms that can cause significant distress and functional impairment, suggestive of premenstrual dysphoric disorder (</w:t>
      </w:r>
      <w:r>
        <w:rPr>
          <w:rFonts w:ascii="Times New Roman" w:cs="Times New Roman" w:eastAsia="Times New Roman" w:hAnsi="Times New Roman"/>
          <w:sz w:val="18"/>
          <w:szCs w:val="18"/>
          <w:i w:val="1"/>
          <w:iCs w:val="1"/>
          <w:color w:val="auto"/>
        </w:rPr>
        <w:t>PMDD</w:t>
      </w:r>
      <w:r>
        <w:rPr>
          <w:rFonts w:ascii="Times New Roman" w:cs="Times New Roman" w:eastAsia="Times New Roman" w:hAnsi="Times New Roman"/>
          <w:sz w:val="18"/>
          <w:szCs w:val="18"/>
          <w:color w:val="auto"/>
        </w:rPr>
        <w:t>), a severe, sometimes disabling extension of premenstrual syndrome (</w:t>
      </w:r>
      <w:r>
        <w:rPr>
          <w:rFonts w:ascii="Times New Roman" w:cs="Times New Roman" w:eastAsia="Times New Roman" w:hAnsi="Times New Roman"/>
          <w:sz w:val="18"/>
          <w:szCs w:val="18"/>
          <w:i w:val="1"/>
          <w:iCs w:val="1"/>
          <w:color w:val="auto"/>
        </w:rPr>
        <w:t>PMS</w:t>
      </w:r>
      <w:r>
        <w:rPr>
          <w:rFonts w:ascii="Times New Roman" w:cs="Times New Roman" w:eastAsia="Times New Roman" w:hAnsi="Times New Roman"/>
          <w:sz w:val="18"/>
          <w:szCs w:val="18"/>
          <w:color w:val="auto"/>
        </w:rPr>
        <w:t>). PMDD symptoms usually begin in the luteal phase (approximately seven to ten days before a person’s period starts) and continue for the first few days of the period. Like PMS, PMDD can cause bloating, breast tenderness, fatigue, and changes in sleep and eating habits, but distinctively, it can also cause extreme mood shifts that can disrupt daily life and damage relationships. The cause of PMDD is not clearly understood, but it is thought that neurotransmitter systems may trigger PMDD. Brain areas that regulate emotion and behavior are studded with receptors for estrogen, progesterone, and other sex hormones. These hormones affect the functioning of neurotransmitter systems that influence mood and thinking, possibly triggering PMDD. Treatment of PMDD is aimed at preventing or minimizing symptomology.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PH80 for Premenstrual Dysphoric Disorder</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exploratory Phase 2A clinical study of PH80 for management of the symptoms of PMDD, including negative mood and physical and behavioral symptoms, in subjects with a regular menstrual cycle and at least a one-year history of PMDD, was conducted by Pherin prior to our acquisition of Pherin in February 2023. In this randomized, double-blind, placebo-controlled exploratory Phase 2A study, PH80 demonstrated a statistically significant improvement versus placebo in management of the symptoms of PMDD, including negative mood and physical and behavioral symptoms. The initial study visit occurred after the onset of symptoms. All subjects were administered a placebo nasal spray, and those who showed no symptom improvement were eligible to return for the second visit, which occurred after the onset of symptoms during the next menstrual cycle. At the second study visit, subjects were randomized to receive a single dose of 0.9 µg PH80 nasal spray or placebo in the clinic. PH80 demonstrated statistically and clinically significant improvement versus placebo in symptoms of PMDD using the subject-rated Penn Daily Symptom Report (</w:t>
      </w:r>
      <w:r>
        <w:rPr>
          <w:rFonts w:ascii="Times New Roman" w:cs="Times New Roman" w:eastAsia="Times New Roman" w:hAnsi="Times New Roman"/>
          <w:sz w:val="18"/>
          <w:szCs w:val="18"/>
          <w:i w:val="1"/>
          <w:iCs w:val="1"/>
          <w:color w:val="auto"/>
        </w:rPr>
        <w:t>DSR</w:t>
      </w:r>
      <w:r>
        <w:rPr>
          <w:rFonts w:ascii="Times New Roman" w:cs="Times New Roman" w:eastAsia="Times New Roman" w:hAnsi="Times New Roman"/>
          <w:sz w:val="18"/>
          <w:szCs w:val="18"/>
          <w:color w:val="auto"/>
        </w:rPr>
        <w:t>) as early as Day 4 and continuing to Day 6 (p=0.008). PH80 also demonstrated statistically and clinically significant improvement versus placebo at Day 6 on the clinician-rated Premenstrual Tension Scale (</w:t>
      </w:r>
      <w:r>
        <w:rPr>
          <w:rFonts w:ascii="Times New Roman" w:cs="Times New Roman" w:eastAsia="Times New Roman" w:hAnsi="Times New Roman"/>
          <w:sz w:val="18"/>
          <w:szCs w:val="18"/>
          <w:i w:val="1"/>
          <w:iCs w:val="1"/>
          <w:color w:val="auto"/>
        </w:rPr>
        <w:t>PMTS</w:t>
      </w:r>
      <w:r>
        <w:rPr>
          <w:rFonts w:ascii="Times New Roman" w:cs="Times New Roman" w:eastAsia="Times New Roman" w:hAnsi="Times New Roman"/>
          <w:sz w:val="18"/>
          <w:szCs w:val="18"/>
          <w:color w:val="auto"/>
        </w:rPr>
        <w:t>) total score (p=0.006).</w:t>
      </w:r>
    </w:p>
    <w:p>
      <w:pPr>
        <w:spacing w:after="0" w:line="1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PH80 was well-tolerated with no SAEs. The most common TEAE was headache, reported by 17% in the placebo group and 7% in the PH80 group. No other TEAE occurred more than once per subject.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Cognitive and Psychomotor Impairment due to Mental Fatigue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Numerous disorders, such as shift work disorder, sleep apnea, and narcolepsy, can lead to debilitating sleep deprivation and mental fatigue. The prevalence of these disorders is high. For example, moderate to severe sleep apnea affects approximately 20% of adult men and 10% of postmenopausal women. The potential consequences of mental fatigue from sleep deprivation are troubling, with higher rates of accidents and increased risk of dementia. Individuals affected by mental fatigue require improved treatment options with a differentiated safety profile, one without the potential for abuse liability or negative and treatment-limiting side effects and safety concerns that may lead to self-treatment and subsequent substance use disorders.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PH15 for Improvement of Cognitive and Psychomotor Impairment due to Mental Fatigue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PH15 is an odorless, tasteless synthetic investigational neuroactive pherine with a novel, rapid-onset proposed MOA that is differentiated from the MOA of all currently approved treatments to improve psychomotor or cognitive impairment caused by mental fatigue. PH15’s proposed MOA targets nasal receptors that activate olfactory-amygdala and olfactory hippocampus neural circuits in the limbic system that are known to be associated with psychomotor activity and cognition, without requiring systemic absorption or direct action on neurons in the brain. PH15 has demonstrated an excellent safety profile in all clinical trials completed to date.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 randomized, double-blind, placebo-controlled, crossover Phase 2A pilot study designed to explore the efficacy, safety, and tolerability of intranasal administration of PH15 on psychomotor performance as measured by reaction time in sleep-deprived participants, PH15 demonstrated a statistically significant improvement in reaction time compared to placebo and caffeine in the sleep-deprived study participants. This study of PH15 was sponsored by Pherin and conducted at the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Institute of Psychiatry, Sleep Disorders Clinic in Mexico City, Mexico prior to our acquisition of Pherin in February 2023.</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Phase 2A pilot study, ten participants were randomly administered PH15 (multiple 1.6 µg doses, total dose of 9.6 µg), placebo (nasal spray and oral), or caffeine (single 400 mg oral dose administered one hour before the session) in sequential sleep deprivation study sessions spaced one week apart. During each sleep deprivation session, participants received blinded treatments before the start of each of four testing periods, at 6:00 p.m., 9:00 p.m., midnight, and 3:00 a.m. The participants’ reaction times to both isochronous (regular interval) and stochastic (random interval) “flash” light stimuli were computer-measured during each testing period as participants responded to the luminous stimuli. During both isochronous and stochastic reaction time tests, administration of 1.6 µg PH15 nasal spray induced a significantly faster mean reaction time compared to placebo nasal spray across all time points (p&lt;0.001). PH15 also demonstrated a statistically significant improvement in reaction time compared to oral caffeine (p&lt;0.001) for both reaction time tests during the testing periods at midnight and 3:00 a.m. when subjects were most fatigued.</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PH15 was well-tolerated in this study, with no SAEs reported. The adverse event profiles of PH15 and placebo were comparable, with brief nasal itching in one PH15-dosed participant and three placebo-dosed subjects. Participants on oral caffeine, however, experienced palpitations, euphoria, dry mouth, stomachache, and polyuria.</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currently evaluating the potential Phase 2 development path forward for PH15 and a nonclinical program required to support our submission of a U.S. IND to facilitate further potential Phase 2 development of PH15 in the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Cachexia (Wasting Syndrome)</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Cachexia (also known as wasting syndrome) is a serious but under-recognized and complex syndrome associated with asymmetric energy supply from food and metabolism. It is characterized by significant fatigue, lack of hunger, and loss of appetite, weight, and muscle mass, most often affecting individuals with a severe chronic condition, such as cancer and or heart disease. It is estimated that cachexia from any disease affects more than five million people in the U.S. The prevalence of cachexia is growing and is estimated at 1% of the U.S. population. Currently, there is no specific treatment for cachexia. Current appetite stimulant medications such as stimulants and cannabinoids are used to treat cachexia to increase food intake, and steroids are sometimes used to stop muscle wasting, but all current options may have detrimental side effects.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PH284 for Cachexia and Appetite-related Disorders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PH284 is an odorless, tasteless synthetic investigational neuroactive pherine nasal spray with a novel, rapid-onset potential MOA that is fundamentally differentiated from the MOA of all current treatments for the loss of appetite associated with chronic disorders, such as cancer or heart disease. Cachexia is a serious but under-recognized consequence of many chronic diseases with body mass loss of &gt;10% and a prevalence of 5 to 15 %. We believe PH284 may have therapeutic potential for improving subjective feelings of hunger in patients with cachexia. We are currently evaluating the potential path forward for PH284, including an assessment of completed studies and studies we believe are necessary to support a U.S. IND for potential further Phase 2 clinical development of PH284 for the treatment of cachexia, including the appropriate patient populations for demonstrating an increase in appetite and weight gain.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AV-101 for NMDAR-related Neurological Disorders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AV-101 (4-Cl-KYN) is a novel, oral prodrug that targets the NMDAR (N-methyl-D-aspartate receptor), an ionotropic glutamate receptor in the brain. Abnormal NMDAR function is associated with numerous neurological diseases and disorders. The active metabolite of AV-101, 7-chloro-kynurenic acid (7-Cl-KYNA), is a potent and selective full antagonist of the glycine binding site of the NMDAR that inhibits the function of the NMDAR. Unlike ketamine and many other NMDAR antagonists, 7-Cl-KYNA is not an ion channel blocker. In clinical and nonclinical testing completed to date, AV-101 has demonstrated good oral bioavailability and an excellent pharmacokinetic (PK) profile. No binding of AV-101 or 7-Cl-KYNA to off-site targets was identified by an extensive receptor screening study. Moreover, in all clinical trials completed to date, AV-101 has been safe and very well-tolerated with no psychological side effects or safety concerns and no treatment-related SAEs that are often observed with classic channel-blocking NMDAR antagonists such as ketamine and amantadine. Nonclinical results also indicate that chronic administration of 4-Cl-KYN induces hippocampal neurogenesis, a hallmark of drugs that have anti-depressive effects, and increases endogenous levels of KYNA, which also is a functional NMDAR glycine site antagonist.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observations and findings from preclinical studies, we believe AV-101 has the potential to become a new oral treatment alternative for multiple neuroscience disorders, including levodopa-induced dyskinesia (</w:t>
      </w:r>
      <w:r>
        <w:rPr>
          <w:rFonts w:ascii="Times New Roman" w:cs="Times New Roman" w:eastAsia="Times New Roman" w:hAnsi="Times New Roman"/>
          <w:sz w:val="18"/>
          <w:szCs w:val="18"/>
          <w:i w:val="1"/>
          <w:iCs w:val="1"/>
          <w:color w:val="auto"/>
        </w:rPr>
        <w:t>LID</w:t>
      </w:r>
      <w:r>
        <w:rPr>
          <w:rFonts w:ascii="Times New Roman" w:cs="Times New Roman" w:eastAsia="Times New Roman" w:hAnsi="Times New Roman"/>
          <w:sz w:val="18"/>
          <w:szCs w:val="18"/>
          <w:color w:val="auto"/>
        </w:rPr>
        <w:t>) and neuropathic pain (</w:t>
      </w:r>
      <w:r>
        <w:rPr>
          <w:rFonts w:ascii="Times New Roman" w:cs="Times New Roman" w:eastAsia="Times New Roman" w:hAnsi="Times New Roman"/>
          <w:sz w:val="18"/>
          <w:szCs w:val="18"/>
          <w:i w:val="1"/>
          <w:iCs w:val="1"/>
          <w:color w:val="auto"/>
        </w:rPr>
        <w:t>NP</w:t>
      </w:r>
      <w:r>
        <w:rPr>
          <w:rFonts w:ascii="Times New Roman" w:cs="Times New Roman" w:eastAsia="Times New Roman" w:hAnsi="Times New Roman"/>
          <w:sz w:val="18"/>
          <w:szCs w:val="18"/>
          <w:color w:val="auto"/>
        </w:rPr>
        <w:t>) among others. We are currently assessing whether there is a path forward for potential Phase 2A clinical development of AV-101 with one or more collaborators, as a treatment for LID associated with Parkinson’s disease therapy and possibly one or more additional neurological disorders involving the NMDAR receptor. The U.S. FDA has granted Fast Track designation for the investigation of AV-101 for the treatment of neuropathic pain and for the adjunctive treatment of MDD.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Our wholly-owned subsidiaries consist of Pherin Pharmaceuticals, Inc, a Delaware corporation (</w:t>
      </w:r>
      <w:r>
        <w:rPr>
          <w:rFonts w:ascii="Times New Roman" w:cs="Times New Roman" w:eastAsia="Times New Roman" w:hAnsi="Times New Roman"/>
          <w:sz w:val="18"/>
          <w:szCs w:val="18"/>
          <w:i w:val="1"/>
          <w:iCs w:val="1"/>
          <w:color w:val="auto"/>
        </w:rPr>
        <w:t>Pherin</w:t>
      </w:r>
      <w:r>
        <w:rPr>
          <w:rFonts w:ascii="Times New Roman" w:cs="Times New Roman" w:eastAsia="Times New Roman" w:hAnsi="Times New Roman"/>
          <w:sz w:val="18"/>
          <w:szCs w:val="18"/>
          <w:color w:val="auto"/>
        </w:rPr>
        <w:t>), and Vistastem, Inc., a California corporation founded in 1998 (</w:t>
      </w:r>
      <w:r>
        <w:rPr>
          <w:rFonts w:ascii="Times New Roman" w:cs="Times New Roman" w:eastAsia="Times New Roman" w:hAnsi="Times New Roman"/>
          <w:sz w:val="18"/>
          <w:szCs w:val="18"/>
          <w:i w:val="1"/>
          <w:iCs w:val="1"/>
          <w:color w:val="auto"/>
        </w:rPr>
        <w:t>Vistastem</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 and Results of Operations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Our critical accounting policies are disclosed in our Annual Report on Form 10-K for the fiscal year ended March 31, 2024 (</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 as filed with the SEC on June 11, 2024. There have been no changes in significant accounting estimates during the three months ended June 30, 2024, since those disclosed in our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Since inception, we have devoted substantial resources to advancing initiatives related to research, development, and contract manufacturing of our neuroscience pipeline, including initiatives related to manufacturing processes, analytical methods and production programs for drug substance and finished drug product, as well as for preclinical studies and clinical studies focused on potential commercialization of these product candidates, with substantial recent emphasis on fasedienol and itruvone for neuropsychiatric indications. During the year ended March 31, 2024, we launched our PALISADE-3 clinical trial as part of our PALISADE Phase 3 Program evaluating fasedienol for the acute treatment of anxiety in adults with SAD. In the first quarter of our fiscal year ending March 31, 2025, we continued to focus our efforts substantially on fasedienol, advancing our registration-directed PALISADE Phase 3 program for fasedienol in SAD, including initiating our PALISADE-3 Phase 3 clinical trial, and preparing to initiate our PALISADE-4 Phase 3 clinical trial. In addition, we are continuing to conduct various preclinical and clinical studies and manufacturing activities for other investigational pherine product candidates. We also have ongoing initiatives for creating, protecting and patenting intellectual property (</w:t>
      </w:r>
      <w:r>
        <w:rPr>
          <w:rFonts w:ascii="Times New Roman" w:cs="Times New Roman" w:eastAsia="Times New Roman" w:hAnsi="Times New Roman"/>
          <w:sz w:val="17"/>
          <w:szCs w:val="17"/>
          <w:i w:val="1"/>
          <w:iCs w:val="1"/>
          <w:color w:val="auto"/>
        </w:rPr>
        <w:t>IP</w:t>
      </w:r>
      <w:r>
        <w:rPr>
          <w:rFonts w:ascii="Times New Roman" w:cs="Times New Roman" w:eastAsia="Times New Roman" w:hAnsi="Times New Roman"/>
          <w:sz w:val="17"/>
          <w:szCs w:val="17"/>
          <w:color w:val="auto"/>
        </w:rPr>
        <w:t>) related to our neuroscience product candidates and technologies and raising sufficient working capital to fund these studies, initiatives, and other activities. At June 30, 2024, we had an accumulated deficit of approximately $366.9 million. Our net loss for the year ended March 31, 2024 (</w:t>
      </w:r>
      <w:r>
        <w:rPr>
          <w:rFonts w:ascii="Times New Roman" w:cs="Times New Roman" w:eastAsia="Times New Roman" w:hAnsi="Times New Roman"/>
          <w:sz w:val="17"/>
          <w:szCs w:val="17"/>
          <w:i w:val="1"/>
          <w:iCs w:val="1"/>
          <w:color w:val="auto"/>
        </w:rPr>
        <w:t>Fiscal 2024</w:t>
      </w:r>
      <w:r>
        <w:rPr>
          <w:rFonts w:ascii="Times New Roman" w:cs="Times New Roman" w:eastAsia="Times New Roman" w:hAnsi="Times New Roman"/>
          <w:sz w:val="17"/>
          <w:szCs w:val="17"/>
          <w:color w:val="auto"/>
        </w:rPr>
        <w:t>) and the year ended March 31, 2023 (</w:t>
      </w:r>
      <w:r>
        <w:rPr>
          <w:rFonts w:ascii="Times New Roman" w:cs="Times New Roman" w:eastAsia="Times New Roman" w:hAnsi="Times New Roman"/>
          <w:sz w:val="17"/>
          <w:szCs w:val="17"/>
          <w:i w:val="1"/>
          <w:iCs w:val="1"/>
          <w:color w:val="auto"/>
        </w:rPr>
        <w:t>Fiscal 2023</w:t>
      </w:r>
      <w:r>
        <w:rPr>
          <w:rFonts w:ascii="Times New Roman" w:cs="Times New Roman" w:eastAsia="Times New Roman" w:hAnsi="Times New Roman"/>
          <w:sz w:val="17"/>
          <w:szCs w:val="17"/>
          <w:color w:val="auto"/>
        </w:rPr>
        <w:t>) was approximately $29.4 million and $59.2 million, respectively, and we incurred a net loss of approximately $10.7 million for the three months ended June 30, 2024. We expect losses to continue for the foreseeable future as we engage in further research, development, manufacturing and regulatory activities related to fasedienol, itruvone, PH80 and potentially our other neuroscience product candidates. We have not yet achieved revenue-generating status from any of our product candidates or technologies in amounts sufficient to sustain our operations and enable our strategic business plans.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three months ended June 30, 2024 and 2023 (in thousands):</w:t>
      </w:r>
    </w:p>
    <w:p>
      <w:pPr>
        <w:spacing w:after="0" w:line="235"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21590</wp:posOffset>
            </wp:positionV>
            <wp:extent cx="23914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50"/>
        </w:trPr>
        <w:tc>
          <w:tcPr>
            <w:tcW w:w="6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Sublicense and other revenue</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57"/>
        </w:trPr>
        <w:tc>
          <w:tcPr>
            <w:tcW w:w="6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5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3"/>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w:t>
            </w: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r>
      <w:tr>
        <w:trPr>
          <w:trHeight w:val="250"/>
        </w:trPr>
        <w:tc>
          <w:tcPr>
            <w:tcW w:w="6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3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w:t>
            </w:r>
          </w:p>
        </w:tc>
      </w:tr>
      <w:tr>
        <w:trPr>
          <w:trHeight w:val="250"/>
        </w:trPr>
        <w:tc>
          <w:tcPr>
            <w:tcW w:w="6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3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w:t>
            </w:r>
          </w:p>
        </w:tc>
      </w:tr>
      <w:tr>
        <w:trPr>
          <w:trHeight w:val="25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(12,131)</w:t>
            </w:r>
          </w:p>
        </w:tc>
        <w:tc>
          <w:tcPr>
            <w:tcW w:w="3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w:t>
            </w:r>
          </w:p>
        </w:tc>
      </w:tr>
      <w:tr>
        <w:trPr>
          <w:trHeight w:val="26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0"/>
        </w:trPr>
        <w:tc>
          <w:tcPr>
            <w:tcW w:w="6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3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5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r>
      <w:tr>
        <w:trPr>
          <w:trHeight w:val="250"/>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81"/>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3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recognized $0.1 million in sublicense and other revenue for the three months ended June 30, 2024, as compared to $0.2 million for the three months ended June 30, 2023.</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Absent the achievement of milestones under the existing collaboration and other revenue arrangements, or the execution of similar agreements in the future, if any, we expect sublicense and other revenue to stay consistent in future periods.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 consists of the following (in thousands):</w:t>
      </w:r>
    </w:p>
    <w:p>
      <w:pPr>
        <w:spacing w:after="0" w:line="214"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13335</wp:posOffset>
            </wp:positionV>
            <wp:extent cx="2357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19" w:lineRule="exact"/>
        <w:rPr>
          <w:sz w:val="20"/>
          <w:szCs w:val="20"/>
          <w:color w:val="auto"/>
        </w:rPr>
      </w:pPr>
    </w:p>
    <w:tbl>
      <w:tblPr>
        <w:tblLayout w:type="fixed"/>
        <w:tblInd w:w="160" w:type="dxa"/>
        <w:tblCellMar>
          <w:top w:w="0" w:type="dxa"/>
          <w:left w:w="0" w:type="dxa"/>
          <w:bottom w:w="0" w:type="dxa"/>
          <w:right w:w="0" w:type="dxa"/>
        </w:tblCellMar>
      </w:tblPr>
      <w:tr>
        <w:trPr>
          <w:trHeight w:val="245"/>
        </w:trPr>
        <w:tc>
          <w:tcPr>
            <w:tcW w:w="72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and nonclinical studies and development expenses by program</w:t>
            </w: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Fasedienol</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2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Itruvone</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AV-101</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 other</w:t>
            </w:r>
          </w:p>
        </w:tc>
        <w:tc>
          <w:tcPr>
            <w:tcW w:w="1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clinical and nonclinical studies and development expenses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 and all other costs</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w:t>
            </w:r>
          </w:p>
        </w:tc>
        <w:tc>
          <w:tcPr>
            <w:tcW w:w="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$7.6 million and $4.2 million for the three months ended June 30, 2024 and 2023, respectively. The increase of $3.5 million in research and development expense as compared to the same period 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2023 was primarily due to an increase in clinical and development expense of $2.0 million, primarily related to the commencement of our PALISADE-3 Phase 3 clinical trial of fasedienol in SAD and costs related to preparations for the initiation of our PALISADE-4 Phase 3 trial of fasedienol in SAD, an increase in headcount costs of $1.1 million, and an increase in consulting and professional fees of $0.2 million.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our research and development expense will increase substantially over the next several years as we advance our broad an diverse pipeline of pherine product candidates through IND-enabling non-clinical studies. clinical trials, and manufacturing activities required to facilitate further development of our current pherine product candidates, expand our pherine pipeline, maintain, expand, protect and enforce our intellectual property portfolio, and hire additional personnel.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$4.6 million and $3.0 million for the three months ended June 30, 2024 and 2023, respectively. The increase in general and administrative expense of $1.6 million, as compared to the same period in 2023, was primarily due to an increase in headcount costs of $0.8 million in connection with the increased headcount to support development operations, and an increase in consulting and professional fees of $0.7 million.</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our general and administrative expense will increase substantially over the next several years as we hire additional personnel to support the growth of our business and incur additional expenses associated with being a public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net, increased in the three months ended June 30, 2024 as compared with the same period in 2023 due to increases in interest rates as well as larger cash balances when compared to prior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our operations. To date, we have financed our operations and technology acquisitions primarily through the issuance and sale of our equity and debt securities for cash proceeds of approximately $338.5 million, as well as from an aggregate of approximately $22.7 million of government research grant awards, strategic collaboration payments, intellectual property licensing payments, and other revenues. Additionally, we have issued equity securities with an approximate value at issuance of $41.3 million in non-cash acquisitions of product licenses, as a portion of the consideration for our acquisition of the Pherin in February 2023, and in settlements of certain liabilities, including liabilities for professional services rendered to us or as compensation for such services.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May 2021, we entered into an Open Market Sale Agreement (the </w:t>
      </w:r>
      <w:r>
        <w:rPr>
          <w:rFonts w:ascii="Times New Roman" w:cs="Times New Roman" w:eastAsia="Times New Roman" w:hAnsi="Times New Roman"/>
          <w:sz w:val="18"/>
          <w:szCs w:val="18"/>
          <w:i w:val="1"/>
          <w:iCs w:val="1"/>
          <w:color w:val="auto"/>
        </w:rPr>
        <w:t>Sales Agreement</w:t>
      </w:r>
      <w:r>
        <w:rPr>
          <w:rFonts w:ascii="Times New Roman" w:cs="Times New Roman" w:eastAsia="Times New Roman" w:hAnsi="Times New Roman"/>
          <w:sz w:val="18"/>
          <w:szCs w:val="18"/>
          <w:color w:val="auto"/>
        </w:rPr>
        <w:t>) with Jefferies LLC (</w:t>
      </w:r>
      <w:r>
        <w:rPr>
          <w:rFonts w:ascii="Times New Roman" w:cs="Times New Roman" w:eastAsia="Times New Roman" w:hAnsi="Times New Roman"/>
          <w:sz w:val="18"/>
          <w:szCs w:val="18"/>
          <w:i w:val="1"/>
          <w:iCs w:val="1"/>
          <w:color w:val="auto"/>
        </w:rPr>
        <w:t>Jefferies</w:t>
      </w:r>
      <w:r>
        <w:rPr>
          <w:rFonts w:ascii="Times New Roman" w:cs="Times New Roman" w:eastAsia="Times New Roman" w:hAnsi="Times New Roman"/>
          <w:sz w:val="18"/>
          <w:szCs w:val="18"/>
          <w:color w:val="auto"/>
        </w:rPr>
        <w:t xml:space="preserve">) as sales agent, with respect to an at-the-market offering program (the </w:t>
      </w:r>
      <w:r>
        <w:rPr>
          <w:rFonts w:ascii="Times New Roman" w:cs="Times New Roman" w:eastAsia="Times New Roman" w:hAnsi="Times New Roman"/>
          <w:sz w:val="18"/>
          <w:szCs w:val="18"/>
          <w:i w:val="1"/>
          <w:iCs w:val="1"/>
          <w:color w:val="auto"/>
        </w:rPr>
        <w:t>ATM</w:t>
      </w:r>
      <w:r>
        <w:rPr>
          <w:rFonts w:ascii="Times New Roman" w:cs="Times New Roman" w:eastAsia="Times New Roman" w:hAnsi="Times New Roman"/>
          <w:sz w:val="18"/>
          <w:szCs w:val="18"/>
          <w:color w:val="auto"/>
        </w:rPr>
        <w:t xml:space="preserve">) under which we were permitted, at our option, to offer and sell, from time to time, shares of our common stock (the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having an aggregate offering price of up to $75.0 million. During the fiscal year ended March 31, 2024, we sold 4,698,495 Shares under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Sales Agreement for net cash proceeds of approximately $36.2 million. In February 2024, increased the remaining available aggregate offering price of our common stock under the Sales Agreement to $100 million.</w:t>
      </w:r>
    </w:p>
    <w:p>
      <w:pPr>
        <w:spacing w:after="0" w:line="15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In addition, we received net proceeds of approximately $93.5 million from an underwritten public offering of securities in October 2023 (</w:t>
      </w:r>
      <w:r>
        <w:rPr>
          <w:rFonts w:ascii="Times New Roman" w:cs="Times New Roman" w:eastAsia="Times New Roman" w:hAnsi="Times New Roman"/>
          <w:sz w:val="18"/>
          <w:szCs w:val="18"/>
          <w:i w:val="1"/>
          <w:iCs w:val="1"/>
          <w:color w:val="auto"/>
        </w:rPr>
        <w:t>October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Public Offering</w:t>
      </w:r>
      <w:r>
        <w:rPr>
          <w:rFonts w:ascii="Times New Roman" w:cs="Times New Roman" w:eastAsia="Times New Roman" w:hAnsi="Times New Roman"/>
          <w:sz w:val="18"/>
          <w:szCs w:val="18"/>
          <w:color w:val="auto"/>
        </w:rPr>
        <w:t>), and $1.5 million in connection with the execution of the Exclusive Negotiation Agreement with Fuji Pharma Co., Ltd. in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w:t>
      </w: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had cash and cash equivalents and marketable securities of approximately $108.4 million at June 30, 2024, which we believe is sufficient to fund our planned operations for more than twelve months following the issuance of the unaudited condensed consolidated financial statements appearing elsewhere in this Report. We are continuing to manage our cash resources as we progress our registration-directed PALISADE Phase 3 Program for fasedienol as a potential new acute treatment of anxiety in adults with SAD, including our ongoing PALISADE-3 Phase 3 clinical trial and prepare to initiate our PALISADE-4 Phase 3 clinical trial, as well as clinical and nonclinical studies of our other pherine candidates, and strategies for the further development and potential commercialization, on our own or with collaborators, of all of our product candidates. However, as we have not yet developed products that generate recurring revenue and, in the event we successfully complete future clinical and/or nonclinical programs, we will need to obtain and invest substantial additional capital resources to develop and commercialize any of our product candidates. We may satisfy our future cash needs through sale of equity or debt securities, partnering collaborations, license agreements or other non-dilutive arrangements..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necessary and/or advantageous, we will seek additional capital to fund our planned operations through sales of our equity and/or debt securities in one or more public offerings and/or private placements, including sales of our securities under the Sales Agreement, or non-dilutive debt-related financing arrangements, strategic partnering collaborations or other funding-focused transactions to advance development and commercialization of our product candidates. However, no assurance can be provided that any such sales of our securities, awards, agreements, arrangements or collaborations will occur in the future. While we may make additional sales of our equity securities, we do not have any obligation to do so.</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working capital requirements will depend on many factors, including, without limitation, potential impacts related to adjustments in the size of our staff, the scope and nature of opportunities related to our success or failure and the success or failure of certain other companies in nonclinical and clinical trials, including the development and commercialization of our current product candidates, and the availability of, and our ability to enter into financing transactions and research, development and commercialization collaborations on terms acceptable to us. In the future, to further advance the clinical development of our product candidates, as well as support our operating activities, we plan to seek additional financing, including both equity-based capital and funding from non-dilutive sources, and continue to carefully manage our operating costs, including, but not limited to, our clinical, nonclinical, and pre-commercialization programs.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there can be no assurance that any future financings or proceeds from other non-dilutive arrangements, collaborations or transactions will be available to us in sufficient amounts, in a timely manner, or on terms acceptable to us, if at all, or that any current or future development and commercialization collaboration will generate revenue from future potential milestone payments or otherwise.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cash and cash equivalents for the periods stated (in thousands):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6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9"/>
        </w:trPr>
        <w:tc>
          <w:tcPr>
            <w:tcW w:w="6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w:t>
            </w:r>
          </w:p>
        </w:tc>
      </w:tr>
      <w:tr>
        <w:trPr>
          <w:trHeight w:val="25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50"/>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w:t>
            </w:r>
          </w:p>
        </w:tc>
      </w:tr>
      <w:tr>
        <w:trPr>
          <w:trHeight w:val="257"/>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119,166</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16,638</w:t>
            </w:r>
          </w:p>
        </w:tc>
      </w:tr>
      <w:tr>
        <w:trPr>
          <w:trHeight w:val="25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102,918</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9,622</w:t>
            </w:r>
          </w:p>
        </w:tc>
      </w:tr>
      <w:tr>
        <w:trPr>
          <w:trHeight w:val="21"/>
        </w:trPr>
        <w:tc>
          <w:tcPr>
            <w:tcW w:w="6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June 30, 2024 was $10.9 million, consisting primarily of our net loss of $10.7 million, adjusted for $1.3 million of non-cash charges primarily related to stock-based compensation expense and amortization of our operating lease right-of-use asset, and $1.4 million in net changes in operating assets and liabilities.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June 30, 2023 was $7.9 million, consisting primarily of our net loss of $6.9 million, adjusted for $0.7 million of non-cash charges primarily related to stock-based compensation expense and amortization of our operating right-of-use asset, and $1.7 million in net changes in operating assets and liabilities.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June 30, 2024 was $5.5 million, consisting of purchases of marketable securities and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for the three months ended June 30, 2023 was immaterial.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during the three months ended June 30, 2024 was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June 30, 2023 was $0.9 million. This consisted primarily of proceeds from issuance of common stock under the Open Market Sales Agreement of $1.1 million, partially offset by a repayment of notes payable of $0.2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other material changes in our contractual obligations and commitments during the three months ended June 30, 2024, from those described under the heading “Management’s Discussion and Analysis of Financial Condition and Results of Operations—Contractual Obligations” in our Annual Report.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during the three months ended June 30, 2024, as compared to the critical accounting policies and estimates disclosed in “Management’s Discussion and Analysis of Financial Condition and Results of Operations” included in our Annual Report.</w:t>
      </w:r>
    </w:p>
    <w:p>
      <w:pPr>
        <w:spacing w:after="0" w:line="1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are a smaller reporting company, as defined by Rule 12b-2 under the Securities and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and in Item 10(f)(1) of Regulation S-K and are not required to provide the information under this item.</w:t>
      </w:r>
    </w:p>
    <w:p>
      <w:pPr>
        <w:spacing w:after="0" w:line="1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officer), evaluated the effectiveness of our disclosure controls and procedures as of June 30, 2024. The term “disclosure controls and procedures” as defined in Rule 13a-15(e) of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2024, our Chief Executive Officer and executive vice president, Chief Financial Officer concluded that, as of such date, our disclosure controls and procedures were effective at the reasonable assurance level.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13a-15(f) of the Exchange Act) from that described in our Annual Report that occurred during the quarter ended June 30, 2024, to which this Report relates, that has materially affected, or is reasonably likely to materially affect, our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the other information in this Report, including our unaudited condensed consolidated financial statements and the related notes included in this Report and in the section titled “Management’s Discussion and Analysis of Financial Condition and Results of Operations,” before deciding whether to invest in our securities.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Report to our business being adversely affected, negatively impacted or harmed will include an adverse effect on, or a negative impact or harm to, the business, reputation, financial condition, results of operations, revenue and our future prospects. The material and other risks and uncertainties summarized elsewhere in this Report and described below are not intended to be exhaustive and are not the only ones we face. Additional risks and uncertainties not presently known to us, or that we currently deem immaterial, may also impair our business operations. This Report also contains forward-looking statements that involve risks and uncertainties. Our actual results could differ materially from those anticipated in the forward-looking statements as a result of a number of factors, including the risks described below. See the section titled “Cautionary Note Regarding Forward-Looking Statements.”</w:t>
      </w:r>
    </w:p>
    <w:p>
      <w:pPr>
        <w:spacing w:after="0" w:line="149" w:lineRule="exact"/>
        <w:rPr>
          <w:sz w:val="20"/>
          <w:szCs w:val="20"/>
          <w:color w:val="auto"/>
        </w:rPr>
      </w:pPr>
    </w:p>
    <w:p>
      <w:pPr>
        <w:jc w:val="both"/>
        <w:ind w:left="66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clinical or nonclinical studies in any of our development programs may not be sufficient to cause the FDA to approve any NDA that we may submit, or cause any other agency to provide regulatory approval of any of our product candidates, and, even if approved, does not ensure acceptance of such product candidates by clinicians leading to a revenue stream to support our operations;</w:t>
      </w:r>
    </w:p>
    <w:p>
      <w:pPr>
        <w:spacing w:after="0" w:line="1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inception, and we will continue to incur substantial operating losses for the foreseeable future;</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no revenues from product sales or approved products, and limited experience developing new drug candidates, which makes it difficult to assess our future viability;</w:t>
      </w:r>
    </w:p>
    <w:p>
      <w:pPr>
        <w:spacing w:after="0" w:line="18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additional financing to execute our long-term business plan, including further development and potential commercialization of our product candidates;</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in equity-based financing transactions is likely to cause substantial dilution to our existing stockholders, may restrict our operations or require us to relinquish rights, and may require us to seek stockholder approval to authorize additional shares of our common stock;</w:t>
      </w:r>
    </w:p>
    <w:p>
      <w:pPr>
        <w:spacing w:after="0" w:line="20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of future clinical studies of our product candidates, or delays in the commencement or completion of our ongoing or planned clinical trials, could result in increased costs to us and could delay, prevent or limit our ability to generate revenue and continue our business;</w:t>
      </w:r>
    </w:p>
    <w:p>
      <w:pPr>
        <w:spacing w:after="0" w:line="18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the success of our product candidates, and we cannot be certain that we will be able to obtain regulatory approval for, or successfully commercialize, any of our current or future product candidates;</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or attract key management and scientific personnel, we may be unable to successfully produce, develop, and commercialize our product candidates;</w:t>
      </w:r>
    </w:p>
    <w:p>
      <w:pPr>
        <w:spacing w:after="0" w:line="20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we are unable to compete effectively, we may not be able to achieve or maintain significant market penetration or improve our results of operations;</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 and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described below.</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we are unable to effectively manage the impact of these and other risks, our ability to operate and execute our business plan would be substantially impaired. In turn, the value of our securities would be materially reduced.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successful development of pharmaceutical products is highly uncertain.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 development of pharmaceutical products is highly uncertain and is dependent on numerous factors, many of which are beyond our control.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candidates that appear promising in the early or late phases of development may fail to reach the market for several reasons, including:</w:t>
      </w:r>
    </w:p>
    <w:p>
      <w:pPr>
        <w:spacing w:after="0" w:line="153" w:lineRule="exact"/>
        <w:rPr>
          <w:sz w:val="20"/>
          <w:szCs w:val="20"/>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 may show the product candidates to be less effective than expected (for example, a clinical trial could fail to meet its primary or key secondary endpoint(s)) or have an unacceptable safety or tolerability profile;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4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the necessary regulatory approvals or a delay in receiving such approvals, which, among other things, may be caused, among other things, by patients who fail the trial screening process, slow enrollment in clinical trials, patients dropping out of trials, patients lost to follow-up, length of time to achieve trial endpoints, additional time requirements for data analysis, review of IND, NDA or similar foreign applications, preparation, discussions with the FDA or foreign regulatory authorities, an FDA or foreign regulatory authority request for additional preclinical or clinical data (such as long-term toxicology studies) or unexpected safety or manufacturing issues;</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study results may show the product candidate to be less effective than desired or to have harmful side effects;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approval requirements; or</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others and their competing products and technologies that may prevent our product candidates from being commercialized.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length of time necessary to complete clinical trials and submit an application for marketing approval for a final decision by a regulatory authority is substantial and varies significantly from one product candidate to the next and from one country or jurisdiction to the next and may be difficult to predict.</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Even if we are successful in obtaining marketing approval, commercial success of any approved products will also depend in large part on the availability of coverage and adequate reimbursement from third-party payors, including government payors such as the Medicare and Medicaid programs and managed care organizations in the U.S. or country-specific governmental organizations in foreign countries,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were not to provide coverage and adequate reimbursement for our products once approved, market acceptance and commercial success would be reduced.</w:t>
      </w:r>
    </w:p>
    <w:p>
      <w:pPr>
        <w:spacing w:after="0" w:line="2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if any of our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current cGMPs and similar foreign requirements, and GCPs for any clinical trials that we conduct post-approval. In addition, there is always the risk that we, a regulatory authority or a third party might identify previously unknown problems with a product post-approval, such as adverse events of unanticipated severity or frequency. Compliance with these requirements is costly, and any failure to comply or other issues with our product candidates post-approval could adversely affect our business, financial condition and results of operations.</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success of our product candidates. If we are unable to successfully complete clinical development, obtain regulatory approval for or commercialize one or more of our product candidates, or if we experience delays in doing so, our business will be materially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To date, as an organization, we have not completed the development of any of our product candidates. Our future success and ability to generate revenue from our product candidates is dependent on our ability to successfully develop, obtain regulatory approval for and commercialize one or more of our product candidates. All of our product candidates will require substantial additional investment for clinical development, regulatory review and approval in one or more jurisdictions. If any of our product candidates encounters safety or efficacy problems, development delays or regulatory issues or other problems, our development plans and business would be materially harmed.</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not have the financial resources to continue development of our product candidates if we experience any issues that delay or prevent regulatory approval of, or our ability to commercialize, our product candidates, including:</w:t>
      </w:r>
    </w:p>
    <w:p>
      <w:pPr>
        <w:spacing w:after="0" w:line="189" w:lineRule="exact"/>
        <w:rPr>
          <w:sz w:val="20"/>
          <w:szCs w:val="20"/>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comparable foreign regulatory authorities that our product candidates are safe and effective;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insufficiency of our financial and other resources to complete the necessary preclinical studies, clinical trials and regulatory submissions;</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preclinical studies, clinical trials or the clinical trials of others for product candidates similar to ours, leading to a decision or requirement to conduct additional preclinical studies, clinical trials or abandon a program;</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adverse events experienced by subjects in our clinical trials, including unexpected toxicity results, or by individuals using drugs or therapeutic biologics similar to our product candidates;</w:t>
      </w:r>
    </w:p>
    <w:p>
      <w:pPr>
        <w:spacing w:after="0" w:line="20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an IND or comparable foreign applications or delays or failure in obtaining the necessary approvals or allowances from regulators to commence a clinical trial or a suspension or termination, or hold, of a clinical trial once commenced;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regulatory authorities regarding the scope or design of our clinical trials;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of our product candidates observed during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than expected performance of control arms, such as placebo groups, which could lead to negative or inconclusive results from our clinical trials;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and randomizing subjects in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subjects from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product candidates or other materials necessary for the conduct of our clinical trials;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clinical trial or manufacturing costs;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comparable regulatory authority inspection and review of our clinical trial sites;</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the clinical trial protocol or otherwise meet their contractual obligations in a timely manner, or at all;</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policies and guidelines, including the imposition of additional regulatory oversight around clinical testing generally or with respect to our therapies in particular; or</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comparable foreign regulatory authorities.</w:t>
      </w:r>
    </w:p>
    <w:p>
      <w:pPr>
        <w:spacing w:after="0" w:line="2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no recurring revenues from product sales or approved products. We are not profitable and have incurred losses in each period since our inception. We expect to continue to incur significant losses for the foreseeable future, and we expect these losses to increase as we continue our research and development of, and seek regulatory approvals for, and commercialization of our product candidates.</w:t>
      </w:r>
    </w:p>
    <w:p>
      <w:pPr>
        <w:spacing w:after="0" w:line="20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We have no products approved for commercial sale and have generated no revenue from product sales to date. We will continue to incur significant research and development and other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expenses related to our preclinical and clinical development and ongoing operations. As a result, we are not profitable and have incurred losses in each period since our inception. Net losses and negative cash flows have had, and will continue to have, an adverse effect on our stockholders’ equity and working capital. Our net losses totaled $29.4 million and $59.2 million for the years ended March 31, 2024 and 2023, respectively, and we incurred a net loss of $10.7 million during the three months ended June 30, 2024. We expect to continue to incur significant losses for the foreseeable future, and we expect these losses to increase as we continue our research and development of, and seek regulatory approvals for, and commercialization of our product candidates.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23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product candidates through clinical development, including as we advance these candidates into and through later-stage clinical trials;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regulatory approvals for any product candidates that successfully complete registration-directed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medical, scientific and other technical personnel to support the clinical development of our product candidates;</w:t>
      </w:r>
    </w:p>
    <w:p>
      <w:pPr>
        <w:spacing w:after="0" w:line="20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 increase in headcount as we expand our research and development organization and market development and pre-commercial planning activities;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any pre-commercial or commercial activities to establish sales, marketing and distribution capabilities;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preclinical-stage product candidates into clinical development;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Biopharmaceutical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you should consider our prospects, factoring in the costs, uncertainties, delays and difficulties frequently encountered by companies in clinical development, especially clinical-stage biopharmaceutical companies such as ours. Any predictions you make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our expenses could increase beyond our expectations if we are required by the FDA or other regulatory authorities to perform preclinical studies or clinical trials in addition to those that we currently anticipate, or if there are any delays in establishing appropriate manufacturing arrangements for or in completing our clinical trials or the development of any of our product candidates.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 profitable.</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ability to become and remain profitable depends on our ability to generate revenue or execute other business development arrangements. We do not expect to generate significant revenue, if any, unless and until we are able to obtain regulatory approval for, and successfully commercialize, one or more product candidates we are developing or may develop. Successful commercialization will require achievement of many key milestones, including demonstrating sufficient evidence of safety and efficacy in clinical trials, obtaining regulatory approval for these product candidates, manufacturing, marketing and selling those products for which we may obtain regulatory approval, satisfying any post-marketing requirements and obtaining reimbursement for our products from private insurance or government payors. Because of the uncertainties and risks associated with these activities, we are unable to accurately and precisely predict the timing and amount of revenues, the extent of any further losses or if or when we might achieve profitability. We may never succeed in these activities, and even if we do, we may never generate revenues that are significant enough for us to achieve profitability. Even if we do achieve profitability, we may not be able to sustain or increase profitability on a quarterly or annual basis.</w:t>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may depress the market price of our common stock and could impair our ability to raise capital, expand our business, diversify our product offerings or continue our operations. If we continue to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 losses as we have since our inception, investors may not receive any return on their investment and may lose their entire investment.</w:t>
      </w:r>
    </w:p>
    <w:p>
      <w:pPr>
        <w:spacing w:after="0" w:line="2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financing to execute our long-term business plan, and if we are unable to raise capital when needed, we could be forced to delay, reduce or terminate our research and development programs or pre-commercialization efforts.</w:t>
      </w:r>
    </w:p>
    <w:p>
      <w:pPr>
        <w:spacing w:after="0" w:line="1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As in prior periods we expect to continue to spend substantial amounts of cash to continue the preclinical and clinical development and manufacturing of our product candidates. These expenditures will include costs associated with general and administrative costs, facilities costs, research and development, manufacturing, conducting nonclinical experiments and clinical trials, obtaining regulatory approvals and commercialization, should the FDA approve any of our product candidates for sale. We will need to raise substantial additional capital to complete certain of our currently planned preclinical and clinical development programs, including future late-stage clinical trials. If we are able to gain marketing approval for any product candidates that we develop, we will require significant amounts of additional capital in order to launch and commercialize such product candidates. As the outcome of our ongoing research and development activities, including the outcome of future anticipated preclinical studies and clinical trials, is highly uncertain, we cannot reasonably estimate the actual amounts of additional capital necessary to successfully complete the development and commercialization of any product candidate we develop. We do not expect to generate sustainable positive operating cash flows until, and unless, we obtain approval from the FDA and other regulatory authorities and successfully commercialize one or more of our product candidates.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 result of these and other factors, we will need to seek additional capital to meet our future operating plans and requirements, including capital necessary to develop, obtain regulatory approval for, and commercialize fasedienol and our other product candidates, and may seek additional capital in the event there exists favorable market conditions or strategic considerations, even if we believe we have sufficient funds for our current or future operating plans and requirements.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need for additional funding depends on many factors, including:</w:t>
      </w:r>
    </w:p>
    <w:p>
      <w:pPr>
        <w:spacing w:after="0" w:line="23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future product candidates we pursue and their development requirements;</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developing and commercializing our product candidates and any other additional product candidates we may develop and pursue in the future;</w:t>
      </w:r>
    </w:p>
    <w:p>
      <w:pPr>
        <w:spacing w:after="0" w:line="18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our product candidates and any other additional product candidates we may develop and pursue in the future;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regulatory approval, the costs of commercialization activities for our product candidates, to the extent such costs are not the responsibility of any future collaborators, including the costs and timing of establishing product sales, marketing, distribution and manufacturing capabilities;</w:t>
      </w:r>
    </w:p>
    <w:p>
      <w:pPr>
        <w:spacing w:after="0" w:line="196"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regulatory approval, revenue, if any, received from commercial sales of our product candidates or any other additional product candidates we may develop and pursue in the future;</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and formulating our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and maintain strategic partnerships, licensing or other collaborative arrangements for the development of our product candidates, on favorable financial terms, if at all;</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regulatory approval, market acceptance of our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and market development and pre-commercial planning activities;</w:t>
      </w:r>
    </w:p>
    <w:p>
      <w:pPr>
        <w:spacing w:after="0" w:line="20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including enforcing and defending intellectual property related claims;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believe that our available financial resources will enable us to fund our operating expense requirements through at least 12 months from the issuance date of our unaudited condensed consolidated financial statements included elsewhere in this Quarterly Report. However, our estimate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w:t>
      </w:r>
    </w:p>
    <w:p>
      <w:pPr>
        <w:spacing w:after="0" w:line="2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terms of any future financing may adversely affect the holdings or the rights of our stockholders and the issuance of additional securities, whether equity or debt, by us, or the possibility of such issuance, may cause the market price of our shares to decline. For example,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may also seek funds through arrangements with collaborative partners in certain territories, including the U.S., or at an earlier stage than otherwise would be desirable or aligned with our business plan, and we may be required to relinquish rights to some of our technologies or product candidates or otherwise agree to terms unfavorable to us, any of which may have a material adverse effect on our business, operating results and prospects.</w:t>
      </w:r>
    </w:p>
    <w:p>
      <w:pPr>
        <w:spacing w:after="0" w:line="2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When necessary, if we are unable to obtain additional funding on a timely basis and on acceptable terms, we may be required to significantly curtail, delay or terminate one or more of our research or product development programs, our pre-commercialization efforts or be unable to continue or expand our operations or otherwise capitalize on our business opportunities, as desired, which could materially affect our business, financial condition and results of operations.</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we are developing or have development plans in place for our five clinical-stage pherine product candidates. We seek to maintain a process of prioritization and resource allocation to maintain an optimal balance between aggressively pursuing our most advanced product candidates and indications and ensuring the development of additional potential product candidates and indications, on our own or with strategic collaborators.</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If we make incorrect determinations regarding the viability or market potential of any of our product candidates or misread trends in the pharmaceutical industry, in particular for psychiatric and neurological disorders,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disorders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w:t>
      </w:r>
    </w:p>
    <w:p>
      <w:pPr>
        <w:spacing w:after="0" w:line="2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our expenses to increase in connection with our planned operations. Unless and until we can generate a substantial amount of revenue from our product candidates, we expect to finance our future cash needs through public or private equity offerings, debt financings, royalty-based financing,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common stock, convertible securities or other equity securities, the ownership interest of our stockholders may be diluted, and the terms of these securities could include liquidation or other preferences and anti-dilution protections that could adversely affect the rights of our common stockholders. In addition, royalty-based financing or debt financing, if available, may result in our relinquishing rights to valuable future revenue streams or fixed payment obligations and may involve agreements that include restrictive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team and may divert a disproportionate amount of our attention away from day-to-day activities, which may adversely affect our management team’s ability to oversee the development of our product candidates.</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If we raise additional capital through collaborations, strategic alliances or marketing, distribution or licensing arrangements, or royalty-based financings with third parties, we may have to relinquish valuable rights to our technologies, future revenue streams, research programs or product candidates, or grant licenses on terms that may not be favorable to us. If we are unable to raise additional capital when needed, we may be required to delay, limit, reduce or terminate our research, product development or future commercialization efforts, grant rights to develop and market product candidates that we would otherwise prefer to develop and market ourselves, obtain capital through arrangement with collaborators on terms unfavorable to us or pursue other strategies, all of which could adversely affect the holdings or the rights of our stockholders.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Regulatory Approval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time-consuming and inherently unpredictable, and if we are ultimately unable to obtain regulatory approval for our product candidates, our business will be substantially harmed.</w:t>
      </w:r>
    </w:p>
    <w:p>
      <w:pPr>
        <w:spacing w:after="0" w:line="1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U.S. without obtaining regulatory approval from the FDA. Foreign regulatory authorities impose similar requirements. The time required to obtain approval by the FDA and comparable foreign authorities is inherently unpredictable, but typically takes many years following the commencement of clinical trials and depends upon numerous factors, including substantial discretion of the regulatory authorities and such factors may vary among jurisdictions. For instance, jurisdictions outside of the U.S., such as China, the European Union (</w:t>
      </w:r>
      <w:r>
        <w:rPr>
          <w:rFonts w:ascii="Times New Roman" w:cs="Times New Roman" w:eastAsia="Times New Roman" w:hAnsi="Times New Roman"/>
          <w:sz w:val="18"/>
          <w:szCs w:val="18"/>
          <w:i w:val="1"/>
          <w:iCs w:val="1"/>
          <w:color w:val="auto"/>
        </w:rPr>
        <w:t>EU</w:t>
      </w:r>
      <w:r>
        <w:rPr>
          <w:rFonts w:ascii="Times New Roman" w:cs="Times New Roman" w:eastAsia="Times New Roman" w:hAnsi="Times New Roman"/>
          <w:sz w:val="18"/>
          <w:szCs w:val="18"/>
          <w:color w:val="auto"/>
        </w:rPr>
        <w:t>) or Japan, may have different requirements for regulatory approval, which may require us to conduct additional clinical, nonclinical or chemistry, manufacturing and control studies. In addition, approval policies, regulations, or the type and amount of clinical data necessary to gain approval may change during the course of a product candidate’s clinical development. To date, we have not submitted an NDA to the FDA or similar drug approval submissions to comparable foreign regulatory authorities for any product candidate. We must complete additional preclinical studies and clinical trials to demonstrate the safety and efficacy of our product candidates in humans before we will be able to seek or obtain these approvals.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inherently uncertain as to outcome. We cannot guarantee that any clinical trials will be conducted as planned or completed on schedule, if at all. The clinical development of our initial and potential additional product candidates is susceptible to the risk of failure inherent at any stage of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any of our product candidates have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our product candidates are toxic or not well tolerated when that is not in fact the case. Serious adverse events or other adverse events, as well as tolerability issues, could hinder or prevent market acceptance of the product candidate at issue.</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may result in our failing to obtain regulatory approval to market any product candidate we develop, which would substantially harm our business, results of operations and prospects. The FDA and other comparable foreign authorities have substantial discretion in the approval process and determining when or whether regulatory approval will be granted for any product candidate that we develop. Even if we believe the data collected from future clinical trials of our product candidates are promising, such data may not be sufficient to support approval by the FDA or any other regulatory authority.</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or comparable foreign regulatory authorities may disagree with our regulatory plan for our product candidates.</w:t>
      </w:r>
    </w:p>
    <w:p>
      <w:pPr>
        <w:spacing w:after="0" w:line="24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order to obtain FDA approval of our product candidates, we must, among other things, demonstrate substantial evidence of the effectiveness of such product candidates. FDA has generally considered this demonstration to require data gathered from two or more adequate and well-controlled clinical trials of the product candidate in the relevant patient population, or in some cases, one adequate and well-controlled trial plus other confirmatory evidence. Adequate and well-controlled clinical trials typically involve a large number of patients, have significant costs and take years to complete. The FDA or other regulatory authorities may disagree with us about whether a clinical trial is adequate and well-controlled or may request that we conduct additional clinical trials prior to granting any regulatory approval. In addition, there is no assurance that the doses, endpoints and trial designs that we intend to use for our ongoing and/or future clinical trials, including trials developed based on feedback from the FDA or other regulatory agencies or those that have been used for the approval of similar drugs, will be acceptable for future approvals. For example, while we have designed our registration-directed Phase 3 program for fasedienol after receiving input and feedback from the FDA, there can be no assurance that the design of our planned clinical trials will be satisfactory to the FDA or that the FDA will not require us to modify our trials or conduct additional testing, or that completing these trials will result in regulatory approval. Even if our ongoing and/or future clinical trials achieve their primary efficacy endpoint, there can be no assurance that the FDA will find them sufficient to support approval. Moreover, there are limited precedents for trial design, trial endpoints and regulatory pathway for certain therapeutic indications we are pursuing through the development of our product candidates, which may make clinical development and regulatory approval for those product candidates more challenging.</w:t>
      </w:r>
    </w:p>
    <w:p>
      <w:pPr>
        <w:spacing w:after="0" w:line="2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clinical trial results may not support approval of our product candidates. In addition, our product candidates could fail to receive regulatory approval, or regulatory approval could be delayed, for many reasons, including the following:</w:t>
      </w:r>
    </w:p>
    <w:p>
      <w:pPr>
        <w:spacing w:after="0" w:line="20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as to the design or implementation of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file or accept our NDA or marketing application for substantive review;</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dosing regimen, design or implementation of our clinical trials;</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18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significance required by the FDA or comparable foreign regulatory authorities for approval;</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our preclinical studies or clinical trials;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the satisfaction of the FDA or comparable foreign regulatory authorities to support the submission of a NDA or other comparable submission in foreign jurisdictions or to obtain regulatory approval in the U.S. or elsewhere;</w:t>
      </w:r>
    </w:p>
    <w:p>
      <w:pPr>
        <w:spacing w:after="0" w:line="21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18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7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 parties having accurately generated, collected, interpreted and reported data from certain preclinical studies and clinical trials that were previously conducted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have acquired substantially all of our current product candidates from Pherin as a result of the Pherin Acquisition, for which Pherin undertook research and development prior to our acquisition or license. We had no involvement with or control over the preclinical and clinical development of our product candidates prior to acquiring or licensing them from Pherin. Therefore, we are dependent, in part, on Pherin’s prior research and development efforts in accordance with the applicable protocols, legal and regulatory requirements, and scientific standards utilized by them; having accurately reported the results of all preclinical studies and clinical trials conducted with respect to such product candidates and having correctly collected and interpreted the data from these studies and trials. These risks also apply to any additional product candidates that we may acquire or in-license in the future. If these activities were not compliant, accurate or correct, the clinical development, regulatory approval or commercialization of our product candidates will be adversely affected.</w:t>
      </w:r>
    </w:p>
    <w:p>
      <w:pPr>
        <w:spacing w:after="0" w:line="2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clinical trials fail to replicate results from earlier preclinical studies or clinical trials conducted by us or third parties, we may be unable to successfully develop, obtain regulatory approval for or commercialize our product candidates.</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results observed from preclinical studies or early-stage clinical trials of our product candidates may not necessarily be predictive of the results of later-stage clinical trials that we conduct. Similarly, positive results from such preclinical studies or clinical trials may not be replicated in our subsequent preclinical studies or clinical trials. Furthermore, our product candidates may not be able to demonstrate similar activity or adverse event profiles as other product candidates that we believe may have similar profiles. In addition, in our planned future clinical trials, we may utilize clinical trial designs or dosing regimens that have not been tested in prior clinical trials.</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There can be no assurance that any of our clinical trials will ultimately be successful or support further clinical development of any of our product candidates, such as the failure of our PALISADE-1 Phase 3 clinical trial of fasedienol to meet its primary endpoint. There is a high failure rate for drugs proceeding through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incur unexpected costs or experience delays in completing, or ultimately be unable to complete, the development and commercialization of our product candidates.</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To obtain the requisite regulatory approvals to commercialize any of our product candidates, we must demonstrate through extensive preclinical studies and clinical trials that our product candidates are safe and effective in humans. We may experience delays in completing our clinical trials or preclinical studies and initiating or completing additional clinical trials or preclinical studies, including as a result of regulators not allowing or delay in allowing clinical trials to proceed under an IND, or not approving or delaying approval for any clinical trial grant or similar approval we need to initiate a clinical trial. We may also experience numerous unforeseen events during our clinical trials that could delay or prevent our ability to receive marketing approval or commercialize the product candidates we develop, including:</w:t>
      </w:r>
    </w:p>
    <w:p>
      <w:pPr>
        <w:spacing w:after="0" w:line="222" w:lineRule="exact"/>
        <w:rPr>
          <w:sz w:val="20"/>
          <w:szCs w:val="20"/>
          <w:color w:val="auto"/>
        </w:rPr>
      </w:pPr>
    </w:p>
    <w:p>
      <w:pPr>
        <w:ind w:left="660" w:right="2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other reviewing bodies such as ethics committees may not authorize us or our investigators to commence a clinical trial, or to conduct or continue a clinical trial at a prospective or specific trial site;</w:t>
      </w:r>
    </w:p>
    <w:p>
      <w:pPr>
        <w:spacing w:after="0" w:line="187"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prospective contract research organizations (</w:t>
      </w:r>
      <w:r>
        <w:rPr>
          <w:rFonts w:ascii="Times New Roman" w:cs="Times New Roman" w:eastAsia="Times New Roman" w:hAnsi="Times New Roman"/>
          <w:sz w:val="18"/>
          <w:szCs w:val="18"/>
          <w:i w:val="1"/>
          <w:iCs w:val="1"/>
          <w:color w:val="auto"/>
        </w:rPr>
        <w:t>CROs</w:t>
      </w:r>
      <w:r>
        <w:rPr>
          <w:rFonts w:ascii="Times New Roman" w:cs="Times New Roman" w:eastAsia="Times New Roman" w:hAnsi="Times New Roman"/>
          <w:sz w:val="18"/>
          <w:szCs w:val="18"/>
          <w:color w:val="auto"/>
        </w:rPr>
        <w:t>) and clinical trial sites, the terms of which can be subject to extensive negotiation and may vary significantly among different CROs and trial sites;</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challenges or delays in recruiting principal investigators or study sites to lead our clinical trials;</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or patients required for clinical trials of our product candidates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194" w:lineRule="exact"/>
        <w:rPr>
          <w:rFonts w:ascii="Times New Roman" w:cs="Times New Roman" w:eastAsia="Times New Roman" w:hAnsi="Times New Roman"/>
          <w:sz w:val="18"/>
          <w:szCs w:val="18"/>
          <w:color w:val="auto"/>
        </w:rPr>
      </w:pPr>
    </w:p>
    <w:p>
      <w:pPr>
        <w:ind w:left="660" w:right="20" w:hanging="328"/>
        <w:spacing w:after="0" w:line="26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contract manufacturing organizations (</w:t>
      </w:r>
      <w:r>
        <w:rPr>
          <w:rFonts w:ascii="Times New Roman" w:cs="Times New Roman" w:eastAsia="Times New Roman" w:hAnsi="Times New Roman"/>
          <w:sz w:val="18"/>
          <w:szCs w:val="18"/>
          <w:i w:val="1"/>
          <w:iCs w:val="1"/>
          <w:color w:val="auto"/>
        </w:rPr>
        <w:t>CMOs</w:t>
      </w:r>
      <w:r>
        <w:rPr>
          <w:rFonts w:ascii="Times New Roman" w:cs="Times New Roman" w:eastAsia="Times New Roman" w:hAnsi="Times New Roman"/>
          <w:sz w:val="18"/>
          <w:szCs w:val="18"/>
          <w:color w:val="auto"/>
        </w:rPr>
        <w:t>), CROs or other third-parties acting on our behalf, may fail to comply with regulatory requirements or meet their contractual obligations to us in a timely manner, or at all;</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2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amend clinical trial protocols submitted to regulatory authorities or conduct additional studies to reflect changes in regulatory requirements or guidance, which may be required to resubmit to an institutional review board (</w:t>
      </w:r>
      <w:r>
        <w:rPr>
          <w:rFonts w:ascii="Times New Roman" w:cs="Times New Roman" w:eastAsia="Times New Roman" w:hAnsi="Times New Roman"/>
          <w:sz w:val="18"/>
          <w:szCs w:val="18"/>
          <w:i w:val="1"/>
          <w:iCs w:val="1"/>
          <w:color w:val="auto"/>
        </w:rPr>
        <w:t>IRB</w:t>
      </w:r>
      <w:r>
        <w:rPr>
          <w:rFonts w:ascii="Times New Roman" w:cs="Times New Roman" w:eastAsia="Times New Roman" w:hAnsi="Times New Roman"/>
          <w:sz w:val="18"/>
          <w:szCs w:val="18"/>
          <w:color w:val="auto"/>
        </w:rPr>
        <w:t>) and regulatory authorities for re-examination;</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other reviewing bodies may find deficiencies with, fail to approve or subsequently find fault with the manufacturing processes or facilities of third-party manufacturers with which we enter into agreements for clinical and commercial supplies, or the supply or quality of any product candidate or other materials necessary to conduct clinical trials of our product candidates may be insufficient, inadequate or not available at an acceptable cost, or we may experience interruptions in supply; and</w:t>
      </w:r>
    </w:p>
    <w:p>
      <w:pPr>
        <w:spacing w:after="0" w:line="20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the applicable foreign regulatory agencies to significantly change in a manner rendering our clinical data insufficient for approval.</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Regulators or IRBs of the institutions in which clinical trials are being conducted may suspend, limit or terminate a clinical trial, or data monitoring committees may recommend that we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drug, changes in governmental regulations or administrative actions or lack of adequate funding to continue the clinical trial. Negative or inconclusive results from our clinical trials or preclinical studies could mandate repeated or additional clinical trials and, to the extent we choose to conduct clinical trials in other indications, could result in changes to or delays in clinical trials of our product candidates in such other indications. We do not know whether any clinical trials that we conduct will demonstrate efficacy and safety results adequate to obtain regulatory approval to market our product candidates for the indications that we are pursuing. If later-stage clinical trials do not produce favorable results, our ability to obtain regulatory approval for our product candidates will be adversely impacted.</w:t>
      </w:r>
    </w:p>
    <w:p>
      <w:pPr>
        <w:spacing w:after="0" w:line="21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failure to successfully initiate and complete clinical trials and to demonstrate the efficacy and safety necessary to obtain regulatory approval to market our product candidates would significantly harm our business. Our product candidate development costs will also increase if we experience delays in testing or regulatory approvals and we may be required to obtain additional funds to complete clinical trials. We cannot assure you that our clinical trials will begin as planned or be completed on schedule, if at all, or that we will not need to restructure or otherwise modify our trials after they have begun.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our product candidates.</w:t>
      </w:r>
    </w:p>
    <w:p>
      <w:pPr>
        <w:spacing w:after="0" w:line="2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Business interruptions resulting from the COVID-19 pandemic, the post-COVID environment and other public health crises could disrupt the development of our product candidates and adversely impact our business.</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For instance, the COVID-19 pandemic and the post-COVID environment, including supply chain, labor market and other disruptions, as well as volatility in the global financial markets, in each case, driven by the pandemic, have impacted and may further impact our clinical trials or preclinical studies. In addition, COVID-19, the post-COVID environment or future public health crises may impact our ability to retain principal investigators and site staff for our clinical trials. For instance, healthcare providers may have heightened exposure to COVID-19 or may be impacted due to prioritization of hospital resources toward the pandemic and restrictions on travel. Our clinical trial sites may be located in geographies that are disproportionately affected by the COVID-19 pandemic or actions taken by governmental and health authorities to address the pandemic. Furthermore, as a result of supply chain, labor market and other disruptions driven by the pandemic and the post-COVID environment, COVID-19 has impacted and may further negatively affect our operations or the operations of our vendors, suppliers and business partners, including the third-party CROs, clinical sites and other vendors that we rely upon to carry out our clinical trials or the operations of our third-party manufacturers and other suppliers, which could result in delays or disruptions in the supply of our product candidates. The negative impact COVID-19 or the post-COVID environment has on patient enrollment, site staffing or treatment or the timing and execution of our clinical trials has caused and could cause further delays to our clinical trial activities, which could adversely affect our ability to obtain regulatory approval for and to commercialize our product candidates, increase our operating expenses and have a material adverse effect on our business and financial results. COVID-19 and the post-COVID environment have also caused volatility in the global financial markets, including inflationary headwinds, which may negatively affect our ability to raise additional capital on attractive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extent to which COVID-19 and the post-COVID environment impact our business, results of operations and financial condition will depend on future developments, including new variants or subvariants, which may impact rates of infection and the extent and effectiveness of actions to contain COVID-19 or treat its impact, including vaccination campaigns, COVID-19 treatments and lockdown measures, among others. In addition, recurrences or additional waves of COVID-19 cases could cause other widespread or more severe impacts depending on where infection rates are highest. We cannot presently predict the scope and severity of any potential business shutdowns or disruptions, but if we or any of the third parties with whom we engage were to experience prolonged business shutdowns or other disruptions, our ability to conduct our business in the manner and on the timelines presently planned could be materially and negatively affected, which could have a material adverse impact on our business, results of operations and financial condition.</w:t>
      </w: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and randomizing patients in our clinical trials, our clinical development activities could be delayed or otherwise adversely affected.</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experience difficulties in patient enrollment and randomization in our clinical trials for a variety of reasons. The timely completion of clinical trials in accordance with our protocols depends, among other things, on our ability to enroll and randomize a sufficient number of patients who remain in the study until its conclusion.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 enrollment and randomization is affected by many factors, including:</w:t>
      </w:r>
    </w:p>
    <w:p>
      <w:pPr>
        <w:spacing w:after="0" w:line="23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COVID-19 pandemic and the post-COVID environment on our ability to recruit and retain patients;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required for analysis of the trial’s primary endpoints;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or condition under investigation;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 clinicians’ and patients’ perceptions as to the potential advantages and risks of the product candidate being studied in relation to other available therapies, including any drugs that may be approved for the indications that we are investigating;</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our clinical trials will drop out of the trials before completion.</w:t>
      </w:r>
    </w:p>
    <w:p>
      <w:pPr>
        <w:spacing w:after="0" w:line="25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may also experience challenges in recruiting principal investigators and patients to participate in ongoing and future clinical trials for our product candidates if we are unable to sufficiently demonstrate the potential of such product candidates to them. In addition, our clinical trials may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Furthermore, if significant adverse events or other side effects are observed in any of our clinical trials, we may have difficulty recruiting patients to our trials and patients may drop out of our trials. Finally, business disruptions, including those relating to natural disasters (including as a result of climate change), geopolitical incidents or macroeconomic conditions, may disrupt our clinical trials.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inability to enroll and randomize a sufficient number of patients for our clinical trials would result in significant delays or might require us to abandon one or more clinical trials or our development efforts altogether. Delays in patient enrollment may result in increased costs, affect the timing or outcome of the planned clinical trials, product candidate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the value of the company to decline and limit our ability to obtain additional financing if needed.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or comparable foreign regulatory authorities notification or approval.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p>
    <w:p>
      <w:pPr>
        <w:spacing w:after="0" w:line="2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our product candidates.</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regulatory authorities in the U.S.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are developing or may seek to develop in the future will ever obtain regulatory approval.</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have no experience in submitting and supporting the applications necessary to gain marketing approvals and expect to rely on third-party CROs and regulatory consultants to augment our internal personnel and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w:t>
      </w:r>
    </w:p>
    <w:p>
      <w:pPr>
        <w:spacing w:after="0" w:line="23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process of obtaining marketing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may announce or publish from time to time may change as more patient data becomes available and is subject to audit and verification procedures that could result in material changes in the final data.</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time to time, we may publish or publicly disclose interim, topline or preliminary data from our clinical trials. These publications or disclosures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w:t>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 Further, disclosure of such data by us or by our competitors could result in volatility in the price of our common stock.</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and commercialization goals in the timeframes we announce and expect, the development and commercialization of our product candidates may be delayed, and our business and results of operations may be harmed.</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w:t>
      </w:r>
    </w:p>
    <w:p>
      <w:pPr>
        <w:spacing w:after="0" w:line="22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capital resources or capital constraints we experience;</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enroll and randomize patients who meet clinical trial eligibility criteria;</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approvals by the FDA and other regulatory authorities and the timing thereof;</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decisions or rules issued by regulators;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materials used to manufacture our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our collaborators with respect to the development and commercialization of our product candidates;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securing of, costs related to, and timing issues associated with, product manufacturing as well as sales and marketing activities.</w:t>
      </w:r>
    </w:p>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fail to achieve announced milestones in the timeframes we expect, the development and commercialization of our product candidates may be delayed, and our business and results of operations may be harmed.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 of one or more of our current drug candidates and we cannot be certain that we will be able to obtain regulatory approval for any of our product candidates.</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not permitted to market our product candidates in the U.S. until we receive approval of an NDA from the FDA, or in any foreign countries until we receive the requisite approval from such countries. Obtaining FDA approval of an NDA is a complex, lengthy, expensive and uncertain process. The FDA may refuse to permit the filing of our NDA, delay, limit or deny approval of an NDA for many reasons, including, among others: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60" w:hanging="328"/>
        <w:spacing w:after="0" w:line="25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submit an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94"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FDA advisory committee may recommend, or the FDA may require, a Risk Evaluation and Mitigation Strategies (</w:t>
      </w:r>
      <w:r>
        <w:rPr>
          <w:rFonts w:ascii="Times New Roman" w:cs="Times New Roman" w:eastAsia="Times New Roman" w:hAnsi="Times New Roman"/>
          <w:sz w:val="18"/>
          <w:szCs w:val="18"/>
          <w:i w:val="1"/>
          <w:iCs w:val="1"/>
          <w:color w:val="auto"/>
        </w:rPr>
        <w:t>REMS</w:t>
      </w:r>
      <w:r>
        <w:rPr>
          <w:rFonts w:ascii="Times New Roman" w:cs="Times New Roman" w:eastAsia="Times New Roman" w:hAnsi="Times New Roman"/>
          <w:sz w:val="18"/>
          <w:szCs w:val="18"/>
          <w:color w:val="auto"/>
        </w:rPr>
        <w:t>) safety program as a condition of approval or post-approval;</w:t>
      </w:r>
    </w:p>
    <w:p>
      <w:pPr>
        <w:spacing w:after="0" w:line="20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FDA advisory committee or the FDA or applicable regulatory agency may determine that there is insufficient evidence of overall effectiveness or safety in an NDA and require additional clinical studies;</w:t>
      </w:r>
    </w:p>
    <w:p>
      <w:pPr>
        <w:spacing w:after="0" w:line="18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agency may determine that the manufacturing processes or facilities of third-party contract manufacturers with which we contract do not conform to applicable requirements, including cGMPs; or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change its approval policies or adopt new regulations.</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any current or future drug product candidate we may develop. Any such setback in our pursuit of regulatory approval for any product candidate would have a material adverse effect on our business and prospects.</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addition, our pherine product candidates, including fasedienol and itruvone,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In the U.S., a combination product with a drug primary mode of action 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Under FDA regulations, combination products are subject to cGMP requirements applicable to both drugs and devices, including the Quality System regulations applicable to medical devices. Problems associated with the device component of the combination product candidate may delay or prevent approval.</w:t>
      </w:r>
    </w:p>
    <w:p>
      <w:pPr>
        <w:spacing w:after="0" w:line="22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regulatory approval, if obtained.</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Undesirable side effects caused by any of our product candidates could cause us or regulatory authorities to interrupt, delay or halt clinical trials and could result in a more restrictive label or the delay or denial of regulatory approval by the FDA or comparable foreign regulatory authorities. We may also observe safety or tolerability issues with our product candidates in ongoing or future clinical trials. Many compounds that initially showed promise in clinical or earlier-stage testing are later found to cause undesirable or unexpected side effects that prevented further development of the compound. Results of future clinical trials of our product candidates could reveal a high and unacceptable severity and prevalence of side effects or unexpected characteristics, despite a favorable tolerability profile observed in earlier-stage testing. 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If unacceptable side effects arise in the development of our product candidates, we, the FDA or comparable foreign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or comparable foreign regulatory authorities could order us to cease clinical trials or deny approval of our product candidates for any or all targeted indications. Treatment-emergent side effects that are deemed to be drug-related could delay recruitment of clinical trial subjects or may cause subjects that enroll in our clinical trials to discontinue participation in our clinical trials.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harm to patients that are administered our product candidates. Any of these occurrences may adversely affect our business, financial condition and prospects significantly.</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may also be required to engage in similar actions, such as patient education, certification of health care professionals or specific monitoring, if we or others later identify undesirable side effects caused by any product. Other potentially significant negative consequences associated with adverse events include:</w:t>
      </w:r>
    </w:p>
    <w:p>
      <w:pPr>
        <w:spacing w:after="0" w:line="20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suspend marketing of a product, or we may decide to remove such product from the marketplace;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modify their approvals of our product;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post-marketing studies;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our product is administered;</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 or be sued and held liable for harm caused to subjects or patients;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may become less competitive,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these events could diminish the usage or otherwise limit the commercial success of our product candidates and prevent us from achieving or maintaining market acceptance of our product candidates, if approved by the FDA or other regulatory authorities.</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Before we can commercialize our product candidates in the U.S. or any market outside the U.S., the U.S. Drug Enforcement Administration (</w:t>
      </w:r>
      <w:r>
        <w:rPr>
          <w:rFonts w:ascii="Times New Roman" w:cs="Times New Roman" w:eastAsia="Times New Roman" w:hAnsi="Times New Roman"/>
          <w:sz w:val="18"/>
          <w:szCs w:val="18"/>
          <w:i w:val="1"/>
          <w:iCs w:val="1"/>
          <w:color w:val="auto"/>
        </w:rPr>
        <w:t>DEA</w:t>
      </w:r>
      <w:r>
        <w:rPr>
          <w:rFonts w:ascii="Times New Roman" w:cs="Times New Roman" w:eastAsia="Times New Roman" w:hAnsi="Times New Roman"/>
          <w:sz w:val="18"/>
          <w:szCs w:val="18"/>
          <w:color w:val="auto"/>
        </w:rPr>
        <w:t>)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candidates to be controlled substances, we cannot yet give any assurance that such product candidates will not be regulated as controlled substances.</w:t>
      </w:r>
    </w:p>
    <w:p>
      <w:pPr>
        <w:spacing w:after="0" w:line="2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If any of our product candidates are regulated as controlled substances, depending on the DEA controlled substance schedule in which the product candidates are placed or that of its foreign counterpart, we, our CMOs, and any future distributors,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CMOs would be subject to initial and periodic DEA inspection. If we or our CMOs are not able to obtain or maintain any necessary DEA registrations or comparable foreign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concentrated our research and development efforts on the treatment of psychiatric and neurological disorders, a field that faces certain challenges in drug development.</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focused our research and development efforts on addressing psychiatric and neurological disorders. Efforts by pharmaceutical companies in this field have faced certain challenges in drug development. In particular, many neuroscience disorders such as anxiety and depression disorders rely on subjective assessments by clinicians and subjective patient-reported outcomes as key endpoints. This makes them more difficult to evaluate than indications with more objective endpoints. Furthermore, these indications are often subject to a placebo effect, which may make it more challenging to isolate the beneficial effects of our product candidates. There can be no guarantee that we will successfully overcome these challenges with our product candidates or that we will not encounter other challenges in the development of our product candidates.</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regulatory approval, it may fail to achieve the degree of market acceptance by physicians, patients, third-party payors and others in the medical community necessary for commercial success, in which case we may not generate significant revenues or become profitable.</w:t>
      </w:r>
    </w:p>
    <w:p>
      <w:pPr>
        <w:spacing w:after="0" w:line="1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have never commercialized a product, and even if any of our product candidates is approved by the appropriate regulatory authorities for marketing and sale, it may nonetheless fail to achieve sufficient market acceptance by physicians, patients, third-party payors and others in the medical community. Certain of the indications for our product candidates have well-established standards of care that physicians, patients and payors are familiar with and, in some cases, are available generically. Even if our product candidates are successful in registrational clinical trials, they may not be successful in displacing these current standards of care, if any, if we are unable to demonstrate superior efficacy, safety, ease of administration and/or cost-effectiveness. For example, physicians may be reluctant to take their patients off their current medications and switch their treatment regimen to our product candidates. Further, patients often acclimate to the treatment regimen that they are currently taking and do not want to switch unless their physicians recommend switching products or they are required to switch due to lack of coverage and adequate reimbursement. Even if we are able to demonstrate our product candidates’ safety and efficacy to the FDA and other regulators, safety or efficacy concerns in the medical community may hinder market acceptance.</w:t>
      </w:r>
    </w:p>
    <w:p>
      <w:pPr>
        <w:spacing w:after="0" w:line="2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 candidates may require significant resources, including management time and financial resources, and may not be successful. For example, even if fasedienol ultimately receives regulatory approval, we may have difficulty in convincing the medical community that fasedienol has the potential to deliver promising therapeutic benefits above and beyond antidepressants. If any product candidate is approved but does not achieve an adequate level of market acceptance, we may not generate significant revenues and we may not become profitable. The degree of market acceptance of our product candidates, if approved for commercial sale, will depend on a number of factors, including:</w:t>
      </w:r>
    </w:p>
    <w:p>
      <w:pPr>
        <w:spacing w:after="0" w:line="20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the product compared to competitive therapies;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any future collaborators, to offer the product for sale at competitive prices;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adequacy of coverage and reimbursement from government payors, managed care plans and other third-party payors.</w:t>
      </w: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failure by one or more of our product candidates that obtains regulatory approval to achieve market acceptance or commercial success would adversely affect our business prospects.</w:t>
      </w:r>
    </w:p>
    <w:p>
      <w:pPr>
        <w:spacing w:after="0" w:line="17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commercialize other product candidates, we may be unable to grow our business and our ability to achieve our strategic objectives would be impaired.</w:t>
      </w:r>
    </w:p>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Although the development and commercialization of our current product candidates are our initial focus, as part of our longer-term growth strategy, we plan to develop other product candidates. We intend to evaluate internal opportunities from our existing product candidates or other potential product candidates, and also may choose to in-license or acquire other product candidates to treat patients suffering from other disorders with significant unmet medical needs and limited treatment options. These other potential product candidates will require additional, time-consuming development efforts prior to commercial sale, including preclinical studies,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successfully commercialized or widely accepted in the marketplace or be more effective than other commercially available alternatives.</w:t>
      </w:r>
    </w:p>
    <w:p>
      <w:pPr>
        <w:spacing w:after="0" w:line="2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we intend to devote substantial capital and resources for basic research to discover and identify additional pherine product candidates. These research programs require substantial technical, financial and human resources, whether or not any product candidates are ultimately identified. Our research programs may initially show promise in identifying potential pherine product candidates, yet fail to yield product candidates for clinical development for many reasons, including the following:</w:t>
      </w:r>
    </w:p>
    <w:p>
      <w:pPr>
        <w:spacing w:after="0" w:line="20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that we develop may nevertheless be covered by third parties’ patents or other exclusive rights;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w:t>
      </w:r>
    </w:p>
    <w:p>
      <w:pPr>
        <w:spacing w:after="0" w:line="23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the future, we may also seek to in-license or acquire product candidates or the underlying technology. The process of proposing, negotiating and implementing a license or acquisition is lengthy and complex. Other companies, including some with substantially greater financial, marketing and sales resources, may compete with us for the license or acquisition of product candidates.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future acquisitions may entail numerous operational and financial risks, including:</w:t>
      </w:r>
    </w:p>
    <w:p>
      <w:pPr>
        <w:spacing w:after="0" w:line="25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management’s time and attention to develop acquired products or technologies;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dilutive issuances of securities or depletion of cash to pay for acquisitions;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combining the operations and personnel of any acquired businesses with our operations and personnel;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motivate key employees of any acquired businesses.</w:t>
      </w: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are unsuccessful in identifying and developing additional product candidates, either through internal development or licensing or acquisition from third parties, our potential for growth and achieving our strategic objectives may be impaired.</w:t>
      </w:r>
    </w:p>
    <w:p>
      <w:pPr>
        <w:spacing w:after="0" w:line="1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The number of patients with the neuroscience disorders for which we are developing our product candidates has not been established with precision. If the actual number of patients with the disorders we elect to pursue with our product candidates is smaller than we anticipate, we may have difficulties in enrolling patients in our clinical trials, which may delay or prevent development of our product candidates. Even if such product candidates are successfully developed and approved, the markets for our products may be smaller than we expect and our revenue potential and ability to achieve profitability may be materially adversely affected.</w:t>
      </w:r>
    </w:p>
    <w:p>
      <w:pPr>
        <w:spacing w:after="0" w:line="2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pipeline includes product candidates for a variety of neuroscience disorders. There is no precise method of establishing the actual number of patients with any of these disorders in any geography over any time period. With respect to many of the indications in which we have developed, are developing, or plan to develop our product candidates, we have estimates of the prevalence of the disease or disorder. Our estimates as to prevalence may not be accurate, and the actual prevalence or addressable patient population for some or all of those indications, or any other indication that we elect to pursue, may be significantly smaller than our estimates. In estimating the potential prevalence of indications we are pursuing, or may in the future pursue, including our estimates as to the prevalence of SAD, MDD and vasomotor symptoms (hot flashes) due to menopause, we apply assumptions to available information that may not prove to be accurate. In each case, there is a range of estimates in the published literature and in marketing studies, which include estimates within the range that are lower than our estimates. The actual number of patients with these disease indications may, however, be significantly lower than we believe. Even if our prevalence estimates are correct, our product candidates may be developed for only a subset of patients with the relevant disease or disorder or our products, if approved, may be indicated for or used by only a subset. In the event the number of patients with the diseases and disorders we are studying is significantly lower than we expect, we may have difficulties in enrolling patients in our clinical trials, which may delay or prevent development of our product candidates. If any of our product candidates are approved and our prevalence estimates with respect to any indication or our other market assumptions are not accurate, the markets for our product candidates for these indications may be smaller than we anticipate, which could limit our revenues and our ability to achieve profitability or to meet our expectations with respect to revenues or profits.</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Competitive products may reduce or eliminate the commercial opportunity for our product candidates, if approved. If our competitors develop technologies or product candidates more rapidly than we do, or their technologies or product candidates are more effective or safer than ours, our ability to develop and successfully commercialize our product candidates may be adversely affected.</w:t>
      </w:r>
    </w:p>
    <w:p>
      <w:pPr>
        <w:spacing w:after="0" w:line="19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clinical and commercial landscapes for the treatment of neuroscience disorders, including those we are pursuing, are highly competitive and subject to rapid and significant technological change. We face competition with respect to our indications for our product candidates and will face competition with respect to any other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drug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that a significant number of product candidates are currently under development for certain of the same indications we are currently pursuing, and some or all may become commercially available in the future for the treatment of conditions for which we are trying or may try to develop product candidates. Our potential competitors include large pharmaceutical and biotechnology companies, specialty pharmaceutical and generic drug companies, academic institutions, government agencies and research institutions. See the section entitled “Business—Competition” in our Annual Report 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Form 10-K for the fiscal year ended March 31, 2024, as filed with the SEC on June 11, 2024, for examples of the competition that our product candidates face.</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any product candidate we may commercialize and may render our therapies obsolete or non-competitive before we can recover development and commercialization expenses. If any of our product candidates are approved, it could compete with a range of therapeutic treatments that are in development. In addition, our competitors may succeed in developing, acquiring or licensing technologies and drug products that are more effective or less costly than our product candidates, which could render our product candidates obsolete and noncompetitive.</w:t>
      </w:r>
    </w:p>
    <w:p>
      <w:pPr>
        <w:spacing w:after="0" w:line="2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If we obtain approval for any of our product candidates,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may develop. Competitive products may make any products we develop obsolete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2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our competitors may obtain patent protection, regulatory exclusivities or FDA approval and commercialize products more rapidly than we do, which may impact future approvals or sales of any of our product candidates that receive regulatory approval. If the FDA approves the commercial sale of any product candidate,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 regulatory approval but cannot compete effectively in the marketplace.</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programs.</w:t>
      </w:r>
    </w:p>
    <w:p>
      <w:pPr>
        <w:spacing w:after="0" w:line="2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our sales, marketing and distribution capability on our own or through collaborations with marketing partners, we will not be successful in commercializing our product candidates.</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currently have no marketing, sales or distribution capabilities. We intend to establish a sales and marketing organization, either on our own or in collaboration with third parties, with technical expertise and supporting distribution capabilities to commercialize one or more of our product candidates that may receive regulatory approval in key territories. These efforts will require substantial additional resources, some or all of which may be incurred in advance of any approval of the product candidate. Any failure or delay in the development of our or third parties’ internal sales, marketing and distribution capabilities would adversely impact the commercialization of our product candidates.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on our own include:</w:t>
      </w:r>
    </w:p>
    <w:p>
      <w:pPr>
        <w:spacing w:after="0" w:line="23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leadership and sales personnel;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persuade adequate numbers of physicians to prescribe any future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With respect to our existing and future product candidates, we may choose to collaborate with third parties that have direct sales forces and established distribution systems to serve as an alternative to our own sales force and distribution systems. Our future product revenue may be lower than if we directly marketed or sold our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p>
    <w:p>
      <w:pPr>
        <w:spacing w:after="0" w:line="2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do not establish sales and marketing capabilities successfully, either on our own or in collaboration with third parties, we will not be successful in commercializing our product candidates.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or any of our future collaborators could divert our resources and attention, cause us to incur substantial liabilities and limit commercialization of our product candidates.</w:t>
      </w:r>
    </w:p>
    <w:p>
      <w:pPr>
        <w:spacing w:after="0" w:line="1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use of our product candidates by us and any collaborators in clinical trials, and the sale of these product candidates, if approved, in the future, may expose us to liability claims. We face an inherent risk of product liability lawsuits related to the use of our product candidates in patients and will face an even greater risk if product candidates are approved by regulatory authorities and introduced commercially. Product liability claims may be brought against us by participants enrolled in our clinical trials, patients, health care providers, pharmaceutical companies, our collaborators or others using, administering or selling any of our future approved products. If we cannot successfully defend ourselves against any such claims, we may incur substantial liabilities or be required to limit commercialization of our product candidates. Regardless of the merits or eventual outcome, liability claims may result in:</w:t>
      </w:r>
    </w:p>
    <w:p>
      <w:pPr>
        <w:spacing w:after="0" w:line="22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of our future approved products;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costs;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or costly settlements with, patients or other claimants;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a change in the indications for which they may be used;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clinical development does not always fully characterize the safety and efficacy profile of a new medicine, and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our products. We could be adversely affected if we are subject to negative publicity associated with illness or other adverse effects resulting from patients’ use or misuse of our products or any similar products distributed by other companies.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Although we maintain product liability insurance coverage consistent with industry norms, including clinical trial liability, this insurance may not fully cover potential liabilities that we may incur. The cost of any product liability litigation or other proceeding, even if resolved in our favor, could be substantial. We will need to increase our insurance coverage if we commercialize any product that receives regulatory approval.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Cyberattacks or other failures in our telecommunications or information technology systems, or those of our collaborators, CROs, third-party logistics providers, distributors or other contractors or consultants, could result in information theft, data corruption and significant disruption of our business operations.</w:t>
      </w:r>
    </w:p>
    <w:p>
      <w:pPr>
        <w:spacing w:after="0" w:line="19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along with our collaborators, CROs, third-party logistics providers, distributors and other contractors and consultants, utilize information technology (</w:t>
      </w:r>
      <w:r>
        <w:rPr>
          <w:rFonts w:ascii="Times New Roman" w:cs="Times New Roman" w:eastAsia="Times New Roman" w:hAnsi="Times New Roman"/>
          <w:sz w:val="18"/>
          <w:szCs w:val="18"/>
          <w:i w:val="1"/>
          <w:iCs w:val="1"/>
          <w:color w:val="auto"/>
        </w:rPr>
        <w:t>IT</w:t>
      </w:r>
      <w:r>
        <w:rPr>
          <w:rFonts w:ascii="Times New Roman" w:cs="Times New Roman" w:eastAsia="Times New Roman" w:hAnsi="Times New Roman"/>
          <w:sz w:val="18"/>
          <w:szCs w:val="18"/>
          <w:color w:val="auto"/>
        </w:rPr>
        <w:t>) systems and networks to process, transmit and store electronic information, including confidential information such as proprietary business information and personal information of our employees and contractors, in connection with our business activities. As use of digital technologies has increased, our IT systems and those of our third-party service providers, strategic partners and other contractors or consultants are increasingly vulnerable to attack, damage and interruption from cyber incidents, including third parties gaining access to employee accounts using stolen or inferred credentials, computer malware (e.g., ransomware), viruses, malicious code, spamming, phishing attacks and other social engineering schemes, employee theft or misuse, human error, fraud, denial or degradation of service attacks, sophisticated nation-state and nation-state-supported actors, natural disasters, terrorism, war, telecommunication and electrical failures or other threats. Deliberate attacks and attempts to gain unauthorized access to computer systems and networks, have increased in frequency and sophistication. These threats pose a risk to the security of our, our collaborators’, CROs’, third-party logistics providers’, distributors’ and other contractors’ and consultants’ systems and networks, and the confidentiality, availability and integrity of our data. We may not be successful in preventing or identifying cyberattacks and may experience security breaches that may remain undetected for an extended period. Even if identified, we may be unable to adequately investigate or successfully mitigate their effects due to attackers increasingly using tools and techniques that are designed to circumvent controls, to avoid detection, and to remove or obfuscate forensic evidence. Like other companies, we have on occasion experienced, and will continue to experience, threats to our data and systems, including malicious codes and viruses, phishing, business email compromise attacks or other cyberattacks. Similarly, our collaborators, CROs, third-party logistics providers, distributors and other contractors and consultants may not be successful in protecting our clinical and other data that is stored on their systems. Any cyberattack, data breach or destruction or loss of data could result in a violation of applicable U.S. and international privacy, data protection and other laws and subject us to litigation and governmental investigations and proceedings by federal, state and local regulatory entities in the U.S.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 which could have a material adverse effect on our business and prospects. For example, the loss of clinical trial data from completed or ongoing clinical trials for any of our product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and may incur significant additional expense to implement further data protection measures.</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We may decide to collaborate with pharmaceutical and biotechnology companies for the development and potential commercialization of those product candidates.</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derive revenue from research and development fees, license fees, milestone payments and royalties under any collaborative arrangement into which we enter. However, our ability to generate revenue from such arrangements will depend on our collaborators’ abilities to successfully perform the functions assigned to them in these arrangements. In addition, our collaborators have the right to abandon research or development projects and terminate applicable agreements, including funding obligations, prior to or upon the expiration of the agreed upon terms. As a result, we can expect to relinquish some or all of the control over the future success of a product candidate that we license to a third party in the territories included in the licenses.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additional definitive agreements for collaborations will depend, among other things, upon our assessment of the collaborator’s resources and expertise, the terms and conditions of the proposed collaboration, and the proposed collaborator’s evaluation of a number of factors.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Those factors may include the design or results of nonclinical and clinical trials, the likelihood of approval by the FDA or similar regulatory authorities outside the U.S.,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any future collaboration that we enter into may not be successful. The success of our current and future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1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future profitability may depend, in part, on our ability to develop and commercialize our product candidates with third-party collaborators in foreign markets. If we develop and commercialize our product candidates in foreign markets, we would be subject to additional risks and uncertainties, including:</w:t>
      </w:r>
    </w:p>
    <w:p>
      <w:pPr>
        <w:spacing w:after="0" w:line="17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product candidates in foreign markets;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different standards of patentability and different availability of prior art in some foreign countries as compared with the U.S.;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Managing Our Business and Operations</w:t>
      </w:r>
    </w:p>
    <w:p>
      <w:pPr>
        <w:spacing w:after="0" w:line="2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executive officers, third-party consultants and others and our ability to compete in the biotechnology and pharmaceutical industries depends upon our ability to attract and retain highly qualified managerial, scientific and medical personnel. The loss of their services or our inability to hire and retain such personnel would materially harm our business.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success depends, and will likely continue to depend, upon our ability to hire, and our ability to retain the services of our executive officers and other key employees within our organization. Our executive officers and other key employees may terminate their employment with us at any time. The loss of their services might impede the achievement of our operational and strategic objectives.</w:t>
      </w:r>
    </w:p>
    <w:p>
      <w:pPr>
        <w:spacing w:after="0" w:line="2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ability to compete in the bio-pharmaceutical industry depends upon our ability to attract and retain highly qualified managerial, scientific, medical, and technical personnel. In particular, we will need to retain and, in some cases, hire, qualified personnel with expertise in clinical development and operations, preclinical research and development, manufacturing, quality management, medical and regulatory affairs, finance and accounting and other areas in connection with the continued development and commercialization of our product candidates. We currently rely, and for the foreseeable future will continue to rely, on third-party consultants and advisors, including scientific and clinical advisors, to assist us in formulating certain of our research and development objectives and activities as well as the development of certain of our commercialization strategies.</w:t>
      </w:r>
    </w:p>
    <w:p>
      <w:pPr>
        <w:spacing w:after="0" w:line="22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 and the culture fit to be a leader in our organization. Competition to hire from this limited pool is intense, and we may be unable to hire, train, retain or motivate these additional key personnel on acceptable terms given the competition among numerous pharmaceutical and biotechnology companies for similar personnel. We also experience competition for the hiring of scientific and clinical personnel from universities and research institutions. Further, inflationary pressure may increase our costs, including employee compensation costs or result in employee attrition to the extent our compensation does not keep up with inflation, particularly if our competitors’ compensation does.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services of third-party consultants and advisors will continue to be available to us on a timely basis when needed, that we will be able to manage our existing consultants and advisors or that we can find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qualified replacements on economically reasonable terms, or at all. Our consultants and advisors may be employed by other entities and may have commitments under consulting or advisory contracts with those entities that may limit their availability to us. If we are unable to continue to attract and retain highly qualified consultants and advisors, our ability to develop and commercialize our product candidates will be limited.</w:t>
      </w:r>
    </w:p>
    <w:p>
      <w:pPr>
        <w:spacing w:after="0" w:line="19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hire and/or retain a sufficient number of employees or employees with the required expertise to develop our product candidates or operate our business successfully.</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As of June 30, 2024, we had 41 full-time employees. Our focus on the development of our lead product candidates requires us to optimize cash utilization and to manage and operate our business in a highly efficient manner. We cannot assure you that we will be able to hire and/or retain adequate staffing levels to develop our product candidates or run our operations and/or to accomplish all of the objectives that we otherwise would seek to accomplish. If we are not able to effectively expand our organization by hiring new qualified employees, our clinical trials may be delayed or terminated, we may not be able to successfully execute the tasks necessary to further develop and commercialize our product candidates and, accordingly, may not achieve our development and commercialization goals.</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and CROs may engage in misconduct or other improper activities, including non-compliance with regulatory standards and requirements, which could cause significant liability for us and harm our reputation.</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and CROs may engage in fraudulent conduct or other illegal activity.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Misconduct by those parties could include intentional, reckless and/or negligent conduct or disclosure of unauthorized activities that violates:</w:t>
      </w:r>
    </w:p>
    <w:p>
      <w:pPr>
        <w:spacing w:after="0" w:line="204" w:lineRule="exact"/>
        <w:rPr>
          <w:sz w:val="20"/>
          <w:szCs w:val="20"/>
          <w:color w:val="auto"/>
        </w:rPr>
      </w:pPr>
    </w:p>
    <w:p>
      <w:pPr>
        <w:ind w:left="660" w:right="2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and trial protocols or the FDA regulations or similar regulations of comparable non-U.S. regulatory authorities, including those laws requiring the reporting of true, complete and accurate information to such authorities;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standards;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healthcare fraud and abuse laws and regulations and similar laws and regulations established and enforced by comparable non-U.S. regulatory authorities; and</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reporting of financial information or data accurately.</w:t>
      </w:r>
    </w:p>
    <w:p>
      <w:pPr>
        <w:spacing w:after="0" w:line="23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of information obtained in the course of clinical trials or creating fraudulent data in our preclinical studies or clinical trials, which could result in regulatory sanctions and cause serious harm to our reputation. Activities subject to these laws also involve the improper use or misrepresentation of information obtained in the course of clinical trials, creating fraudulent data in our preclinical studies or clinical trials or illegal misappropriation of product materials,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disgorgement, integrity oversight and reporting obligations, possible exclusion from participation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expand our organization, and as a result, we may encounter difficulties in managing our growth, which could disrupt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To manage these growth activities, we must continue to implement and improve our managerial, operational and financial systems, expand our facilities and continue to recruit and train additional qualified personnel. Our management may need to devote a significant amount of their attention to managing these growth activities. Due to our limited financial resources, our limited operating history and the limited experience of our management team in managing a company with such anticipated growth, we may not be able to effectively manage the expansion or any necessary relocation of our operations, retain key employees, or identify, recruit and train additional qualified personnel. Our inability to manage the expansion or any necessary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or political conditions could adversely affect our business, financial condition or results of operations.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economic downturn triggered by the COVID-19 pandemic,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7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 we have in place may prove inadequate in the event of a serious disaster or similar event. We may incur substantial expense as a result of the limited nature of our disaster recovery and business continuity plans, which could have a material adverse effect on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Remote working arrangements could significantly increase our digital and cybersecurity risks.</w:t>
      </w:r>
    </w:p>
    <w:p>
      <w:pPr>
        <w:spacing w:after="0" w:line="2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Most of our employees are geographically dispersed from our headquarters facility in South San Francisco and now routinely work remotely. With the continuing shift to remote working, and the use of virtual board and executive management meetings, cybersecurity risks are exponentially greater, including increased risk of phishing and other cybersecurity attacks as well as increased risk of unauthorized dissemination of sensitive personal information or proprietary or confidential information about us or our customers, employees, or business partners. Despite our cybersecurity measures, we may be more susceptible to security breaches and other security incidents because we have less capability to implement, monitor, and enforce our information security and data protection policies. Techniques or software used to gain unauthorized access, and/or disable, degrade, or harm our systems may be difficult to detect for prolonged periods of time, and we may be unable to anticipate these techniques or put in place protective or preventive measures. The damage or disruption of our systems, or the theft or compromise of our technology, data, or intellectual property, may negatively impact our business, financial condition and results of operations, reputation, stock price and long-term value, which could adversely affect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politics in the U.S. could diminish the value of the pharmaceutical industry, thereby diminishing the value of our securities.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current political environment in the U.S. has led many incumbents and political candidates to propose various measures to reduce the prices for pharmaceuticals. These proposals may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assist in conducting our clinical trials. If they do not perform satisfactorily, we may not be able to obtain regulatory approval or commercialize our product candidates, or such approval or commercialization may be delayed, and our business could be substantially harmed.</w:t>
      </w:r>
    </w:p>
    <w:p>
      <w:pPr>
        <w:spacing w:after="0" w:line="1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relied upon and plan to continue to rely on third parties, such as CROs, clinical data management organizations, medical institutions and clinical investigators, to augment out internal personnel in the conduct of our clinical trials and expect to rely on these third parties to augment our efforts to conduct clinical trials of any product candidate that we develop. Our ability to complete clinical trials in a timely fashion depends on a number of key factors. These factors include protocol design, regulatory and IRB or ethics committee approval, patient enrollment rates and compliance with GCPs. In most cases, we use the services of third parties, including CROs, to carry out many of clinical trial-related activities and rely on such parties to accurately report their results. Our reliance on third parties for clinical development activities may impact or limit our control over the timing, conduct, expense and quality of our clinical trials. Moreover, the FDA and certain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The FDA and comparable foreign regulatory authorities enforce these GCPs through periodic inspections of clinical trial sponsors, principal investigators, clinical trial sites and IRBs.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U.S. Similar requirements may exist in foreign jurisdictions.</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remain responsible for ensuring that each of our trials is conducted in accordance with the applicable protocol, legal and regulatory requirements and scientific standards. Our failure or the failure of third parties to comply with the applicable protocol, legal and regulatory requirements and scientific standards can result in rejection of our clinical trial data or other sanctions. If we or our third-party clinical trial providers or third-party CROs do not successfully carry out these clinical activities, our clinical trials or the potential regulatory approval of a product candidate may be delayed or be unsuccessful. Additionally, if we or our third-party contractors fail to comply with applicable GCPs, the clinical data generated in our clinical trials may be deemed unreliable and the FDA or comparable foreign regulatory authorities may require us to perform additional clinical trials before approving our product candidates, which would delay the regulatory approval process. We cannot be certain that, upon inspection, the FDA or comparable foreign regulatory authorities will determine that any of our clinical trials comply with GCPs. We are also required to register certain clinical trials and post the results of completed clinical trials on a government-sponsored database, ClinicalTrials.gov, within certain timeframes. Failure to do so can result in fines, adverse publicity and civil and criminal sanctions.</w:t>
      </w:r>
    </w:p>
    <w:p>
      <w:pPr>
        <w:spacing w:after="0" w:line="2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such independent contractors, we cannot control whether or not they devote sufficient time, skill and resources to our ongoing development programs. Moreover, many CROs, including some of those that we have engaged to conduct our clinical trials, are experiencing enrollment challenges as a result of, among other things, high employee turnover driven by the post-COVID macroeconomic environment and the inexperience of new employees. Furthermore, at clinical trial sites, the availability of staff and trial participants has been limited due to a decrease in the number of clinical investigative sites across the globe. Accordingly, enrollment and randomization of subjects in some of our clinical trials may be slower than expected as a result of these changes in the post-COVID clinical trial landscape.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rely on third parties to manufacture, store and distribute drug supplies for our clinical trials. Any performance failure on the part of these third-parties could delay clinical development or regulatory approval of our product candidates or commercialization of any resulting products, producing additional losses and depriving us of potential product revenue.</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 third-party organizations we utilize may terminate their engagements with us under certain circumstances. The replacement of an existing CRO, manufacturer or other third party may result in the delay of the affected trials or otherwise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adversely affect our efforts to obtain regulatory approvals and commercialize our product candidates. Although we believe we have diversified our risk by engaging a number of CROs and other third-party organizations and there are a number of other CROs we could engage to continue these activities, we may not be able to enter into alternative arrangements or do so on commercially reasonable terms or in a timely manner. In addition, while we believe there may be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and prospects.</w:t>
      </w:r>
    </w:p>
    <w:p>
      <w:pPr>
        <w:spacing w:after="0" w:line="2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particular, we may rely on a hybrid functional service provider (</w:t>
      </w:r>
      <w:r>
        <w:rPr>
          <w:rFonts w:ascii="Times New Roman" w:cs="Times New Roman" w:eastAsia="Times New Roman" w:hAnsi="Times New Roman"/>
          <w:sz w:val="18"/>
          <w:szCs w:val="18"/>
          <w:i w:val="1"/>
          <w:iCs w:val="1"/>
          <w:color w:val="auto"/>
        </w:rPr>
        <w:t>FSP</w:t>
      </w:r>
      <w:r>
        <w:rPr>
          <w:rFonts w:ascii="Times New Roman" w:cs="Times New Roman" w:eastAsia="Times New Roman" w:hAnsi="Times New Roman"/>
          <w:sz w:val="18"/>
          <w:szCs w:val="18"/>
          <w:color w:val="auto"/>
        </w:rPr>
        <w:t>), approach, where, rather than relying on a small number of third-party services providers for a full suite of services, we plan to use a wider number of third-party service providers on an à la carte basis grouped by specific function. We may not be able to realize the cost savings typically associated with the hybrid FSP approach, or this approach may require us to incur increased startup or integration costs. Our hybrid FSP approach may also require us to manage and monitor an increased number of service providers and contractual relationships. Finally, this approach may require us to handle certain functions internally rather than outsourcing them to third parties. Handling these functions internally may require us to spend more time and capital hiring and training employees, and any failure to do so successfully may negatively impact our operations.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third parties to manufacture our product candidates may increase the risk that we will not have sufficient quantities of our product candidates, raw materials, active pharmaceutical ingredients (APIs) or drug products when needed or at an acceptable cost.</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clinical or commercial quantities of our product candidates, and we lack the resources and the capabilities to do so. Our current strategy is to outsource all manufacturing of our product candidates to third parties.</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currently rely on and engage third-party manufacturers to provide all of the API and the final drug product formulation of all of our product candidates that are being used in our clinical trials and preclinical studies. Although we believe that there are several potential alternative manufacturers who could manufacture our product candidates, we may incur added costs and delays in identifying and qualifying any such replacement. However, if necessary, we can provide no assurance that we will be able to find an alternative manufacturer on acceptable terms. We may not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the third-party manufacturers we rely on have only recently begun working with us and have limited or no experience manufacturing our API and final drug products. If our manufacturers have difficulty or suffer delays in successfully manufacturing material that meets our specifications, it may limit supply of our product candidates and could delay our clinical trials.</w:t>
      </w:r>
    </w:p>
    <w:p>
      <w:pPr>
        <w:spacing w:after="0" w:line="1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Even if we are able to establish and maintain arrangements with third-party manufacturers, reliance on third-party manufacturers entails additional risks, including:</w:t>
      </w:r>
    </w:p>
    <w:p>
      <w:pPr>
        <w:spacing w:after="0" w:line="175" w:lineRule="exact"/>
        <w:rPr>
          <w:sz w:val="20"/>
          <w:szCs w:val="20"/>
          <w:color w:val="auto"/>
        </w:rPr>
      </w:pPr>
    </w:p>
    <w:p>
      <w:pPr>
        <w:ind w:left="6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third-party manufacturer to comply with applicable regulatory requirements and reliance on third parties for manufacturing process development, regulatory compliance and quality assurance;</w:t>
      </w:r>
    </w:p>
    <w:p>
      <w:pPr>
        <w:spacing w:after="0" w:line="20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if our third-party manufacturers give greater priority to the supply of other products over our product candidates or otherwise do not satisfactorily perform according to the terms of the agreement between us;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and scheduling constraints of third parties;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factors beyond our control;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manufacturing agreements by the third party, at a time that is costly or inconvenient to us;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we do not maintain our key manufacturing relationships, we may fail to find replacement manufacturers or develop our own manufacturing capabilities, which could delay or impair our ability to obtain regulatory approval for our product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candidates. If we do find replacement manufacturers, we may not be able to enter into agreements with them on terms and conditions favorable to us and there could be a substantial delay before new facilities could be qualified and registered with the FDA and other foreign regulatory authorities.</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Additionally, if any third-party manufacturer with whom we contract fails to perform its obligations, we may be forced to manufacture the materials ourselves, for which we may not have the capabilities or resources, or enter into an agreement with a different manufacturer. In either scenario, our clinical trials supply could be delayed significantly as we establish alternative supply sources. In some cases, the technical skills required to manufacture our product candidates may be unique or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third-party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We may be unsuccessful in demonstrating the comparability of clinical supplies, which could require the conduct of additional clinical trials.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 party owns independently. This would increase our reliance on such third-party manufacturer or require us to obtain a license from such third-party manufacturer in order to have another third party manufacture our product candidates.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any of our product candidates is approved by any regulatory agency, we intend to utilize arrangements with third-party contract manufacturers for the commercial production of those products. This process is difficult and time consuming and we may face competition for access to manufacturing facilities as there are a limited number of contract manufacturers operating under cGMPs that are capable of manufacturing our product candidates. Consequently, we may not be able to reach agreement with third-party manufacturers on satisfactory terms, which could delay our commercialization.</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Some of our manufacturers are located outside of the U.S. There is currently significant uncertainty about the future relationship between the U.S. and various other countries, including China, with respect to trade policies, treaties, government regulations and tariffs. Increased tariffs could potentially disrupt our existing supply chains and impose additional costs on our business. Additionally, it is possible further tariffs may be imposed that could affect imports of APIs used in our product candidates, or our business may be adversely impacted by retaliatory trade measures taken by China or other countries, including restricted access to such raw materials used in our product candidates. Given the unpredictable regulatory environment in China and the U.S. and uncertainty regarding how the U.S. or foreign governments will act with respect to tariffs, international trade agreements and policies, further governmental action related to tariffs, additional taxes, regulatory changes or other retaliatory trade measures in the future could occur with a corresponding detrimental impact on our business and financial condition.</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voluntary recalls of product candidates, operating restrictions and criminal prosecutions, any of which could significantly affect supplies of our product candidates. The facilities used by our contract manufacturers to manufacture our product candidates must be evaluated by the FDA or comparable foreign regulatory authorities in connection with any NDA or other application we may submit. We do not control the manufacturing process of, and are completely dependent on, our contract manufacturing partners for compliance with cGMPs and similar foreign requirements. If our contract manufacturers cannot successfully manufacture material that conforms to our specifications and the strict regulatory requirements of the FDA or others, we may not be able to secure and/or maintain regulatory approval for our product candidates manufactured at these facilities. In addition, we have no control over the ability of our contract manufacturers to maintain adequate quality control, quality assurance and qualified personnel. If the FDA finds deficiencies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Contract manufacturers may face manufacturing or quality control problems causing drug substance production and shipment delays or a situation where the contractor may not be able to maintain compliance with the applicable cGMP requirements. Any failure to comply with cGMP and similar foreign requirements or other FDA and comparable foreign regulatory requirements could adversely affect our clinical research activities and our ability to develop our product candidates and market our products, if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and other foreign regulatory authorities require manufacturers to register manufacturing facilities. The FDA and corresponding foreign regulators also inspect these facilities to confirm compliance with cGMPs and similar foreign requirements.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Contract manufacturers may face manufacturing or quality control problems causing drug substance production and shipment delays or a situation where the contractor may not be able to maintain compliance with the applicable cGMP or similar foreign requirements. Any failure to comply with cGMP requirements or other FDA and comparable foreign regulatory requirements could adversely affect our clinical research activities and our ability to develop our product candidates and market our products following approval, if obtained.</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of any third-party manufacturer to comply with cGMP requirements for applicable drug/device combination products could significantly affect supplies of our product candidates.</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expect all of our current pherine product candidates, fasedienol, itruvone, PH15, PH80 and PH284, will be considered drug-device combination products. Third-party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w:t>
      </w:r>
      <w:r>
        <w:rPr>
          <w:rFonts w:ascii="Times New Roman" w:cs="Times New Roman" w:eastAsia="Times New Roman" w:hAnsi="Times New Roman"/>
          <w:sz w:val="18"/>
          <w:szCs w:val="18"/>
          <w:i w:val="1"/>
          <w:iCs w:val="1"/>
          <w:color w:val="auto"/>
        </w:rPr>
        <w:t>QSR</w:t>
      </w:r>
      <w:r>
        <w:rPr>
          <w:rFonts w:ascii="Times New Roman" w:cs="Times New Roman" w:eastAsia="Times New Roman" w:hAnsi="Times New Roman"/>
          <w:sz w:val="18"/>
          <w:szCs w:val="18"/>
          <w:color w:val="auto"/>
        </w:rPr>
        <w:t>) or similar regulatory requirements outside the U.S. Our failure, or the failure of our third-party manufacturers, to comply with applicable regulations could result in material adverse effects,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any third-party manufacturer of our product candidates is unable to increase the scale of its production of our product candidates or increase the product yield of its manufacturing, then our manufacturing costs may increase and commercialization may be delayed.</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order to produce sufficient quantities to meet the demand for clinical trials and, if approved, subsequent commercialization of our product candidates, our third-party manufacturers will be required to increase their production and optimize their manufacturing processes while maintaining the quality of our product candidates.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and results of operations.</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need to maintain licenses for APIs from third parties to develop and commercialize some of our product candidates, which could increase our development costs and delay our ability to commercialize those product candidates.</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Should we decide to use any APIs in any of our product candidates that are proprietary to one or more third parties, we would need to maintain licenses to those APIs from those third parties. If we are unable to gain or continue to access rights to these APIs prior to conducting preclinical toxicology studies intended to support clinical trials, we may need to develop alternate product candidates from these programs by either accessing or developing alternate APIs, resulting in increased development costs and delays in commercialization of these product candidates. If we are unable to gain or maintain continued access rights to the desired APIs on commercially reasonable terms or develop suitable alternate APIs, we may not be able to commercialize product candidates from these programs.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foreign regulatory authorities must also approve the manufacturing and marketing of the product candidate in those countries. Approval procedures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In many jurisdictions outside the U.S., a product candidate must be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approved for reimbursement before it can be approved for sale in that jurisdiction. In some cases, the price that we intend to charge for our products is also subject to approval.</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U.S. and requirements of comparable foreign regulatory authorities. In addition, we will be subject to continued compliance with cGMP and similar foreign requirements and GCP requirements for any clinical trials that we conduct post-approval.</w:t>
      </w:r>
    </w:p>
    <w:p>
      <w:pPr>
        <w:spacing w:after="0" w:line="2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FDA and comparable foreign regulatory authority requirements, including ensuring that quality control and manufacturing procedures conform to cGMP and similar foreign regulations and applicable product tracking and tracing requirements. As such, we and our contract manufacturers will be subject to continual review and inspections to assess compliance with cGMP and similar foreign requirements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22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204"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product recalls;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comparable foreign regulatory authorities to approve pending applications or supplements to approved applications filed by us or suspension or withdrawal of approvals;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w:t>
      </w:r>
    </w:p>
    <w:p>
      <w:pPr>
        <w:spacing w:after="0" w:line="1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FDA and certain foreign regulatory authorities strictly regulate marketing, labeling, advertising and promotion of products that are placed on the market. Products may be promoted only for the approved indications and in accordance with the provisions of the approved label. The policies of the FDA and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While we may in the future seek designations for our product candidates with the FDA and comparable foreign regulatory authorities that are intended to confer benefits such as a faster development process, an accelerated regulatory pathway or regulatory exclusivity, there can be no assurance that we will successfully obtain such designations. In addition, even if one or more of our product candidates are granted such designations, we may not be able to realize the intended benefits of such designations.</w:t>
      </w:r>
    </w:p>
    <w:p>
      <w:pPr>
        <w:spacing w:after="0" w:line="21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FDA and comparable foreign regulatory authorities offer certain designations for product candidates. These programs are designed to encourage the research and development of product candidates that are intended to address serious conditions. These designations may confer benefits such as additional interaction with regulatory authorities and eligibility for expedited review procedures. However, there can be no assurance that we will successfully obtain such designations for our product candidates. In addition, while such designations could expedite the development or approval process, they generally do not change the standards for approval. Even if we obtain such designations for our product candidates, there can be no assurance that we will realize their intended benefits.</w:t>
      </w:r>
    </w:p>
    <w:p>
      <w:pPr>
        <w:spacing w:after="0" w:line="2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For example, we may seek a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a product candidate that have been designated as a Breakthrough Therapy, interaction and communication between the FDA and the sponsor of the trial can help to identify the most efficient path for clinical development while minimizing the number of patients placed in ineffective control regimens. Product candidates receiving Breakthrough Therapy designation also receive the same benefits associated with Fast Track designation, described below. Designation as a Breakthrough Therapy is within the sole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2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Furthermore, the FDA has granted Fast Track designation for fasedienol for the acute treatment of SAD, for itruvone for the treatment of MDD, and for AV-101 for the adjunctive treatment of MDD and for the treatment of NP, and we may seek Fast Track Designation for some of our other product candidates. If a drug or biologic is intended for the treatment of a serious or life-threatening condition and the therapy demonstrates the potential to address unmet medical needs for this condition, the therapy sponsor may be eligible for Fast Track designation.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application may be eligible for priority review. An NDA submitted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application.</w:t>
      </w:r>
    </w:p>
    <w:p>
      <w:pPr>
        <w:spacing w:after="0" w:line="2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FDA has broad discretion whether or not to grant this designation, so even if we believe a particular product candidate is eligible for this designation, there can be no assurance that the FDA would decide to grant it. The receipt of Fast Track designation for fasedienol for acute treatment of SAD, for itruvone for the treatment of MDD and AV-101 for the adjunctive treatment of MDD and for the treatment of neuropathic pain, and any future receipt of Fast Track designation for other product candidates, does not guarantee a faster development process, review or approval compared to</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Some of our programs may be partially supported by government grant awards, which may not be available to us in the future or subject us to federal regulations such as “march-in” rights, certain reporting requirements and a preference for U.S. industry.</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To fund a portion of our future research and development programs, we may apply for grant funding from governmental agencies. However, funding by these governmental agencies may be significantly reduced or eliminated in the future for a number of reasons. For example, some programs are subject to a yearly appropriations process in Congress. In addition, we may not receive full funding under current or future grants because of budgeting constraints of the agency administering the program or unsatisfactory progress on the study being funded. Therefore, we cannot assure you that we will receive any future grant funding from any government agencies, or, that if received, we will receive the full amount of the particular grant award. Any such reductions could delay the development of our product candidates.</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Moreover, any intellectual property rights generated through the use of U.S. government funding are subject to the Bayh-Dole Act of 1980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the government determines that: (1) adequate steps have not been taken to commercialize the invention; (2) government action is necessary to meet public health or safety needs; or (3) government action is necessary to meet requirements for public use under federal regulations, which we refer to as march-in rights. The U.S. government also has the right to take title to these inventions if we fail, or the applicable licensor fails, to disclose the invention to the government, elect title, and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 result of any arrangement involving government funding, and if we make inventions as a result of such funding, intellectual property rights to such discoveries may be subject to the applicable provisions of the Bayh-Dole Act.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U.S. and elsewhere play a primary role in the recommendation and prescription of pharmaceutical products. Arrangements with third-party payors and customers can expose pharmaceutical manufacturers to broadly applicable fraud and abuse and other healthcare laws and regulations that may constrain the business or financial arrangements and relationships through which we conduct research and would sell, market and distribute our products. Federal and state healthcare laws and regulations that may affect our ability to operate include the following:</w:t>
      </w:r>
    </w:p>
    <w:p>
      <w:pPr>
        <w:spacing w:after="0" w:line="222" w:lineRule="exact"/>
        <w:rPr>
          <w:sz w:val="20"/>
          <w:szCs w:val="20"/>
          <w:color w:val="auto"/>
        </w:rPr>
      </w:pPr>
    </w:p>
    <w:p>
      <w:pPr>
        <w:jc w:val="both"/>
        <w:ind w:left="660" w:hanging="328"/>
        <w:spacing w:after="0" w:line="245"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arrangement,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Violations are subject to civil fines and criminal penalties for each violation, plus up to three times the remuneration involved, imprisonment, and exclusion from government healthcare programs. In addition, the government may assert that a claim including items or services resulting from a violation of the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federal Anti-Kickback Statute constitutes a false or fraudulent claim for purposes of the federal False Claims Act or federal civil money penalties;</w:t>
      </w:r>
    </w:p>
    <w:p>
      <w:pPr>
        <w:spacing w:after="0" w:line="239" w:lineRule="exact"/>
        <w:rPr>
          <w:sz w:val="20"/>
          <w:szCs w:val="20"/>
          <w:color w:val="auto"/>
        </w:rPr>
      </w:pPr>
    </w:p>
    <w:p>
      <w:pPr>
        <w:jc w:val="both"/>
        <w:ind w:left="660" w:hanging="328"/>
        <w:spacing w:after="0" w:line="244"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w:t>
      </w:r>
      <w:r>
        <w:rPr>
          <w:rFonts w:ascii="Times New Roman" w:cs="Times New Roman" w:eastAsia="Times New Roman" w:hAnsi="Times New Roman"/>
          <w:sz w:val="18"/>
          <w:szCs w:val="18"/>
          <w:i w:val="1"/>
          <w:iCs w:val="1"/>
          <w:color w:val="auto"/>
        </w:rPr>
        <w:t>HIPAA</w:t>
      </w:r>
      <w:r>
        <w:rPr>
          <w:rFonts w:ascii="Times New Roman" w:cs="Times New Roman" w:eastAsia="Times New Roman" w:hAnsi="Times New Roman"/>
          <w:sz w:val="18"/>
          <w:szCs w:val="18"/>
          <w:color w:val="auto"/>
        </w:rPr>
        <w:t>), which prohibits, among other things,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223" w:lineRule="exact"/>
        <w:rPr>
          <w:rFonts w:ascii="Times New Roman" w:cs="Times New Roman" w:eastAsia="Times New Roman" w:hAnsi="Times New Roman"/>
          <w:sz w:val="18"/>
          <w:szCs w:val="18"/>
          <w:color w:val="auto"/>
        </w:rPr>
      </w:pPr>
    </w:p>
    <w:p>
      <w:pPr>
        <w:jc w:val="both"/>
        <w:ind w:left="660" w:hanging="328"/>
        <w:spacing w:after="0" w:line="244"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applicable manufacturers of drugs, devices, biologics and medical supplies for which payment is available under Medicare, Medicaid or the Children’s Health Insurance Program to report annually to the U.S. Centers for Medicare &amp; Medicaid Services, within the U.S. Department of Health and Human Services, information related to payments or other transfers of value made to physicians, certain non-physician practitioners including nurse practitioners, certified nurse anesthetists, anesthesiologist assistants, physician assistants, clinical nurse specialists, and certified nurse midwives as well as teaching hospitals and to disclose ownership and investment interests held by physicians and their immediate family members;</w:t>
      </w:r>
    </w:p>
    <w:p>
      <w:pPr>
        <w:spacing w:after="0" w:line="22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manufacturers to calculate and report complex pricing metrics in an accurate and timely manner to government programs; and</w:t>
      </w:r>
    </w:p>
    <w:p>
      <w:pPr>
        <w:spacing w:after="0" w:line="18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government-funded healthcare programs and imprisonment. If any of the above occur, our ability to operate our business and our results of operations could be adversely affected.</w:t>
      </w:r>
    </w:p>
    <w:p>
      <w:pPr>
        <w:spacing w:after="0" w:line="2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success of our product candidates, if approved, depends on the availability of coverage and adequate reimbursement from third-party payors.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196"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5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the U.S.,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Private health insurers and other third-party payors in the U.S. often follow the coverage and reimbursement policies of government payors, including the Medicare or Medicaid programs.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Patients are unlikely to use our product candidates, once approved, unless coverage is provided and reimbursement is adequate to cover a significant portion of their cost. There is significant uncertainty related to insurance coverage and reimbursement of newly approved products. It is difficult to predict at this time what third-party payors will decide with respect to the coverage and reimbursement for our product candidates.</w:t>
      </w: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Moreover, increasing efforts by governmental and other third-party payors in the U.S.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may have a material adverse effect on our business and results of operations.</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9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U.S. Governments have shown significant interest in implementing cost-containment programs, including price controls, restrictions on reimbursement and requirements for substitution of generic products. For instance, in August 2022, the Inflation Reduction Act of 2022 (the IRA) was signed into law. The IRA includes several provisions that will impact our business to varying degrees, including provisions that allow the U.S. government to negotiate Medicare Part B and Part D pricing for certain high-cost drugs and biologics without generic or biosimilar competition, require companies to pay rebates to Medicare for drug prices that increase faster than inflation, create an out-of-pocket cap for Medicare Part D beneficiaries, impose new manufacturer financial liability on all drugs in Medicare Part D and delay the rebate rule that would require pass-through of pharmacy benefit manager rebates to beneficiaries. In particular, the IRA allows CMS to begin negotiating prices for certain high-cost Medicare-covered small molecule drugs after they have spent seven years on the market. On August 29, 2023, CMS announced the list of the first ten drugs that will be subject to price negotiations. Any reduction in reimbursement from Medicare or other government programs may result in a similar reduction in payments from private payors. All of our disclosed product candidates are small molecule drugs and certain of them are being developed in indications that may rely heavily on Medicare reimbursement, such as depression. Accordingly, these new price-negotiation provisions may have a negative impact on our future revenue and profits. The implementation of the IRA is currently subject to ongoing litigation challenging the constitutionality of the IRA’s Medicare drug price negotiation program. The effect of IRA on our business and the healthcare industry in general is not yet fully known. Adoption of price controls and cost-containment measures, and adoption of more restrictive policies in jurisdictions with existing controls and measures, could further limit our revenue generated from the sale of any approved products. Even if we do receive a favorable coverage determination for our products by third-party payors, coverage policies and third-party payor reimbursement rates may change at any time.</w:t>
      </w:r>
    </w:p>
    <w:p>
      <w:pPr>
        <w:spacing w:after="0" w:line="22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 The continuing efforts of the government, insurance companies, managed care organizations and other payers of healthcare services to contain or reduce costs of healthcare may adversely affect:</w:t>
      </w:r>
    </w:p>
    <w:p>
      <w:pPr>
        <w:spacing w:after="0" w:line="208"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3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Legislative and regulatory proposals have been made to expand post-approval requirements and restrict sales and promotional activities for pharmaceutical products. We cannot be sure whether additional legislative changes will be enacted, or whether the FDA or foreign regulations, guidance or interpretations will be changed, or what the impact of such changes on the marketing approvals or clearances of our product candidates, if any, may be.</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Off-label use or misuse of our product candidates may harm our reputation in the marketplace or result in injuries that lead to costly product liability suits.</w:t>
      </w:r>
    </w:p>
    <w:p>
      <w:pPr>
        <w:spacing w:after="0" w:line="1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If our product candidates are approved by the FDA or comparable foreign regulatory authorities, we may only promote or market our product candidates in a manner consistent with their FDA-approved labeling (or the label approved by foreign regulatory authorities). We will train our marketing and sales force against promoting our product candidates for uses outside of the approved indications for use, known as “off-label uses.” We cannot, however, prevent a physician from using our product candidates off-label, when in the physician’s independent professional medical judgment he or she deems it appropriate. Furthermore, the use of our product candidates for indications other than those approved by the FDA or comparable foreign regulatory authorities may not effectively treat such conditions.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ability of the FDA and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FDA and comparable foreign regulatory authorities,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Disruptions at the FDA, other government agencies and comparable foreign regulatory authorities may also slow the time necessary for new drugs to be reviewed and/or approved by necessary government agencies and comparable foreign regulatory authorities,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occurs, including as a result of reaching the debt ceiling, it could significantly impact the ability of the FDA and comparable foreign regulatory authorities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at domestic and foreign manufacturing facilities from March 2020 until July 2021. Even though the FDA has since resumed standard inspection operations, and any resurgence of the virus may lead to other inspectional or administrative delays. If a prolonged government shutdown occurs, or if global health concerns continue to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global data protection laws and regulations, which may require us to incur substantial compliance costs, and any failure or perceived failure by us to comply with such laws and regulations may harm our business and operations.</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the U.S., HIPAA, as amended by the Health Information Technology for Economic and Clinical Health Act of 2009, and regulations implemented thereunder,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w:t>
      </w:r>
      <w:r>
        <w:rPr>
          <w:rFonts w:ascii="Times New Roman" w:cs="Times New Roman" w:eastAsia="Times New Roman" w:hAnsi="Times New Roman"/>
          <w:sz w:val="18"/>
          <w:szCs w:val="18"/>
          <w:i w:val="1"/>
          <w:iCs w:val="1"/>
          <w:color w:val="auto"/>
        </w:rPr>
        <w:t>CCPA</w:t>
      </w:r>
      <w:r>
        <w:rPr>
          <w:rFonts w:ascii="Times New Roman" w:cs="Times New Roman" w:eastAsia="Times New Roman" w:hAnsi="Times New Roman"/>
          <w:sz w:val="18"/>
          <w:szCs w:val="18"/>
          <w:color w:val="auto"/>
        </w:rPr>
        <w:t>)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risks associated with data breach litigation. Further, the California Privacy Rights Act (</w:t>
      </w:r>
      <w:r>
        <w:rPr>
          <w:rFonts w:ascii="Times New Roman" w:cs="Times New Roman" w:eastAsia="Times New Roman" w:hAnsi="Times New Roman"/>
          <w:sz w:val="18"/>
          <w:szCs w:val="18"/>
          <w:i w:val="1"/>
          <w:iCs w:val="1"/>
          <w:color w:val="auto"/>
        </w:rPr>
        <w:t>CPRA</w:t>
      </w:r>
      <w:r>
        <w:rPr>
          <w:rFonts w:ascii="Times New Roman" w:cs="Times New Roman" w:eastAsia="Times New Roman" w:hAnsi="Times New Roman"/>
          <w:sz w:val="18"/>
          <w:szCs w:val="18"/>
          <w:color w:val="auto"/>
        </w:rPr>
        <w:t>)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also be required. Other states have enacted similar consumer privacy laws that grant rights to data subjects and place privacy and security obligations on entities handling personal data of consumers or households. While we are not currently subject to laws such as the CCPA, such state privacy laws and similar legislation proposed at the state and federal level could mark the beginning of a trend toward more stringent privacy legislation in the U.S., which could increase our potential liability and adversely affect our business.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In addition to our operations in the U.S., which may be subject to healthcare and other laws relating to the privacy and security of health information and other personal information, we may seek to conduct future clinical trials in the United Kingdom or the European Economic Area (the </w:t>
      </w:r>
      <w:r>
        <w:rPr>
          <w:rFonts w:ascii="Times New Roman" w:cs="Times New Roman" w:eastAsia="Times New Roman" w:hAnsi="Times New Roman"/>
          <w:sz w:val="18"/>
          <w:szCs w:val="18"/>
          <w:i w:val="1"/>
          <w:iCs w:val="1"/>
          <w:color w:val="auto"/>
        </w:rPr>
        <w:t>EEA</w:t>
      </w:r>
      <w:r>
        <w:rPr>
          <w:rFonts w:ascii="Times New Roman" w:cs="Times New Roman" w:eastAsia="Times New Roman" w:hAnsi="Times New Roman"/>
          <w:sz w:val="18"/>
          <w:szCs w:val="18"/>
          <w:color w:val="auto"/>
        </w:rPr>
        <w:t>) and may become subject to additional European data privacy laws, regulations and guidelines. We will be subject to the data protection laws of the EU and United Kingdom in relation to personal data we collect from these territories. These laws impose additional obligations and risk upon our business, including substantial expenses and changes to business operations that are required to comply with these laws. For example, the European Union General Data Protection Regulation (</w:t>
      </w:r>
      <w:r>
        <w:rPr>
          <w:rFonts w:ascii="Times New Roman" w:cs="Times New Roman" w:eastAsia="Times New Roman" w:hAnsi="Times New Roman"/>
          <w:sz w:val="18"/>
          <w:szCs w:val="18"/>
          <w:i w:val="1"/>
          <w:iCs w:val="1"/>
          <w:color w:val="auto"/>
        </w:rPr>
        <w:t>EU GDPR</w:t>
      </w:r>
      <w:r>
        <w:rPr>
          <w:rFonts w:ascii="Times New Roman" w:cs="Times New Roman" w:eastAsia="Times New Roman" w:hAnsi="Times New Roman"/>
          <w:sz w:val="18"/>
          <w:szCs w:val="18"/>
          <w:color w:val="auto"/>
        </w:rPr>
        <w:t>) went into effect in May 2018 and imposes strict requirements for processing the personal data of individuals within the EEA or in the context of our activities within the EEA. Companies that must comply with the EU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some of the personal data we process in respect of clinical trial participants is special category or sensitive personal data under the EU GDPR, and subject to additional compliance obligations and to local law derogations. Since the beginning of 2021, after the end of the transition period following the withdrawal of the United Kingdom from the EU (</w:t>
      </w:r>
      <w:r>
        <w:rPr>
          <w:rFonts w:ascii="Times New Roman" w:cs="Times New Roman" w:eastAsia="Times New Roman" w:hAnsi="Times New Roman"/>
          <w:sz w:val="18"/>
          <w:szCs w:val="18"/>
          <w:i w:val="1"/>
          <w:iCs w:val="1"/>
          <w:color w:val="auto"/>
        </w:rPr>
        <w:t>Brexit</w:t>
      </w:r>
      <w:r>
        <w:rPr>
          <w:rFonts w:ascii="Times New Roman" w:cs="Times New Roman" w:eastAsia="Times New Roman" w:hAnsi="Times New Roman"/>
          <w:sz w:val="18"/>
          <w:szCs w:val="18"/>
          <w:color w:val="auto"/>
        </w:rPr>
        <w:t>), we may also be subject to the United Kingdom General Data Protection Regulation and Data Protection Act 2018 (collectively, the UK GDPR) which imposes separate but similar obligations to those under the EU GDPR and comparable penalties, including fines of up to £17.5 million or 4% of a noncompliant company’s global annual revenue for the preceding financial year, whichever is greater. The subsequent separation of the data protection regimes of these territories mean we are required to comply with separate data protection laws in the EU and United Kingdom, which may lead to additional compliance costs and could increase our overall risk.</w:t>
      </w:r>
    </w:p>
    <w:p>
      <w:pPr>
        <w:spacing w:after="0" w:line="20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 xml:space="preserve">The EU and UK GDPR (collectively, the </w:t>
      </w:r>
      <w:r>
        <w:rPr>
          <w:rFonts w:ascii="Times New Roman" w:cs="Times New Roman" w:eastAsia="Times New Roman" w:hAnsi="Times New Roman"/>
          <w:sz w:val="18"/>
          <w:szCs w:val="18"/>
          <w:i w:val="1"/>
          <w:iCs w:val="1"/>
          <w:color w:val="auto"/>
        </w:rPr>
        <w:t>GDPR</w:t>
      </w:r>
      <w:r>
        <w:rPr>
          <w:rFonts w:ascii="Times New Roman" w:cs="Times New Roman" w:eastAsia="Times New Roman" w:hAnsi="Times New Roman"/>
          <w:sz w:val="18"/>
          <w:szCs w:val="18"/>
          <w:color w:val="auto"/>
        </w:rPr>
        <w:t>), which deals with the processing of personal data and on the free movement of such data, imposes a broad range of strict requirements, including requirements relating to having lawful</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bases for processing personal data and transferring such information outside the EEA/UK, including to the U.S., providing details to those individuals regarding the processing of their personal data, keeping personal data secure, having data processing agreements with third parties who process personal data, responding to individuals’ requests to exercise their rights in respect of their personal data, reporting security breaches involving personal data to the competent national data protection authority and affected individuals, appointing data protection officers, conducting data protection impact assessments and record-keeping. In addition to fines, a breach of the GDPR may result in regulatory investigations, reputational damage, orders to cease/ change our data processing activities, enforcement notices, assessment notices (for a compulsory audit) and/ or civil claims (including class actions).</w:t>
      </w:r>
    </w:p>
    <w:p>
      <w:pPr>
        <w:spacing w:after="0" w:line="20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GDPR imposes strict rules on the transfer of personal data out of the EEA/UK to countries not regarded by European Commission and the United Kingdom government as providing adequate protection, or the third countries, including the U.S. and the efficacy and longevity of current transfer mechanisms between the EEA and the U.S. remains uncertain. Case law from the Court of Justice of the European Union (</w:t>
      </w:r>
      <w:r>
        <w:rPr>
          <w:rFonts w:ascii="Times New Roman" w:cs="Times New Roman" w:eastAsia="Times New Roman" w:hAnsi="Times New Roman"/>
          <w:sz w:val="18"/>
          <w:szCs w:val="18"/>
          <w:i w:val="1"/>
          <w:iCs w:val="1"/>
          <w:color w:val="auto"/>
        </w:rPr>
        <w:t>CJEU</w:t>
      </w:r>
      <w:r>
        <w:rPr>
          <w:rFonts w:ascii="Times New Roman" w:cs="Times New Roman" w:eastAsia="Times New Roman" w:hAnsi="Times New Roman"/>
          <w:sz w:val="18"/>
          <w:szCs w:val="18"/>
          <w:color w:val="auto"/>
        </w:rPr>
        <w:t>)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October 7, 2022, President Biden signed an Executive Order on ‘Enhancing Safeguards for U.S. Intelligence Activities’ which introduced new redress mechanisms and binding safeguards to address the concerns raised by the CJEU in relation to data transfers from the EEA to the U.S. and which formed the basis of the new EU-US Data Privacy Framework (</w:t>
      </w:r>
      <w:r>
        <w:rPr>
          <w:rFonts w:ascii="Times New Roman" w:cs="Times New Roman" w:eastAsia="Times New Roman" w:hAnsi="Times New Roman"/>
          <w:sz w:val="18"/>
          <w:szCs w:val="18"/>
          <w:i w:val="1"/>
          <w:iCs w:val="1"/>
          <w:color w:val="auto"/>
        </w:rPr>
        <w:t>DPF</w:t>
      </w:r>
      <w:r>
        <w:rPr>
          <w:rFonts w:ascii="Times New Roman" w:cs="Times New Roman" w:eastAsia="Times New Roman" w:hAnsi="Times New Roman"/>
          <w:sz w:val="18"/>
          <w:szCs w:val="18"/>
          <w:color w:val="auto"/>
        </w:rPr>
        <w:t>), as released on December 13, 2022. The European Commission adopted its Adequacy Decision in relation to the DPF on July 10, 2023, rendering the DPF effective as a EU GDPR transfer mechanism to U.S. entities self-certified under the DPF. The DPF also introduced a new redress mechanism for EU citizens which addresses a key concern in the previous CJEU judgments and may mean transfers under standard contractual clauses are less likely to be challenged in future. On October 12, 2023, the UK Extension to the DPF came into effect (as approved by the UK Government), as a UK GDPR data transfer mechanism to U.S. entities self-certified under the UK Extension to the DPF. We expect the existing legal complexity and uncertainty regarding international personal data transfers to continue. In particular, we expect the DPF Adequacy Decision to be challenged and international transfers to the U.S.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 This may lead to additional compliance costs and could increase our overall risk.</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Should we conduct future clinical trials in the U.K. or EU, we cannot assure you that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reputation and materially harm our business. As we continue to expand into other foreign countries and jurisdictions, we may be subject to additional laws and regulations that may affect how we conduct business.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laws and regulations governing international operations could negatively impact or restrict our operations.</w:t>
      </w:r>
    </w:p>
    <w:p>
      <w:pPr>
        <w:spacing w:after="0" w:line="2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If we expand our operations outside of the U.S., we must dedicate additional resources to comply with numerous laws and regulations in each jurisdiction in which we plan to operate. The FCPA prohibits any U.S.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issued patents that are sufficient to protect our product candidates, others could compete against us, which would have a material adverse impact on our business, results of operations, financial condition and prospects.</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strive to protect and enhance the proprietary technologies that we believe are important to our business, including seeking patents intended to cover our product candidates, their compositions and formulations, their methods of use and methods of manufacturing, delivery devices and any other inventions we consider important to the development of our business. We also rely on trade secrets to protect aspects of our business that are not amenable to, or that we do not consider appropriate for, patent protection.</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success will depend significantly on our ability to obtain and maintain commercially meaningful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patents and patent applications related to product candidates fasedienol, itruvone, PH80, PH15, and AV-101 and have licensed patents and patent applications related to certain stem cell technology.</w:t>
      </w:r>
    </w:p>
    <w:p>
      <w:pPr>
        <w:spacing w:after="0" w:line="20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Although we own and have licensed issued and patents and pending patent applications relating to our product candidates in the U.S. and selected countries in other markets, we cannot provide any assurances that our pending U.S. and corresponding foreign patent applications will mature into issued patents and, if they do, that any of our patents will include claims with a scope sufficient to protect our product candidates or otherwise provide any competitive advantage.</w:t>
      </w:r>
    </w:p>
    <w:p>
      <w:pPr>
        <w:spacing w:after="0" w:line="2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Moreover, other parties may have developed technologies that may be related or competitive to our product candidates and may have filed or may file patent applications and may have been granted or may be granted patents that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 and may limit or eliminate our ability to commercialize our product candidates.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 to country.</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patent positions of biopharmaceutical companies, including our patent portfolio with respect to our product candidates, involve complex legal and factual questions, and, therefore, the issuance, scope, validity, and enforceability of any patent claims that we may be granted cannot be predicted with certainty.</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obtain valid and enforceable patents depends, among other factors, on whether the differences between our technology and the prior art allow our inventions to be patentable over the relevant prior art. Such prior art includes, for example, scientific publications, investment blogs, granted patents, and published patent applications. Patent uncertainty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cannot be eliminated because of the potential existence of other prior art, about which we are currently unaware, that may be relevant to our patent applications and patents and that may prevent a pending patent application from being granted or result in an issued patent being held invalid or unenforceable. Moreover, the relevant standards for granting and reviewing patents vary among the countries in which we pursue patents.</w:t>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some patent-related uncertainty exists because of the challenge of finding and addressing all of the relevant and material prior art in the biotechnology and pharmaceutical fields. For example, there are numerous reports in the scientific literature of compounds that target similar cellular receptors as do certain of our product candidates or that were evaluated in early (often pre-clinical) studies that did not progress to regulatory approval. Another source of uncertainty pertains to patent properties that were in-licensed by us for which prior art submissions were under the control of the licensor. We rely on these licensors to satisfy the relevant disclosure obligations.</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event any prior art is deemed to be invalidating prior art, it may cause certain of our issued patents to be invalid and/or unenforceable, which would cause us to lose at least part, and perhaps all, of the patent protection on relevant product candidates. Such a loss of patent protection would have a material adverse impact on our business.</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USPTO and various other foreign governmental patent agencies require compliance with a number of procedural, documentary, fee payment, and other provisions during the patent process. There are situations in which noncompliance can result in the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patents are granted in the U.S. or other countries, third parties may challenge the validity, enforceability, or scope of such issued patents or any other issued patents we own or license, which may result in such patents being narrowed, invalidated, or held unenforceable.</w:t>
      </w:r>
    </w:p>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U.S. and foreign patents and patent applications may be subject to various types of infringement and validity proceedings, including interference proceedings, ex parte reexamination, inter partes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a patent or rejection of a patent application or loss or reduction in the scope of one or more of the claims of the patent or patent in such a way that they no longer cover our product candidates or competitive products of third parties.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Furthermore, though an issued patent is presumed valid and enforceable, its issuance is not conclusive as to its validity or its enforceability, and the patent may not provide us with adequate proprietary protection or competitive advantages against competitors with similar products. Even if a patent is granted and is held to be valid and enforceable, competitors may be able to design around our patents, for example, by using pre-existing or newly developed technology or non-infringing formulations, devices, or methods of their use. Other parties may develop and obtain patent protection for more effective technologies, designs, or methods.</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If we or one of our licensing partners initiated legal proceedings against a third party to enforce a patent covering one of our product candidates, the defendant could counterclaim that the patent covering our product candidate is invalid and/or unenforceable. In patent litigation in the U.S., defendant counterclaims alleging invalidity and/or unenforceability are commonplace. Grounds for a validity challenge include alleged failures to meet any of several statutory requirements, including lack of novelty, obviousness, and non-enablement. Grounds for unenforceability assertions include allegations that someone connected with the prosecution of the patent withheld relevant information from the USPTO or made a misleading statement during prosecution.</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Third parties may also raise similar claims before administrative bodies in the U.S.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U.S., and we may encounter significant problems in protecting our proprietary rights in these countries. If these developments were to occur, they could have a material adverse effect on our sales.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by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we initiate, or in which we participate as a third party, and the damages or other remedies awarded if we prevailed may not be commercially meaningful.</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could be materially and adversely impacted. In addition, if a court found that valid, enforceable patents held by third parties covered our product candidates, our financial position and results of operations could also be materially and adversely impacted.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the degree of future protection for our proprietary rights is uncertain, and we cannot ensure that:</w:t>
      </w:r>
    </w:p>
    <w:p>
      <w:pPr>
        <w:spacing w:after="0" w:line="239" w:lineRule="exact"/>
        <w:rPr>
          <w:sz w:val="20"/>
          <w:szCs w:val="20"/>
          <w:color w:val="auto"/>
        </w:rPr>
      </w:pPr>
    </w:p>
    <w:p>
      <w:pPr>
        <w:jc w:val="both"/>
        <w:ind w:left="660" w:hanging="328"/>
        <w:spacing w:after="0" w:line="258"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granted patents related to our product candidates or any pending patent applications, if granted and challenged by others, will include or maintain claims having a scope sufficient to protect these product candidates or any other products or product candidates against generic or other competition, particularly considering that any patent rights to these compounds per se have expired;</w:t>
      </w:r>
    </w:p>
    <w:p>
      <w:pPr>
        <w:spacing w:after="0" w:line="1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 at all;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our product candidates, if approved, before our relevant patents expire;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use pre-existing technology to effectively compete against us;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if issued, will ultimately be found to be valid and enforceable, including on the basis of prior art relating to our patent applications and patents;</w:t>
      </w:r>
    </w:p>
    <w:p>
      <w:pPr>
        <w:spacing w:after="0" w:line="20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U.S. patents, if issued, will be eligible for listing in the FDA’s “Approved Drug Products with Therapeutics Equivalents Evaluations” (commonly known as the Orange Book);</w:t>
      </w:r>
    </w:p>
    <w:p>
      <w:pPr>
        <w:spacing w:after="0" w:line="18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are listed in the Orange Book may be challenged by the Federal Trade Commission or other as being listed inappropriately and subsequently removed, thereby depriving the Company of significant patent enforcement protections;</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the patents or proprietary rights of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also may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 and we may thereby lose intellectual property protection.</w:t>
      </w: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a failure to prevail in such proceedings could have a material adverse effect on the success of our business.</w:t>
      </w:r>
    </w:p>
    <w:p>
      <w:pPr>
        <w:spacing w:after="0" w:line="2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cannot assure that our business, product candidates, and proprietary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inter partes reviews, or derivation proceedings before the U.S. or other jurisdictions.</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biopharmaceutical industry is characterized by extensive litigation regarding patents and other intellectual property rights. Other parties may allege that our product candidates or the use of our technologies infringe their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devices,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spacing w:after="0" w:line="2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foregoing types of proceedings can be expensive and time-consuming and many of our own or our licensors’ or collaborators’ adversaries in these proceedings may have the ability to dedicate substantially greater resources to prosecuting these kinds of legal actions than we or our licensors or collaborators can dedicate. Our defense of litigation or other proceedings may fail and, even if successful, may result in substantial costs and distract our management and other employees. We may not be able to prevent, alone or with our licensors, the misappropriation of our intellectual property rights, particularly in countries where the laws may not protect those rights as fully as in the U.S. or the European Union.</w:t>
      </w:r>
    </w:p>
    <w:p>
      <w:pPr>
        <w:spacing w:after="0" w:line="2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An unfavorable outcome in the foregoing kinds of proceedings could require us or our licensors or collaborators to cease using the related technology or developing or commercializing one or more of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Patent litigation and other types of intellectual property litigation can involve complex factual and legal questions, and litigation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are unable to obtain such a license, we may be forced to stop or delay developing, manufacturing, selling or otherwise commercializing one or more our product candidates.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Patent litigation and other types of intellectual property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intellectual property litigation or claims could force us to do one or more of the following:</w:t>
      </w:r>
    </w:p>
    <w:p>
      <w:pPr>
        <w:spacing w:after="0" w:line="239"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selling or otherwise commercializing our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25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commercially reasonable terms, if at all; and</w:t>
      </w:r>
    </w:p>
    <w:p>
      <w:pPr>
        <w:spacing w:after="0" w:line="18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spacing w:after="0" w:line="22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is prohibitively expensive, and our intellectual property rights in some countries outside the U.S. could be absent, unavailable or less extensive than those in the U.S.,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The statutory deadlines for pursuing patent protection in individual foreign jurisdictions are based on the priority filing date of each of our patent applications and the time periods allowed for filing related applications in a given country. Thus, for each of the patent families that we believe provide coverage for our lead product candidates or technologies, we must decide where and when to pursue protection outside the U.S.</w:t>
      </w:r>
    </w:p>
    <w:p>
      <w:pPr>
        <w:spacing w:after="0" w:line="2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in relevant foreign jurisdictions may be inadequate to obtain a significant commercial advantage from the intellectual property that we develop or license.</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that we have licensed may have been discovered through government-funded programs and thus may be subject to federal regulations such as “march-in” rights, certain reporting requirements, and a preference for U.S. industry. Compliance with such regulations may limit our exclusive rights, subject us to an expenditure of resources with respect to reporting requirements and limit our ability to contract with non-U.S. manufacturers.</w:t>
      </w:r>
    </w:p>
    <w:p>
      <w:pPr>
        <w:spacing w:after="0" w:line="2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Some of the intellectual property rights we have licensed or will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Bayh-Dole Act. These U.S. government rights in certain inventions developed under a government-funded program include a non-exclusive, non-transferable, irrevocable worldwide license to use inventions for any governmental purpose.</w:t>
      </w: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spacing w:after="0" w:line="22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Intellectual property generated under a government-funded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U.S.to the extent they are commercialized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we apply for additional U.S. government funding, and we discover compounds or drug candidates as a result of such funding, intellectual property rights to such discoveries may be subject to the applicable provisions of the Bayh-Dole Act.</w:t>
      </w:r>
    </w:p>
    <w:p>
      <w:pPr>
        <w:spacing w:after="0" w:line="1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Hatch-Waxman Amendments and similar foreign legislation by extending the patent terms or obtaining regulatory and data exclusivity for our product candidates, our business may be materially harmed.</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fasedienol, itruvone, or AV-101 is used in another drug company’s product candidate and that product candidate is the first to obtain FDA approval.</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25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prosecution of our patent applications and the enforcement or defense of any patents that may issue from our patent applications, all of which could have a material adverse effect on our business and financial condition.</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recent U.S. Supreme Court rulings have narrowed the scope of patent protection available in certain circumstances and weakened the rights of patent owners in certain situations. The full impact of these decisions is not yet known. Recent court decisions and related USPTO examination guidelines must be considered, particularly as they relate to changes in what types of inventions are eligible for patent protection. Foreign patent and intellectual property laws are also evolving and are not predictable as to their impact on the Company and other biopharmaceutical companies.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20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another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to defend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Numerous factors may limit any potential competitive advantage provided by our intellectual property rights.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204" w:lineRule="exact"/>
        <w:rPr>
          <w:sz w:val="20"/>
          <w:szCs w:val="20"/>
          <w:color w:val="auto"/>
        </w:rPr>
      </w:pPr>
    </w:p>
    <w:p>
      <w:pPr>
        <w:ind w:left="660" w:right="18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a pending patent application that we own;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an invention;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our intellectual property rights;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we own or license may not lead to issued patents</w:t>
      </w:r>
    </w:p>
    <w:p>
      <w:pPr>
        <w:spacing w:after="0" w:line="238" w:lineRule="exact"/>
        <w:rPr>
          <w:rFonts w:ascii="Times New Roman" w:cs="Times New Roman" w:eastAsia="Times New Roman" w:hAnsi="Times New Roman"/>
          <w:sz w:val="18"/>
          <w:szCs w:val="18"/>
          <w:color w:val="auto"/>
        </w:rPr>
      </w:pPr>
    </w:p>
    <w:p>
      <w:pPr>
        <w:ind w:left="660" w:right="46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if issued, that we own or license may not provide us with any competitive advantages, or may be held invalid or unenforceable or be narrowed, as a result of legal challenges by our competitors;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or useful licenses on reasonable terms or at all;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and results of operations.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volatility may affect our stock price and the value of your investment.</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price for our common stock, similar to that of other biopharmaceutical companies, is likely to remain highly volatile. The market price of our common stock may fluctuate significantly for no apparent reason or in response to a number of factors, most of which we cannot control, including, among others:</w:t>
      </w:r>
    </w:p>
    <w:p>
      <w:pPr>
        <w:spacing w:after="0" w:line="196"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resulting from uncertainty and general economic conditions;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progress of or results from nonclinical and clinical development activities related to our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FDA or other regulatory authority to approve our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technologies, commercial relationships, acquisitions or other events by us or our competitors;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other neuroscience therapies;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our intellectual property portfolio;</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 candidates, if approved, to achieve commercial success;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overall fluctuations in U.S. equity markets;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the terms on which we can raise it;</w:t>
      </w:r>
    </w:p>
    <w:p>
      <w:pPr>
        <w:spacing w:after="0" w:line="25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large blocks of our common stock, including sales or purchases by our executive officers, directors and significant stockholders;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short positions by holders or non-holders of our stock or warrants;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press and by online investor communities;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these risk factors.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future issuances of shares of preferred stock in the future.</w:t>
      </w:r>
    </w:p>
    <w:p>
      <w:pPr>
        <w:spacing w:after="0" w:line="2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Our Restated Articles of Incorporation, as amended (the </w:t>
      </w:r>
      <w:r>
        <w:rPr>
          <w:rFonts w:ascii="Times New Roman" w:cs="Times New Roman" w:eastAsia="Times New Roman" w:hAnsi="Times New Roman"/>
          <w:sz w:val="18"/>
          <w:szCs w:val="18"/>
          <w:i w:val="1"/>
          <w:iCs w:val="1"/>
          <w:color w:val="auto"/>
        </w:rPr>
        <w:t>Articles</w:t>
      </w:r>
      <w:r>
        <w:rPr>
          <w:rFonts w:ascii="Times New Roman" w:cs="Times New Roman" w:eastAsia="Times New Roman" w:hAnsi="Times New Roman"/>
          <w:sz w:val="18"/>
          <w:szCs w:val="18"/>
          <w:color w:val="auto"/>
        </w:rPr>
        <w:t>), permit us to issue up to 10.0 million shares of preferred stock. As a result, our Board could authorize the issuance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incur significant costs to ensure compliance with corporate governance, federal securities law and accounting requirements.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Exchange Act which requires that we file annual, quarterly and current reports with respect to our business and financial condition, and the rules and regulations implemented by the SEC, the Sarbanes-Oxley Act of 2002, as amended (the </w:t>
      </w:r>
      <w:r>
        <w:rPr>
          <w:rFonts w:ascii="Times New Roman" w:cs="Times New Roman" w:eastAsia="Times New Roman" w:hAnsi="Times New Roman"/>
          <w:sz w:val="18"/>
          <w:szCs w:val="18"/>
          <w:i w:val="1"/>
          <w:iCs w:val="1"/>
          <w:color w:val="auto"/>
        </w:rPr>
        <w:t>Sarbanes-Oxley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the Dodd-Frank Act, and the Public Company Accounting Oversight Board, each of which imposes additional reporting and other obligations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significant resources that we could otherwise use to achieve our research and development and other strategic objectives.</w:t>
      </w:r>
    </w:p>
    <w:p>
      <w:pPr>
        <w:spacing w:after="0" w:line="22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amount of our future losses is uncertain and our quarterly and annual operating results may fluctuate significantly or fall below the expectations of investors or securities analysts, each of which may cause our stock price to fluctuate or decline.</w: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due to a variety of factors, many of which are outside of our control and may be difficult to predict, including the following:</w:t>
      </w:r>
    </w:p>
    <w:p>
      <w:pPr>
        <w:spacing w:after="0" w:line="189" w:lineRule="exact"/>
        <w:rPr>
          <w:sz w:val="20"/>
          <w:szCs w:val="20"/>
          <w:color w:val="auto"/>
        </w:rPr>
      </w:pPr>
    </w:p>
    <w:p>
      <w:pPr>
        <w:ind w:left="660" w:right="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product candidates or competing product candidates, or any other change in the competitive landscape of our industry,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recruit and retain subjects for clinical trials, and any delays caused by difficulties in such efforts;</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for our product candidates and the timing and scope of any such approvals we may receive;</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which may change from time to time;</w:t>
      </w:r>
    </w:p>
    <w:p>
      <w:pPr>
        <w:spacing w:after="0" w:line="20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which may vary depending on the quantity of production and the terms of our agreements with manufacturers;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 candidates should they receive approval, which may vary significantly;</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U.S. and global economic environments, including the impact of inflation and rising interest rates, and domestic or international political instability;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5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operating results or revenue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potential volatility in our trading price and trading volume, we may incur significant costs from class action securities litigation.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stock market in general, and the Nasdaq Stock Market (Nasdaq) and biotechnology and pharmaceutical companies in particular, have experienced extreme price and volume fluctuations that have often been unrelated or disproportionate to the operating performance of these companies. Historically, securities class action litigation has often been brought against companies following periods of volatility in the market price of a company’s securities. This type of litigation, if instituted, could result in substantial costs and a diversion of management’s attention and resources, which could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and directors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18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have no current plans to pay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your sole source of gain for the foreseeable future.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adversely affect the market price of our common stock.</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Future acquisitions could require substantial additional capital in excess of cash from operations. We would expect to obtain the capital required for acquisitions through a combination of additional issuances of equity, corporate indebtedness and/or cash from operations.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Issuing additional shares of our common stock or other equity securities or securities convertible into equity will dilute the economic and voting rights of our existing stockholders and may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Adverse market or macroeconomic conditions or market volatility resulting from global economic developments, including those affecting the financial services industry, could adversely affect our business operations and our financial condition and results of operations.</w:t>
      </w:r>
    </w:p>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Adverse market or macroeconomic conditions or market volatility resulting from global economic developments, political unrest, high inflation, rising interest rates, the post-COVID environment or other factors, could materially and adversely affect our business operations. For instance,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was closed by the California Department of Financial Protection and Innovation, which appointed the Federal Deposit Insurance Corporation (the </w:t>
      </w:r>
      <w:r>
        <w:rPr>
          <w:rFonts w:ascii="Times New Roman" w:cs="Times New Roman" w:eastAsia="Times New Roman" w:hAnsi="Times New Roman"/>
          <w:sz w:val="18"/>
          <w:szCs w:val="18"/>
          <w:i w:val="1"/>
          <w:iCs w:val="1"/>
          <w:color w:val="auto"/>
        </w:rPr>
        <w:t>FDIC</w:t>
      </w:r>
      <w:r>
        <w:rPr>
          <w:rFonts w:ascii="Times New Roman" w:cs="Times New Roman" w:eastAsia="Times New Roman" w:hAnsi="Times New Roman"/>
          <w:sz w:val="18"/>
          <w:szCs w:val="18"/>
          <w:color w:val="auto"/>
        </w:rPr>
        <w:t>) as receiver. Similarly, on March 12, 2023, Signature Bank Corp. and Silvergate Capital Corp. were each swept into receivership, and uncertainty remains over liquidity concerns in the broader financial services industry. We may maintain cash balances at third-party financial institutions in excess of the FDIC standard insurance limit. Although the U.S. Department of Treasury, FDIC and Federal Reserve Board announced a program to provide up to $25.0 billion of loans to financial institutions secured by certain of such government securities held by financial institutions, widespread demands for customer withdrawals or other liquidity needs of financial institutions may exceed the capacity of such program, and there is no guarantee that the U.S. Department of Treasury, FDIC and Federal Reserve Board will provide access to uninsured funds in the future in the event of the closure of such banks or financial institutions, or that they would do so in a timely fashion. These events could result in a variety of material and adverse impacts on our current and projected business operations and our financial condition and results of operations, including, but not limited to, the following:</w:t>
      </w:r>
    </w:p>
    <w:p>
      <w:pPr>
        <w:spacing w:after="0" w:line="212"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statutory, regulatory or contractual obligations, including obligations that require us to maintain letters of credit or other credit support arrangements; or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cash management arrangements and/or delays in accessing or actual loss of funds subject to cash management arrangements.</w:t>
      </w:r>
    </w:p>
    <w:p>
      <w:pPr>
        <w:spacing w:after="0" w:line="2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addition, any further deterioration in the macroeconomic economy or financial services industry could lead to losses or defaults by our partners, vendors or suppliers, which in turn, could have a material adverse effect on our current and/or projected business operations and results of operations and financial condition. For example, a partner may fail to make payments when due, default under their agreements with us, become insolvent or declare bankruptcy, or a supplier may determine that it will no longer deal with us as a customer. In addition, a vendor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The bankruptcy or insolvency of any partner, vendor or supplier, or the failure of any partner to make payments when due, or any breach or default by a partner, vendor or supplier, or the loss of any significant supplier relationships, could cause us to suffer material losses and may have a material adverse impact on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2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research and development tax credits to offset future taxable income may be subject to certain limitations.</w:t>
      </w:r>
    </w:p>
    <w:p>
      <w:pPr>
        <w:spacing w:after="0" w:line="1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As of March 31, 2024, we had U.S. federal net operating loss carryforwards totaling $208.0 million, all of which have an indefinite carryforward period. Federal net operating loss carryforwards of approximately $82.8 million generated through our fiscal year ended March 31, 2018 will expire in our fiscal years ending March 31, 2025 through March 31, 2038. Federal net operating loss carryforwards of approximately $125.2 million generated in fiscal years ending after March 31, 2018 will carry forward indefinitely. As of March 31, 2024, we had state net operating loss carryforwards totaling $65.8 million, which expire at various dates between 2029 and 2044. As of March 31, 2024, we also had U.S. federal and state research and development tax credit carryforwards of $3.3 million and $1.6 million, respectively, which begin to expire in 2029 for federal purposes, state credits do no expire. The net operating losses which are limited in life and tax credit carryforwards could expire unused and be unavailable to offset future income tax liabilities. In addition, in general, under Sections 382 and 383 of the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a corporation that undergoes an “ownership change” is subject to limitations on its ability to utilize its pre-change net operating losses (</w:t>
      </w:r>
      <w:r>
        <w:rPr>
          <w:rFonts w:ascii="Times New Roman" w:cs="Times New Roman" w:eastAsia="Times New Roman" w:hAnsi="Times New Roman"/>
          <w:sz w:val="18"/>
          <w:szCs w:val="18"/>
          <w:i w:val="1"/>
          <w:iCs w:val="1"/>
          <w:color w:val="auto"/>
        </w:rPr>
        <w:t>NOLs</w:t>
      </w:r>
      <w:r>
        <w:rPr>
          <w:rFonts w:ascii="Times New Roman" w:cs="Times New Roman" w:eastAsia="Times New Roman" w:hAnsi="Times New Roman"/>
          <w:sz w:val="18"/>
          <w:szCs w:val="18"/>
          <w:color w:val="auto"/>
        </w:rPr>
        <w:t>) or tax credits or credits, to offset future taxable income or taxes. For these purposes, an ownership change generally occurs where the aggregate stock ownership of one or more stockholders or groups of stockholders who own at least 5% of a corporation’s stock increase their ownership by more than 50 percentage points over their lowest ownership percentage within a specified testing period. Our existing NOLs or credits may be subject to limitations arising from previous ownership changes, and if we undergo an ownership change in the future,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 If we determine that an ownership change has occurred and our ability to use our historical NOLs or credits is materially limited, it would harm our future operating results by effectively increasing our future tax obligations. Section 382 and 383 of the Code would apply to all net operating loss and tax credit carryforwards, whether the carryforward period is indefinite or not.</w:t>
      </w:r>
    </w:p>
    <w:p>
      <w:pPr>
        <w:spacing w:after="0" w:line="2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Furthermore, our ability to utilize our historical NOLs or credits is conditioned upon us attaining profitability and generating U.S. federal and state taxable income. We are a clinical-stage biopharmaceutical company with a limited operating history. We have incurred significant net losses since our inception and anticipate that we will continue to incur significant losses for the foreseeable future; and therefore, we do not know whether or when we will generate the U.S. federal or state taxable income necessary to utilize our historical NOLs or credits that may be subject to limitation by Sections 382 and 383 of the Code.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we conduct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identify any future material weaknesses, the accuracy and timing of our financial reporting may be adversely affected, we may be unable to maintain compliance with securities law requirements regarding timely filing of periodic</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reports or applicable stock exchange listing requirements, investors may lose confidence in our financial reporting and our stock price may decline as a result. We also could become subject to investigations by Nasdaq, the SEC or other regulatory authorities.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stock.</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us.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203"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23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may be volatile.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may fluctuate due to a variety of factors, including:</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industries in which we and our customers operate;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performance and the performance of our competitors in general;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and adverse impact of the COVID-19 pandemic and post-COVID environment on the markets and the broader global economy;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our competitors or our industry;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common stock available for public sale;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hanging="328"/>
        <w:spacing w:after="0" w:line="258"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rising interest rates, inflation, fuel prices, foreign currency fluctuations, international tariffs, boycotts, curtailment of trade and other business restrictions, social, political and economic risks, natural disasters and acts of war or terrorism, such as the conflicts involving Ukraine and Russia, or Israel and its surrounding regions.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market and industry factors may materially reduce the market price of shares of our common stock regardless of our operating performance.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10140" w:type="dxa"/>
            <w:vAlign w:val="bottom"/>
          </w:tcPr>
          <w:p>
            <w:pPr>
              <w:spacing w:after="0"/>
              <w:rPr>
                <w:sz w:val="17"/>
                <w:szCs w:val="17"/>
                <w:color w:val="auto"/>
              </w:rPr>
            </w:pPr>
          </w:p>
        </w:tc>
      </w:tr>
      <w:tr>
        <w:trPr>
          <w:trHeight w:val="234"/>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w:t>
            </w: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Description</w:t>
            </w:r>
          </w:p>
        </w:tc>
      </w:tr>
      <w:tr>
        <w:trPr>
          <w:trHeight w:val="378"/>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of the Principal Executive Officer required by Rule 13a-14(a) under the Securities Exchange Act of 1934, as amended, as</w:t>
            </w:r>
          </w:p>
        </w:tc>
      </w:tr>
      <w:tr>
        <w:trPr>
          <w:trHeight w:val="223"/>
        </w:trPr>
        <w:tc>
          <w:tcPr>
            <w:tcW w:w="2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40" w:type="dxa"/>
            <w:vAlign w:val="bottom"/>
          </w:tcPr>
          <w:p>
            <w:pPr>
              <w:spacing w:after="0"/>
              <w:rPr>
                <w:sz w:val="19"/>
                <w:szCs w:val="19"/>
                <w:color w:val="auto"/>
              </w:rPr>
            </w:pP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216"/>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of the Principal Financial Officer required by Rule 13a-14(a) under the Securities Exchange Act of 1934, as amended, as</w:t>
            </w:r>
          </w:p>
        </w:tc>
      </w:tr>
      <w:tr>
        <w:trPr>
          <w:trHeight w:val="223"/>
        </w:trPr>
        <w:tc>
          <w:tcPr>
            <w:tcW w:w="2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40" w:type="dxa"/>
            <w:vAlign w:val="bottom"/>
          </w:tcPr>
          <w:p>
            <w:pPr>
              <w:spacing w:after="0"/>
              <w:rPr>
                <w:sz w:val="19"/>
                <w:szCs w:val="19"/>
                <w:color w:val="auto"/>
              </w:rPr>
            </w:pP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216"/>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32*</w:t>
            </w:r>
          </w:p>
        </w:tc>
        <w:tc>
          <w:tcPr>
            <w:tcW w:w="640" w:type="dxa"/>
            <w:vAlign w:val="bottom"/>
          </w:tcPr>
          <w:p>
            <w:pPr>
              <w:spacing w:after="0"/>
              <w:rPr>
                <w:sz w:val="18"/>
                <w:szCs w:val="18"/>
                <w:color w:val="auto"/>
              </w:rPr>
            </w:pP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Certification of the Principal Executive and Financial Officers required by Rule 13a-14(b) and Section 1350 of Chapter 63 of Title 18 of</w:t>
            </w:r>
          </w:p>
        </w:tc>
      </w:tr>
      <w:tr>
        <w:trPr>
          <w:trHeight w:val="223"/>
        </w:trPr>
        <w:tc>
          <w:tcPr>
            <w:tcW w:w="28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United States Code, as adopted pursuant to Section 906 of the Sarbanes-Oxley Act of 2002</w:t>
            </w:r>
          </w:p>
        </w:tc>
      </w:tr>
      <w:tr>
        <w:trPr>
          <w:trHeight w:val="225"/>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 *</w:t>
            </w: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w:t>
            </w:r>
          </w:p>
        </w:tc>
      </w:tr>
      <w:tr>
        <w:trPr>
          <w:trHeight w:val="234"/>
        </w:trPr>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document.</w:t>
            </w:r>
          </w:p>
        </w:tc>
      </w:tr>
      <w:tr>
        <w:trPr>
          <w:trHeight w:val="256"/>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57"/>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56"/>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57"/>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57"/>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56"/>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Pr>
          <w:p>
            <w:pPr>
              <w:spacing w:after="0"/>
              <w:rPr>
                <w:sz w:val="22"/>
                <w:szCs w:val="22"/>
                <w:color w:val="auto"/>
              </w:rPr>
            </w:pP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65"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9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66" w:lineRule="exact"/>
        <w:rPr>
          <w:sz w:val="20"/>
          <w:szCs w:val="20"/>
          <w:color w:val="auto"/>
        </w:rPr>
      </w:pPr>
    </w:p>
    <w:p>
      <w:pPr>
        <w:ind w:left="20"/>
        <w:spacing w:after="0"/>
        <w:tabs>
          <w:tab w:leader="none" w:pos="5100" w:val="left"/>
        </w:tabs>
        <w:rPr>
          <w:sz w:val="20"/>
          <w:szCs w:val="20"/>
          <w:color w:val="auto"/>
        </w:rPr>
      </w:pPr>
      <w:r>
        <w:rPr>
          <w:rFonts w:ascii="Times New Roman" w:cs="Times New Roman" w:eastAsia="Times New Roman" w:hAnsi="Times New Roman"/>
          <w:sz w:val="18"/>
          <w:szCs w:val="18"/>
          <w:color w:val="auto"/>
        </w:rPr>
        <w:t>Dated: August 13, 2024</w:t>
      </w:r>
      <w:r>
        <w:rPr>
          <w:sz w:val="20"/>
          <w:szCs w:val="20"/>
          <w:color w:val="auto"/>
        </w:rPr>
        <w:tab/>
      </w:r>
      <w:r>
        <w:rPr>
          <w:rFonts w:ascii="Times New Roman" w:cs="Times New Roman" w:eastAsia="Times New Roman" w:hAnsi="Times New Roman"/>
          <w:sz w:val="18"/>
          <w:szCs w:val="18"/>
          <w:u w:val="single" w:color="auto"/>
          <w:color w:val="auto"/>
        </w:rPr>
        <w:t>/s/ Shawn K. Singh</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Shawn K. Singh</w:t>
      </w:r>
    </w:p>
    <w:p>
      <w:pPr>
        <w:spacing w:after="0" w:line="4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u w:val="single" w:color="auto"/>
          <w:color w:val="auto"/>
        </w:rPr>
        <w:t>/s/ Cynthia L. Anderson</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Cynthia L. Anderson</w:t>
      </w:r>
    </w:p>
    <w:p>
      <w:pPr>
        <w:spacing w:after="0" w:line="4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Shawn K. Singh, certify that;</w:t>
      </w:r>
    </w:p>
    <w:p>
      <w:pPr>
        <w:spacing w:after="0" w:line="185"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Vistagen Therapeutics, Inc.;</w:t>
      </w:r>
    </w:p>
    <w:p>
      <w:pPr>
        <w:spacing w:after="0" w:line="19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1"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hanging="644"/>
        <w:spacing w:after="0" w:line="282" w:lineRule="auto"/>
        <w:tabs>
          <w:tab w:leader="none" w:pos="1288"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13, 2024</w:t>
      </w:r>
    </w:p>
    <w:p>
      <w:pPr>
        <w:spacing w:after="0" w:line="4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27305</wp:posOffset>
            </wp:positionV>
            <wp:extent cx="31375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4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Shawn K. Singh</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03"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Cynthia L. Anderson, certify that:</w:t>
      </w:r>
    </w:p>
    <w:p>
      <w:pPr>
        <w:spacing w:after="0" w:line="185"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Vistagen Therapeutics, Inc.;</w:t>
      </w:r>
    </w:p>
    <w:p>
      <w:pPr>
        <w:spacing w:after="0" w:line="19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29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29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hanging="4"/>
        <w:spacing w:after="0" w:line="282" w:lineRule="auto"/>
        <w:tabs>
          <w:tab w:leader="none" w:pos="129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29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hanging="4"/>
        <w:spacing w:after="0" w:line="282" w:lineRule="auto"/>
        <w:tabs>
          <w:tab w:leader="none" w:pos="129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660" w:hanging="4"/>
        <w:spacing w:after="0" w:line="282" w:lineRule="auto"/>
        <w:tabs>
          <w:tab w:leader="none" w:pos="129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13, 2024</w:t>
      </w:r>
    </w:p>
    <w:p>
      <w:pPr>
        <w:spacing w:after="0" w:line="4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Cynthia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27305</wp:posOffset>
            </wp:positionV>
            <wp:extent cx="31375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4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Cynthia L. Anderson</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03"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for the quarter ended June 30, 2024, as filed with the Securities and Exchange Commission on the date hereof (the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Shawn K. Singh, JD, the Company’s Principal Executive Officer, and Cynthia L. Anderson, the Company’s Principal Financial Officer, certify, pursuant to 18 U.S.C. §1350, as adopted pursuant to §906 of the Sarbanes-Oxley Act of 2002, that to the best of their knowledge:</w:t>
      </w:r>
    </w:p>
    <w:p>
      <w:pPr>
        <w:spacing w:after="0" w:line="141"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 of Section 13(a) or Section 15 (d) of the Securities Exchange Act of 1934, and</w:t>
      </w:r>
    </w:p>
    <w:p>
      <w:pPr>
        <w:spacing w:after="0" w:line="19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13,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/s/ </w:t>
      </w:r>
      <w:r>
        <w:rPr>
          <w:rFonts w:ascii="Times New Roman" w:cs="Times New Roman" w:eastAsia="Times New Roman" w:hAnsi="Times New Roman"/>
          <w:sz w:val="18"/>
          <w:szCs w:val="18"/>
          <w:i w:val="1"/>
          <w:iCs w:val="1"/>
          <w:u w:val="single" w:color="auto"/>
          <w:color w:val="auto"/>
        </w:rPr>
        <w:t>Shawn K. Singh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Shawn K. Singh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/s/ </w:t>
      </w:r>
      <w:r>
        <w:rPr>
          <w:rFonts w:ascii="Times New Roman" w:cs="Times New Roman" w:eastAsia="Times New Roman" w:hAnsi="Times New Roman"/>
          <w:sz w:val="18"/>
          <w:szCs w:val="18"/>
          <w:i w:val="1"/>
          <w:iCs w:val="1"/>
          <w:u w:val="single" w:color="auto"/>
          <w:color w:val="auto"/>
        </w:rPr>
        <w:t>Cynthia L. Anderson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Cynthia L. Anderson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1."/>
      <w:numFmt w:val="decimal"/>
      <w:start w:val="2"/>
    </w:lvl>
  </w:abstractNum>
  <w:abstractNum w:abstractNumId="3">
    <w:nsid w:val="189A769B"/>
    <w:multiLevelType w:val="hybridMultilevel"/>
    <w:lvl w:ilvl="0">
      <w:lvlJc w:val="left"/>
      <w:lvlText w:val="%1."/>
      <w:numFmt w:val="decimal"/>
      <w:start w:val="5"/>
    </w:lvl>
  </w:abstractNum>
  <w:abstractNum w:abstractNumId="4">
    <w:nsid w:val="54E49EB4"/>
    <w:multiLevelType w:val="hybridMultilevel"/>
    <w:lvl w:ilvl="0">
      <w:lvlJc w:val="left"/>
      <w:lvlText w:val="(%1)"/>
      <w:numFmt w:val="lowerLetter"/>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2024-08-13T16:38:01Z</dcterms:created>
  <dcterms:modified xsi:type="dcterms:W3CDTF">2024-08-13T16:38:01Z</dcterms:modified>
</cp:coreProperties>
</file>