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29,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July 29, 2026, the Board of Directors (the “</w:t>
      </w:r>
      <w:r>
        <w:rPr>
          <w:rFonts w:ascii="Times New Roman;serif" w:hAnsi="Times New Roman;serif"/>
          <w:b w:val="false"/>
          <w:i/>
          <w:color w:val="000000"/>
          <w:sz w:val="20"/>
        </w:rPr>
        <w:t>Board</w:t>
      </w:r>
      <w:r>
        <w:rPr>
          <w:color w:val="000000"/>
        </w:rPr>
        <w:t>”</w:t>
      </w:r>
      <w:r>
        <w:rPr>
          <w:rFonts w:ascii="Times New Roman;serif" w:hAnsi="Times New Roman;serif"/>
          <w:b w:val="false"/>
          <w:color w:val="000000"/>
          <w:sz w:val="20"/>
        </w:rPr>
        <w:t>) of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xml:space="preserve">), upon recommendation from the Corporate Governance and Nominating Committee of the Board, unanimously approved of the appointment of Douglas J. Williamson, M.D. as a director to serve until the Company’s next annual meeting of stockholders or until his successor is duly elected and qualified or until his earlier death, resignation or removal.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Dr. Williamson will be entitled to receive compensation under the Company’s Director Compensation Plan. In accordance with this plan, upon Dr. Williamson’s appointment to the Board, Dr. Williamson received stock options issued under the Company’s Amended and Restated 2019 Omnibus Equity Incentive Plan, as amended (the “</w:t>
      </w:r>
      <w:r>
        <w:rPr>
          <w:rFonts w:ascii="Times New Roman;serif" w:hAnsi="Times New Roman;serif"/>
          <w:b w:val="false"/>
          <w:i/>
          <w:color w:val="000000"/>
          <w:sz w:val="20"/>
        </w:rPr>
        <w:t>Options</w:t>
      </w:r>
      <w:r>
        <w:rPr>
          <w:color w:val="000000"/>
        </w:rPr>
        <w:t>”</w:t>
      </w:r>
      <w:r>
        <w:rPr>
          <w:rFonts w:ascii="Times New Roman;serif" w:hAnsi="Times New Roman;serif"/>
          <w:b w:val="false"/>
          <w:color w:val="000000"/>
          <w:sz w:val="20"/>
        </w:rPr>
        <w:t>), to purchase up to 40,826 shares of the Company’s common stock, par value $0.001 per share (“</w:t>
      </w:r>
      <w:r>
        <w:rPr>
          <w:rFonts w:ascii="Times New Roman;serif" w:hAnsi="Times New Roman;serif"/>
          <w:b w:val="false"/>
          <w:i/>
          <w:color w:val="000000"/>
          <w:sz w:val="20"/>
        </w:rPr>
        <w:t>Common Stoc</w:t>
      </w:r>
      <w:r>
        <w:rPr>
          <w:rFonts w:ascii="Times New Roman;serif" w:hAnsi="Times New Roman;serif"/>
          <w:b w:val="false"/>
          <w:color w:val="000000"/>
          <w:sz w:val="20"/>
        </w:rPr>
        <w:t>k”), at an exercise price of $0.2433 per share, an amount equal to the closing price of the Company’s Common Stock on Dr. Williamson’s appointment date (the “</w:t>
      </w:r>
      <w:r>
        <w:rPr>
          <w:rFonts w:ascii="Times New Roman;serif" w:hAnsi="Times New Roman;serif"/>
          <w:b w:val="false"/>
          <w:i/>
          <w:color w:val="000000"/>
          <w:sz w:val="20"/>
        </w:rPr>
        <w:t>Effective Date</w:t>
      </w:r>
      <w:r>
        <w:rPr>
          <w:color w:val="000000"/>
        </w:rPr>
        <w:t>”</w:t>
      </w:r>
      <w:r>
        <w:rPr>
          <w:rFonts w:ascii="Times New Roman;serif" w:hAnsi="Times New Roman;serif"/>
          <w:b w:val="false"/>
          <w:color w:val="000000"/>
          <w:sz w:val="20"/>
        </w:rPr>
        <w:t xml:space="preserve">). The Options have a term of ten years and will vest in equal annual installments over a three-year period beginning on the one-year anniversary of the Effective Date, such that the Options will become fully vested and exercisable on the three-year anniversary of the Effective Date. Dr. Williamson is also entitled to annual cash compensation and equity awards under the terms of the Company’s Director Compensation Plan.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arrangements or understandings between Dr. Williamson and any other persons pursuant to which he was elected as a director. Dr. Williamson does not have any family relationships with any of the Company’s directors or executive officers. There are no transactions and no proposed transactions between Dr. Williamson and the Company that would be required to be disclosed pursuant to Item 404(a) of Regulation S-K.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In connection with his appointment, the Company and Dr. Williamson entered into an Indemnification Agreement (the “</w:t>
      </w:r>
      <w:r>
        <w:rPr>
          <w:rFonts w:ascii="Times New Roman;serif" w:hAnsi="Times New Roman;serif"/>
          <w:b w:val="false"/>
          <w:i/>
          <w:color w:val="000000"/>
          <w:sz w:val="20"/>
        </w:rPr>
        <w:t>Indemnification Agreement</w:t>
      </w:r>
      <w:r>
        <w:rPr>
          <w:color w:val="000000"/>
        </w:rPr>
        <w:t>”</w:t>
      </w:r>
      <w:r>
        <w:rPr>
          <w:rFonts w:ascii="Times New Roman;serif" w:hAnsi="Times New Roman;serif"/>
          <w:b w:val="false"/>
          <w:color w:val="000000"/>
          <w:sz w:val="20"/>
        </w:rPr>
        <w:t>), a copy of which is attached hereto as Exhibit 10.1. The Indemnification Agreement requires the Company to indemnify Dr. Williamson to the fullest extent permitted under Nevada law against liability that may arise by reason of his position as a director of the Company, and to advance certain expenses incurred as a result of any proceeding against him as to which he could be indemnified.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Indemnification Agreement is not complete and is qualified in its entirety by reference to the full text of the Indemnification Agreement, which is attached as Exhibit 10.1 to this Current Report on Form 8-K and incorporated into this Item 5.02 by reference.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announcing Dr. Williamson’s appointment is attached to this Current Report on Form 8-K as Exhibit 99.1.</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information under this Item 7.01 and Exhibit 99.1 attached hereto are intended to be furnished and shall not be deemed “filed” for purposes of Section 18 of the Securities Exchange Act of 1934, as amended (the “</w:t>
      </w:r>
      <w:r>
        <w:rPr>
          <w:rFonts w:ascii="Times New Roman;serif" w:hAnsi="Times New Roman;serif"/>
          <w:b w:val="false"/>
          <w:i/>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10205" w:type="dxa"/>
        <w:jc w:val="left"/>
        <w:tblInd w:w="0" w:type="dxa"/>
        <w:tblLayout w:type="fixed"/>
        <w:tblCellMar>
          <w:top w:w="28" w:type="dxa"/>
          <w:left w:w="28" w:type="dxa"/>
          <w:bottom w:w="28" w:type="dxa"/>
          <w:right w:w="28" w:type="dxa"/>
        </w:tblCellMar>
      </w:tblPr>
      <w:tblGrid>
        <w:gridCol w:w="370"/>
        <w:gridCol w:w="326"/>
        <w:gridCol w:w="327"/>
        <w:gridCol w:w="109"/>
        <w:gridCol w:w="109"/>
        <w:gridCol w:w="109"/>
        <w:gridCol w:w="2584"/>
        <w:gridCol w:w="2584"/>
        <w:gridCol w:w="3687"/>
      </w:tblGrid>
      <w:tr>
        <w:trPr/>
        <w:tc>
          <w:tcPr>
            <w:tcW w:w="3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0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6_07x30xex101.htm">
              <w:r>
                <w:rPr>
                  <w:rStyle w:val="InternetLink"/>
                  <w:rFonts w:ascii="Times New Roman;serif" w:hAnsi="Times New Roman;serif"/>
                  <w:b w:val="false"/>
                  <w:color w:val="0000FF"/>
                  <w:sz w:val="20"/>
                  <w:u w:val="single"/>
                </w:rPr>
                <w:t>Indemnification Agreement by and between Vistagen Therapeutics, Inc. and Douglas J. Williamson, M.D., dated July 29, 2026</w:t>
              </w:r>
            </w:hyperlink>
          </w:p>
        </w:tc>
      </w:tr>
      <w:tr>
        <w:trPr/>
        <w:tc>
          <w:tcPr>
            <w:tcW w:w="10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60731ex991.htm">
              <w:r>
                <w:rPr>
                  <w:rStyle w:val="InternetLink"/>
                  <w:rFonts w:ascii="Times New Roman;serif" w:hAnsi="Times New Roman;serif"/>
                  <w:b w:val="false"/>
                  <w:color w:val="000080"/>
                  <w:sz w:val="20"/>
                  <w:u w:val="single"/>
                </w:rPr>
                <w:t>Press Release issued by Vistagen Therapeutics, Inc., dated July 3</w:t>
              </w:r>
            </w:hyperlink>
            <w:hyperlink w:anchor="vtgn20260731ex991.htm">
              <w:r>
                <w:rPr>
                  <w:rStyle w:val="InternetLink"/>
                  <w:rFonts w:ascii="Times New Roman;serif" w:hAnsi="Times New Roman;serif"/>
                  <w:b w:val="false"/>
                  <w:color w:val="000080"/>
                  <w:sz w:val="20"/>
                  <w:u w:val="single"/>
                </w:rPr>
                <w:t>1</w:t>
              </w:r>
            </w:hyperlink>
            <w:hyperlink w:anchor="vtgn20260731ex991.htm">
              <w:r>
                <w:rPr>
                  <w:rStyle w:val="InternetLink"/>
                  <w:rFonts w:ascii="Times New Roman;serif" w:hAnsi="Times New Roman;serif"/>
                  <w:b w:val="false"/>
                  <w:color w:val="000080"/>
                  <w:sz w:val="20"/>
                  <w:u w:val="single"/>
                </w:rPr>
                <w:t>, 2026</w:t>
              </w:r>
            </w:hyperlink>
          </w:p>
        </w:tc>
      </w:tr>
      <w:tr>
        <w:trPr/>
        <w:tc>
          <w:tcPr>
            <w:tcW w:w="10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16" w:type="dxa"/>
        <w:jc w:val="left"/>
        <w:tblInd w:w="0" w:type="dxa"/>
        <w:tblLayout w:type="fixed"/>
        <w:tblCellMar>
          <w:top w:w="28" w:type="dxa"/>
          <w:left w:w="28" w:type="dxa"/>
          <w:bottom w:w="28" w:type="dxa"/>
          <w:right w:w="28" w:type="dxa"/>
        </w:tblCellMar>
      </w:tblPr>
      <w:tblGrid>
        <w:gridCol w:w="618"/>
        <w:gridCol w:w="544"/>
        <w:gridCol w:w="547"/>
        <w:gridCol w:w="366"/>
        <w:gridCol w:w="366"/>
        <w:gridCol w:w="366"/>
        <w:gridCol w:w="937"/>
        <w:gridCol w:w="937"/>
        <w:gridCol w:w="133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480"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VISTAGEN THERAPEUTICS, INC. </w:t>
      </w:r>
    </w:p>
    <w:p>
      <w:pPr>
        <w:pStyle w:val="TextBody"/>
        <w:bidi w:val="0"/>
        <w:spacing w:lineRule="auto" w:line="480" w:before="0" w:after="0"/>
        <w:jc w:val="center"/>
        <w:rPr>
          <w:rFonts w:ascii="Times New Roman;serif" w:hAnsi="Times New Roman;serif"/>
          <w:b w:val="false"/>
          <w:color w:val="000000"/>
          <w:sz w:val="24"/>
        </w:rPr>
      </w:pPr>
      <w:r>
        <w:rPr>
          <w:rFonts w:ascii="Times New Roman;serif" w:hAnsi="Times New Roman;serif"/>
          <w:b w:val="false"/>
          <w:color w:val="000000"/>
          <w:sz w:val="24"/>
        </w:rPr>
        <w:t>INDEMNIFICATION AGREEMENT</w:t>
      </w:r>
    </w:p>
    <w:p>
      <w:pPr>
        <w:pStyle w:val="TextBody"/>
        <w:bidi w:val="0"/>
        <w:spacing w:lineRule="auto" w:line="268" w:before="0" w:after="0"/>
        <w:ind w:left="0" w:right="0" w:firstLine="840"/>
        <w:jc w:val="both"/>
        <w:rPr>
          <w:rFonts w:ascii="Times New Roman;serif" w:hAnsi="Times New Roman;serif"/>
          <w:b w:val="false"/>
          <w:color w:val="000000"/>
          <w:sz w:val="24"/>
        </w:rPr>
      </w:pPr>
      <w:r>
        <w:rPr>
          <w:rFonts w:ascii="Times New Roman;serif" w:hAnsi="Times New Roman;serif"/>
          <w:b w:val="false"/>
          <w:color w:val="000000"/>
          <w:sz w:val="24"/>
        </w:rPr>
        <w:t>THIS AGREEMENT is entered into, effective as of July 29, 2026 between Vistagen Therapeutics, Inc., a Nevada corporation (the "Company"), and Douglas J. Williamson, M.D. (“Indemnitee”).</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erif" w:hAnsi="Times New Roman;serif"/>
          <w:b w:val="false"/>
          <w:color w:val="000000"/>
          <w:sz w:val="24"/>
        </w:rPr>
      </w:pPr>
      <w:r>
        <w:rPr>
          <w:rFonts w:ascii="Times New Roman;serif" w:hAnsi="Times New Roman;serif"/>
          <w:b w:val="false"/>
          <w:color w:val="000000"/>
          <w:sz w:val="24"/>
        </w:rPr>
        <w:t>WHEREAS, it is essential to the Company to retain and attract as directors and officers the most capable persons available;</w:t>
      </w:r>
    </w:p>
    <w:p>
      <w:pPr>
        <w:pStyle w:val="TextBody"/>
        <w:bidi w:val="0"/>
        <w:spacing w:before="0" w:after="0"/>
        <w:jc w:val="left"/>
        <w:rPr/>
      </w:pPr>
      <w:r>
        <w:rPr/>
      </w:r>
    </w:p>
    <w:p>
      <w:pPr>
        <w:pStyle w:val="TextBody"/>
        <w:bidi w:val="0"/>
        <w:spacing w:lineRule="auto" w:line="268" w:before="0" w:after="0"/>
        <w:ind w:left="0" w:right="0" w:firstLine="840"/>
        <w:jc w:val="left"/>
        <w:rPr>
          <w:rFonts w:ascii="Times New Roman;serif" w:hAnsi="Times New Roman;serif"/>
          <w:b w:val="false"/>
          <w:color w:val="000000"/>
          <w:sz w:val="24"/>
        </w:rPr>
      </w:pPr>
      <w:r>
        <w:rPr>
          <w:rFonts w:ascii="Times New Roman;serif" w:hAnsi="Times New Roman;serif"/>
          <w:b w:val="false"/>
          <w:color w:val="000000"/>
          <w:sz w:val="24"/>
        </w:rPr>
        <w:t>WHEREAS, Indemnitee is a director of the Company;</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erif" w:hAnsi="Times New Roman;serif"/>
          <w:b w:val="false"/>
          <w:color w:val="000000"/>
          <w:sz w:val="24"/>
        </w:rPr>
      </w:pPr>
      <w:r>
        <w:rPr>
          <w:rFonts w:ascii="Times New Roman;serif" w:hAnsi="Times New Roman;serif"/>
          <w:b w:val="false"/>
          <w:color w:val="000000"/>
          <w:sz w:val="24"/>
        </w:rPr>
        <w:t>WHEREAS, both the Company and Indemnitee recognize the increased risk of litigation and other claims currently being asserted against directors and officers of corporations; and</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erif" w:hAnsi="Times New Roman;serif"/>
          <w:b w:val="false"/>
          <w:color w:val="000000"/>
          <w:sz w:val="24"/>
        </w:rPr>
      </w:pPr>
      <w:r>
        <w:rPr>
          <w:rFonts w:ascii="Times New Roman;serif" w:hAnsi="Times New Roman;serif"/>
          <w:b w:val="false"/>
          <w:color w:val="000000"/>
          <w:sz w:val="24"/>
        </w:rPr>
        <w:t>WHEREAS, in recognition of Indemnitee's need for substantial protection against personal liability in order to enhance Indemnitee's continued and effective service to the Company, and in order to induce Indemnitee to provide services to the Company as a director,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above premises and of Indemnitee's continuing to serve the Company directly or, at its request, with another enterprise, and intending to be legally bound hereby, the parties agree as follows: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u w:val="single"/>
        </w:rPr>
        <w:t>Board</w:t>
      </w:r>
      <w:r>
        <w:rPr>
          <w:rFonts w:ascii="Times New Roman;serif" w:hAnsi="Times New Roman;serif"/>
          <w:b w:val="false"/>
          <w:color w:val="000000"/>
          <w:sz w:val="24"/>
        </w:rPr>
        <w:t>: the Board of Directors of the Company.</w:t>
      </w:r>
    </w:p>
    <w:p>
      <w:pPr>
        <w:pStyle w:val="TextBody"/>
        <w:bidi w:val="0"/>
        <w:spacing w:before="0" w:after="0"/>
        <w:jc w:val="left"/>
        <w:rPr/>
      </w:pPr>
      <w:r>
        <w:rPr/>
      </w:r>
    </w:p>
    <w:p>
      <w:pPr>
        <w:pStyle w:val="TextBody"/>
        <w:bidi w:val="0"/>
        <w:spacing w:lineRule="auto" w:line="268"/>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u w:val="single"/>
        </w:rPr>
        <w:t>Expenses</w:t>
      </w:r>
      <w:r>
        <w:rPr>
          <w:rFonts w:ascii="Times New Roman;serif" w:hAnsi="Times New Roman;serif"/>
          <w:b w:val="false"/>
          <w:color w:val="000000"/>
          <w:sz w:val="24"/>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d.</w:t>
      </w:r>
      <w:r>
        <w:rPr>
          <w:rFonts w:ascii="Times New Roman;serif" w:hAnsi="Times New Roman;serif"/>
          <w:b w:val="false"/>
          <w:color w:val="000000"/>
          <w:sz w:val="24"/>
          <w:u w:val="single"/>
        </w:rPr>
        <w:t>Indemnifiable Event</w:t>
      </w:r>
      <w:r>
        <w:rPr>
          <w:rFonts w:ascii="Times New Roman;serif" w:hAnsi="Times New Roman;serif"/>
          <w:b w:val="false"/>
          <w:color w:val="000000"/>
          <w:sz w:val="24"/>
        </w:rPr>
        <w:t>: any event or occurrence that takes place either prior to or after the execution of this Agreement, related to the fact that Indemnitee is or was a director or officer of the Company, or while a director or officer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e.</w:t>
      </w:r>
      <w:r>
        <w:rPr>
          <w:rFonts w:ascii="Times New Roman;serif" w:hAnsi="Times New Roman;serif"/>
          <w:b w:val="false"/>
          <w:color w:val="000000"/>
          <w:sz w:val="24"/>
          <w:u w:val="single"/>
        </w:rPr>
        <w:t>Independent Counsel</w:t>
      </w:r>
      <w:r>
        <w:rPr>
          <w:rFonts w:ascii="Times New Roman;serif" w:hAnsi="Times New Roman;serif"/>
          <w:b w:val="false"/>
          <w:color w:val="000000"/>
          <w:sz w:val="24"/>
        </w:rPr>
        <w:t>: the person or body appointed in connection with Section 3.</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f.</w:t>
      </w:r>
      <w:r>
        <w:rPr>
          <w:rFonts w:ascii="Times New Roman;serif" w:hAnsi="Times New Roman;serif"/>
          <w:b w:val="false"/>
          <w:color w:val="000000"/>
          <w:sz w:val="24"/>
          <w:u w:val="single"/>
        </w:rPr>
        <w:t>Proceeding</w:t>
      </w:r>
      <w:r>
        <w:rPr>
          <w:rFonts w:ascii="Times New Roman;serif" w:hAnsi="Times New Roman;serif"/>
          <w:b w:val="false"/>
          <w:color w:val="000000"/>
          <w:sz w:val="24"/>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g.</w:t>
      </w:r>
      <w:r>
        <w:rPr>
          <w:rFonts w:ascii="Times New Roman;serif" w:hAnsi="Times New Roman;serif"/>
          <w:b w:val="false"/>
          <w:color w:val="000000"/>
          <w:sz w:val="24"/>
          <w:u w:val="single"/>
        </w:rPr>
        <w:t>Reviewing Party</w:t>
      </w:r>
      <w:r>
        <w:rPr>
          <w:rFonts w:ascii="Times New Roman;serif" w:hAnsi="Times New Roman;serif"/>
          <w:b w:val="false"/>
          <w:color w:val="000000"/>
          <w:sz w:val="24"/>
        </w:rPr>
        <w:t>: the person or body appointed in accordance with Section 3.</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h.</w:t>
      </w:r>
      <w:r>
        <w:rPr>
          <w:rFonts w:ascii="Times New Roman;serif" w:hAnsi="Times New Roman;serif"/>
          <w:b w:val="false"/>
          <w:color w:val="000000"/>
          <w:sz w:val="24"/>
          <w:u w:val="single"/>
        </w:rPr>
        <w:t>Voting Securities</w:t>
      </w:r>
      <w:r>
        <w:rPr>
          <w:rFonts w:ascii="Times New Roman;serif" w:hAnsi="Times New Roman;serif"/>
          <w:b w:val="false"/>
          <w:color w:val="000000"/>
          <w:sz w:val="24"/>
        </w:rPr>
        <w:t>: any securities of the Company that vote generally in the election of directors.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4"/>
          <w:u w:val="single"/>
        </w:rPr>
        <w:t>Agreement to Indemnify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u w:val="single"/>
        </w:rPr>
        <w:t>General Agreement</w:t>
      </w:r>
      <w:r>
        <w:rPr>
          <w:rFonts w:ascii="Times New Roman;serif" w:hAnsi="Times New Roman;serif"/>
          <w:b w:val="false"/>
          <w:color w:val="000000"/>
          <w:sz w:val="24"/>
        </w:rPr>
        <w: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u w:val="single"/>
        </w:rPr>
        <w:t>Initiation of Proceeding</w:t>
      </w:r>
      <w:r>
        <w:rPr>
          <w:rFonts w:ascii="Times New Roman;serif" w:hAnsi="Times New Roman;serif"/>
          <w:b w:val="false"/>
          <w:color w:val="000000"/>
          <w:sz w:val="24"/>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u w:val="single"/>
        </w:rPr>
        <w:t>Expense Advances</w:t>
      </w:r>
      <w:r>
        <w:rPr>
          <w:rFonts w:ascii="Times New Roman;serif" w:hAnsi="Times New Roman;serif"/>
          <w:b w:val="false"/>
          <w:color w:val="000000"/>
          <w:sz w:val="24"/>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pStyle w:val="TextBody"/>
        <w:bidi w:val="0"/>
        <w:spacing w:before="0" w:after="0"/>
        <w:jc w:val="left"/>
        <w:rPr/>
      </w:pPr>
      <w:r>
        <w:rPr/>
      </w:r>
    </w:p>
    <w:p>
      <w:pPr>
        <w:pStyle w:val="TextBody"/>
        <w:bidi w:val="0"/>
        <w:spacing w:lineRule="auto" w:line="268"/>
        <w:ind w:left="0" w:right="0" w:hanging="360"/>
        <w:jc w:val="both"/>
        <w:rPr/>
      </w:pPr>
      <w:r>
        <w:rPr>
          <w:rFonts w:ascii="Times New Roman;serif" w:hAnsi="Times New Roman;serif"/>
          <w:b w:val="false"/>
          <w:color w:val="000000"/>
          <w:sz w:val="22"/>
        </w:rPr>
        <w:t>d.</w:t>
      </w:r>
      <w:r>
        <w:rPr>
          <w:rFonts w:ascii="Times New Roman;serif" w:hAnsi="Times New Roman;serif"/>
          <w:b w:val="false"/>
          <w:color w:val="000000"/>
          <w:sz w:val="24"/>
          <w:u w:val="single"/>
        </w:rPr>
        <w:t>Mandatory Indemnification</w:t>
      </w:r>
      <w:r>
        <w:rPr>
          <w:rFonts w:ascii="Times New Roman;serif" w:hAnsi="Times New Roman;serif"/>
          <w:b w:val="false"/>
          <w:color w:val="000000"/>
          <w:sz w:val="24"/>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e.</w:t>
      </w:r>
      <w:r>
        <w:rPr>
          <w:rFonts w:ascii="Times New Roman;serif" w:hAnsi="Times New Roman;serif"/>
          <w:b w:val="false"/>
          <w:color w:val="000000"/>
          <w:sz w:val="24"/>
          <w:u w:val="single"/>
        </w:rPr>
        <w:t>Partial Indemnification</w:t>
      </w:r>
      <w:r>
        <w:rPr>
          <w:rFonts w:ascii="Times New Roman;serif" w:hAnsi="Times New Roman;serif"/>
          <w:b w:val="false"/>
          <w:color w:val="000000"/>
          <w:sz w:val="24"/>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f.</w:t>
      </w:r>
      <w:r>
        <w:rPr>
          <w:rFonts w:ascii="Times New Roman;serif" w:hAnsi="Times New Roman;serif"/>
          <w:b w:val="false"/>
          <w:color w:val="000000"/>
          <w:sz w:val="24"/>
          <w:u w:val="single"/>
        </w:rPr>
        <w:t>Prohibited Indemnification</w:t>
      </w:r>
      <w:r>
        <w:rPr>
          <w:rFonts w:ascii="Times New Roman;serif" w:hAnsi="Times New Roman;serif"/>
          <w:b w:val="false"/>
          <w:color w:val="000000"/>
          <w:sz w:val="24"/>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4"/>
          <w:u w:val="single"/>
        </w:rPr>
        <w:t>Reviewing Party</w:t>
      </w:r>
      <w:r>
        <w:rPr>
          <w:rFonts w:ascii="Times New Roman;serif" w:hAnsi="Times New Roman;serif"/>
          <w:b w:val="false"/>
          <w:color w:val="000000"/>
          <w:sz w:val="24"/>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Indemnitee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4"/>
          <w:u w:val="single"/>
        </w:rPr>
        <w:t>Indemnification Process and Appeal</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u w:val="single"/>
        </w:rPr>
        <w:t>Indemnification Payment</w:t>
      </w:r>
      <w:r>
        <w:rPr>
          <w:rFonts w:ascii="Times New Roman;serif" w:hAnsi="Times New Roman;serif"/>
          <w:b w:val="false"/>
          <w:color w:val="000000"/>
          <w:sz w:val="24"/>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u w:val="single"/>
        </w:rPr>
        <w:t>Suit to Enforce Rights</w:t>
      </w:r>
      <w:r>
        <w:rPr>
          <w:rFonts w:ascii="Times New Roman;serif" w:hAnsi="Times New Roman;serif"/>
          <w:b w:val="false"/>
          <w:color w:val="000000"/>
          <w:sz w:val="24"/>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California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u w:val="single"/>
        </w:rPr>
        <w:t>Defense to Indemnification, Burden of Proof, and Presumptions</w:t>
      </w:r>
      <w:r>
        <w:rPr>
          <w:rFonts w:ascii="Times New Roman;serif" w:hAnsi="Times New Roman;serif"/>
          <w:b w:val="false"/>
          <w:color w:val="000000"/>
          <w:sz w:val="24"/>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pStyle w:val="TextBody"/>
        <w:bidi w:val="0"/>
        <w:spacing w:before="0" w:after="0"/>
        <w:jc w:val="left"/>
        <w:rPr/>
      </w:pPr>
      <w:r>
        <w:rPr/>
      </w:r>
    </w:p>
    <w:p>
      <w:pPr>
        <w:pStyle w:val="TextBody"/>
        <w:bidi w:val="0"/>
        <w:spacing w:lineRule="auto" w:line="268"/>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4"/>
          <w:u w:val="single"/>
        </w:rPr>
        <w:t>Indemnification for Expenses Incurred in Enforcing Rights</w:t>
      </w:r>
      <w:r>
        <w:rPr>
          <w:rFonts w:ascii="Times New Roman;serif" w:hAnsi="Times New Roman;serif"/>
          <w:b w:val="false"/>
          <w:color w:val="000000"/>
          <w:sz w:val="24"/>
        </w:rPr>
        <w:t xml:space="preserve">. The Company shall indemnify Indemnitee against any and all Expenses that are incurred by Indemnitee in connection with any action brought by Indemnitee for (i) indemnification of Expenses by the Company under this Agreement or any other agreement or under applicable law or the Company's Articles of Incorporation or Bylaws now or hereafter in effect relating to indemnification for Indemnifiable Events, and/or (ii) 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Indemnitee, advance the foregoing Expenses to Indemnitee, subject to and in accordance with Section 2(c).</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4"/>
          <w:u w:val="single"/>
        </w:rPr>
        <w:t>Notification and Defense of Proceeding</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u w:val="single"/>
        </w:rPr>
        <w:t>Notice</w:t>
      </w:r>
      <w:r>
        <w:rPr>
          <w:rFonts w:ascii="Times New Roman;serif" w:hAnsi="Times New Roman;serif"/>
          <w:b w:val="false"/>
          <w:color w:val="000000"/>
          <w:sz w:val="24"/>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u w:val="single"/>
        </w:rPr>
        <w:t>Defense</w:t>
      </w:r>
      <w:r>
        <w:rPr>
          <w:rFonts w:ascii="Times New Roman;serif" w:hAnsi="Times New Roman;serif"/>
          <w:b w:val="false"/>
          <w:color w:val="000000"/>
          <w:sz w:val="24"/>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pStyle w:val="TextBody"/>
        <w:bidi w:val="0"/>
        <w:spacing w:before="0" w:after="0"/>
        <w:jc w:val="left"/>
        <w:rPr/>
      </w:pPr>
      <w:r>
        <w:rPr/>
      </w:r>
    </w:p>
    <w:p>
      <w:pPr>
        <w:pStyle w:val="TextBody"/>
        <w:bidi w:val="0"/>
        <w:spacing w:lineRule="auto" w:line="268"/>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u w:val="single"/>
        </w:rPr>
        <w:t>Settlement of Claims</w:t>
      </w:r>
      <w:r>
        <w:rPr>
          <w:rFonts w:ascii="Times New Roman;serif" w:hAnsi="Times New Roman;serif"/>
          <w:b w:val="false"/>
          <w:color w:val="000000"/>
          <w:sz w:val="24"/>
        </w:rPr>
        <w:t xml:space="preserve">.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7.</w:t>
      </w:r>
      <w:r>
        <w:rPr>
          <w:rFonts w:ascii="Times New Roman;serif" w:hAnsi="Times New Roman;serif"/>
          <w:b w:val="false"/>
          <w:color w:val="000000"/>
          <w:sz w:val="24"/>
          <w:u w:val="single"/>
        </w:rPr>
        <w:t>Establishment of Trust</w:t>
      </w:r>
      <w:r>
        <w:rPr>
          <w:rFonts w:ascii="Times New Roman;serif" w:hAnsi="Times New Roman;serif"/>
          <w:b w:val="false"/>
          <w:color w:val="000000"/>
          <w:sz w:val="24"/>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4"/>
          <w:u w:val="single"/>
        </w:rPr>
        <w:t>Non-Exclusivity</w:t>
      </w:r>
      <w:r>
        <w:rPr>
          <w:rFonts w:ascii="Times New Roman;serif" w:hAnsi="Times New Roman;serif"/>
          <w:b w:val="false"/>
          <w:color w:val="000000"/>
          <w:sz w:val="24"/>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9.</w:t>
      </w:r>
      <w:r>
        <w:rPr>
          <w:rFonts w:ascii="Times New Roman;serif" w:hAnsi="Times New Roman;serif"/>
          <w:b w:val="false"/>
          <w:color w:val="000000"/>
          <w:sz w:val="24"/>
          <w:u w:val="single"/>
        </w:rPr>
        <w:t>Liability Insurance</w:t>
      </w:r>
      <w:r>
        <w:rPr>
          <w:rFonts w:ascii="Times New Roman;serif" w:hAnsi="Times New Roman;serif"/>
          <w:b w:val="false"/>
          <w:color w:val="000000"/>
          <w:sz w:val="24"/>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2"/>
        </w:rPr>
        <w:t>10.</w:t>
      </w:r>
      <w:r>
        <w:rPr>
          <w:rFonts w:ascii="Times New Roman;serif" w:hAnsi="Times New Roman;serif"/>
          <w:b w:val="false"/>
          <w:color w:val="000000"/>
          <w:sz w:val="24"/>
          <w:u w:val="single"/>
        </w:rPr>
        <w:t>Period of Limitations</w:t>
      </w:r>
      <w:r>
        <w:rPr>
          <w:rFonts w:ascii="Times New Roman;serif" w:hAnsi="Times New Roman;serif"/>
          <w:b w:val="false"/>
          <w:color w:val="000000"/>
          <w:sz w:val="24"/>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11.</w:t>
      </w:r>
      <w:r>
        <w:rPr>
          <w:rFonts w:ascii="Times New Roman;serif" w:hAnsi="Times New Roman;serif"/>
          <w:b w:val="false"/>
          <w:color w:val="000000"/>
          <w:sz w:val="24"/>
          <w:u w:val="single"/>
        </w:rPr>
        <w:t>Amendment of this Agreement</w:t>
      </w:r>
      <w:r>
        <w:rPr>
          <w:rFonts w:ascii="Times New Roman;serif" w:hAnsi="Times New Roman;serif"/>
          <w:b w:val="false"/>
          <w:color w:val="000000"/>
          <w:sz w:val="24"/>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12.</w:t>
      </w:r>
      <w:r>
        <w:rPr>
          <w:rFonts w:ascii="Times New Roman;serif" w:hAnsi="Times New Roman;serif"/>
          <w:b w:val="false"/>
          <w:color w:val="000000"/>
          <w:sz w:val="24"/>
          <w:u w:val="single"/>
        </w:rPr>
        <w:t>Subrogation</w:t>
      </w:r>
      <w:r>
        <w:rPr>
          <w:rFonts w:ascii="Times New Roman;serif" w:hAnsi="Times New Roman;serif"/>
          <w:b w:val="false"/>
          <w:color w:val="000000"/>
          <w:sz w:val="24"/>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13.</w:t>
      </w:r>
      <w:r>
        <w:rPr>
          <w:rFonts w:ascii="Times New Roman;serif" w:hAnsi="Times New Roman;serif"/>
          <w:b w:val="false"/>
          <w:color w:val="000000"/>
          <w:sz w:val="24"/>
          <w:u w:val="single"/>
        </w:rPr>
        <w:t>No Duplication of Payments</w:t>
      </w:r>
      <w:r>
        <w:rPr>
          <w:rFonts w:ascii="Times New Roman;serif" w:hAnsi="Times New Roman;serif"/>
          <w:b w:val="false"/>
          <w:color w:val="000000"/>
          <w:sz w:val="24"/>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14.</w:t>
      </w:r>
      <w:r>
        <w:rPr>
          <w:rFonts w:ascii="Times New Roman;serif" w:hAnsi="Times New Roman;serif"/>
          <w:b w:val="false"/>
          <w:color w:val="000000"/>
          <w:sz w:val="24"/>
          <w:u w:val="single"/>
        </w:rPr>
        <w:t>Binding Effect</w:t>
      </w:r>
      <w:r>
        <w:rPr>
          <w:rFonts w:ascii="Times New Roman;serif" w:hAnsi="Times New Roman;serif"/>
          <w:b w:val="false"/>
          <w:color w:val="000000"/>
          <w:sz w:val="24"/>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pStyle w:val="TextBody"/>
        <w:bidi w:val="0"/>
        <w:spacing w:before="0" w:after="0"/>
        <w:jc w:val="left"/>
        <w:rPr/>
      </w:pPr>
      <w:r>
        <w:rPr/>
      </w:r>
    </w:p>
    <w:p>
      <w:pPr>
        <w:pStyle w:val="TextBody"/>
        <w:bidi w:val="0"/>
        <w:spacing w:lineRule="auto" w:line="268"/>
        <w:ind w:left="0" w:right="0" w:hanging="360"/>
        <w:jc w:val="both"/>
        <w:rPr/>
      </w:pPr>
      <w:r>
        <w:rPr>
          <w:rFonts w:ascii="Times New Roman;serif" w:hAnsi="Times New Roman;serif"/>
          <w:b w:val="false"/>
          <w:color w:val="000000"/>
          <w:sz w:val="22"/>
        </w:rPr>
        <w:t>15.</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any provision (or portion thereof) of this Agreement shall be held by a court of competent jurisdiction to be invalid, void, or otherwise unenforceable, the remaining provisions shall remain enforceable to the fullest extent permitted by law.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16.</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and enforced in accordance with the laws of the State of California applicable to contracts made and to be performed in such State without giving effect to the principles of conflicts of laws.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17.</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pStyle w:val="TextBody"/>
        <w:bidi w:val="0"/>
        <w:spacing w:before="0" w:after="0"/>
        <w:jc w:val="left"/>
        <w:rPr/>
      </w:pPr>
      <w:r>
        <w:rPr/>
      </w:r>
    </w:p>
    <w:p>
      <w:pPr>
        <w:pStyle w:val="TextBody"/>
        <w:bidi w:val="0"/>
        <w:spacing w:lineRule="auto" w:line="268" w:before="0" w:after="0"/>
        <w:ind w:left="0" w:right="0" w:firstLine="2280"/>
        <w:jc w:val="left"/>
        <w:rPr>
          <w:rFonts w:ascii="Times New Roman;serif" w:hAnsi="Times New Roman;serif"/>
          <w:b w:val="false"/>
          <w:color w:val="000000"/>
          <w:sz w:val="24"/>
        </w:rPr>
      </w:pPr>
      <w:r>
        <w:rPr>
          <w:rFonts w:ascii="Times New Roman;serif" w:hAnsi="Times New Roman;serif"/>
          <w:b w:val="false"/>
          <w:color w:val="000000"/>
          <w:sz w:val="24"/>
        </w:rPr>
        <w:t>Vistagen Therapeutics, Inc. 343 Allerton Avenue</w:t>
      </w:r>
    </w:p>
    <w:p>
      <w:pPr>
        <w:pStyle w:val="TextBody"/>
        <w:bidi w:val="0"/>
        <w:spacing w:lineRule="auto" w:line="268" w:before="0" w:after="0"/>
        <w:ind w:left="0" w:right="0" w:firstLine="2279"/>
        <w:jc w:val="left"/>
        <w:rPr>
          <w:rFonts w:ascii="Times New Roman;serif" w:hAnsi="Times New Roman;serif"/>
          <w:b w:val="false"/>
          <w:color w:val="000000"/>
          <w:sz w:val="24"/>
        </w:rPr>
      </w:pPr>
      <w:r>
        <w:rPr>
          <w:rFonts w:ascii="Times New Roman;serif" w:hAnsi="Times New Roman;serif"/>
          <w:b w:val="false"/>
          <w:color w:val="000000"/>
          <w:sz w:val="24"/>
        </w:rPr>
        <w:t>South San Francisco, CA 94080 Attention: Chief Executive Officer</w:t>
      </w:r>
    </w:p>
    <w:p>
      <w:pPr>
        <w:pStyle w:val="TextBody"/>
        <w:bidi w:val="0"/>
        <w:spacing w:before="0" w:after="0"/>
        <w:jc w:val="left"/>
        <w:rPr/>
      </w:pPr>
      <w:r>
        <w:rPr/>
      </w:r>
    </w:p>
    <w:p>
      <w:pPr>
        <w:pStyle w:val="TextBody"/>
        <w:bidi w:val="0"/>
        <w:spacing w:lineRule="auto" w:line="268" w:before="0" w:after="0"/>
        <w:ind w:left="0" w:right="0" w:firstLine="2279"/>
        <w:jc w:val="left"/>
        <w:rPr>
          <w:rFonts w:ascii="Times New Roman;serif" w:hAnsi="Times New Roman;serif"/>
          <w:b w:val="false"/>
          <w:color w:val="000000"/>
          <w:sz w:val="24"/>
        </w:rPr>
      </w:pPr>
      <w:r>
        <w:rPr>
          <w:rFonts w:ascii="Times New Roman;serif" w:hAnsi="Times New Roman;serif"/>
          <w:b w:val="false"/>
          <w:color w:val="000000"/>
          <w:sz w:val="24"/>
        </w:rPr>
        <w:t>and to Indemnitee at:</w:t>
      </w:r>
    </w:p>
    <w:p>
      <w:pPr>
        <w:pStyle w:val="TextBody"/>
        <w:bidi w:val="0"/>
        <w:spacing w:before="0" w:after="0"/>
        <w:jc w:val="left"/>
        <w:rPr/>
      </w:pPr>
      <w:r>
        <w:rPr/>
      </w:r>
    </w:p>
    <w:p>
      <w:pPr>
        <w:pStyle w:val="TextBody"/>
        <w:bidi w:val="0"/>
        <w:spacing w:lineRule="auto" w:line="268" w:before="0" w:after="0"/>
        <w:ind w:left="0" w:right="0" w:firstLine="2280"/>
        <w:jc w:val="left"/>
        <w:rPr>
          <w:rFonts w:ascii="Times New Roman;serif" w:hAnsi="Times New Roman;serif"/>
          <w:b w:val="false"/>
          <w:color w:val="000000"/>
          <w:sz w:val="24"/>
        </w:rPr>
      </w:pPr>
      <w:r>
        <w:rPr>
          <w:rFonts w:ascii="Times New Roman;serif" w:hAnsi="Times New Roman;serif"/>
          <w:b w:val="false"/>
          <w:color w:val="000000"/>
          <w:sz w:val="24"/>
        </w:rPr>
        <w:t>Douglas J. Williamson, M.D.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erif" w:hAnsi="Times New Roman;serif"/>
          <w:b w:val="false"/>
          <w:color w:val="000000"/>
          <w:sz w:val="24"/>
        </w:rPr>
      </w:pPr>
      <w:r>
        <w:rPr>
          <w:rFonts w:ascii="Times New Roman;serif" w:hAnsi="Times New Roman;serif"/>
          <w:b w:val="false"/>
          <w:color w:val="000000"/>
          <w:sz w:val="24"/>
        </w:rPr>
        <w:t>Notice of change of address shall be effective only when done in accordance with this Section. All notices complying with this Section shall be deemed to have been received on the date of delivery or on the third business day after mailing.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68" w:before="0" w:after="0"/>
        <w:ind w:left="0" w:right="0" w:firstLine="84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duly executed and delivered this Agreement as of the day specified above.</w:t>
      </w:r>
    </w:p>
    <w:p>
      <w:pPr>
        <w:pStyle w:val="TextBody"/>
        <w:bidi w:val="0"/>
        <w:spacing w:before="0" w:after="0"/>
        <w:ind w:left="0" w:right="0" w:firstLine="840"/>
        <w:jc w:val="left"/>
        <w:rPr/>
      </w:pPr>
      <w:r>
        <w:rPr/>
      </w:r>
    </w:p>
    <w:p>
      <w:pPr>
        <w:pStyle w:val="TextBody"/>
        <w:bidi w:val="0"/>
        <w:spacing w:before="0" w:after="0"/>
        <w:ind w:left="0" w:right="0" w:firstLine="840"/>
        <w:jc w:val="left"/>
        <w:rPr/>
      </w:pPr>
      <w:r>
        <w:rPr/>
      </w:r>
    </w:p>
    <w:tbl>
      <w:tblPr>
        <w:tblW w:w="8663" w:type="dxa"/>
        <w:jc w:val="left"/>
        <w:tblInd w:w="0" w:type="dxa"/>
        <w:tblLayout w:type="fixed"/>
        <w:tblCellMar>
          <w:top w:w="28" w:type="dxa"/>
          <w:left w:w="28" w:type="dxa"/>
          <w:bottom w:w="28" w:type="dxa"/>
          <w:right w:w="28" w:type="dxa"/>
        </w:tblCellMar>
      </w:tblPr>
      <w:tblGrid>
        <w:gridCol w:w="124"/>
        <w:gridCol w:w="109"/>
        <w:gridCol w:w="109"/>
        <w:gridCol w:w="1439"/>
        <w:gridCol w:w="1439"/>
        <w:gridCol w:w="1441"/>
        <w:gridCol w:w="109"/>
        <w:gridCol w:w="109"/>
        <w:gridCol w:w="109"/>
        <w:gridCol w:w="1075"/>
        <w:gridCol w:w="1075"/>
        <w:gridCol w:w="15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VISTAGEN THERAPEUTICS, INC.</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INDEMNITEE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Shawn K. Singh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Douglas J. Williamson</w:t>
            </w:r>
            <w:r>
              <w:rPr>
                <w:color w:val="000000"/>
              </w:rPr>
              <w:t xml:space="preserv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Shawn K. Singh, J.D.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Douglas J. Williamson, M.D.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President and Chief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Date: July 29, 2026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Date: July 29,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left"/>
        <w:rPr/>
      </w:pPr>
      <w:r>
        <w:rPr/>
        <w:drawing>
          <wp:inline distT="0" distB="0" distL="0" distR="0">
            <wp:extent cx="2133600" cy="59055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2133600" cy="590550"/>
                    </a:xfrm>
                    <a:prstGeom prst="rect">
                      <a:avLst/>
                    </a:prstGeom>
                  </pic:spPr>
                </pic:pic>
              </a:graphicData>
            </a:graphic>
          </wp:inline>
        </w:drawing>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Vistagen Appoints Douglas J. Williamson to its Board of Directors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Dr. Williamson brings nearly three decades of leadership experience in neuroscience drug development, clinical research, and regulatory strategy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SOUTH SAN FRANCISCO, Calif.--(GLOBE NEWSWIRE)—July 31, 2026, </w:t>
      </w:r>
      <w:r>
        <w:rPr>
          <w:rFonts w:ascii="Times New Roman;serif" w:hAnsi="Times New Roman;serif"/>
          <w:b w:val="false"/>
          <w:color w:val="0000FF"/>
          <w:sz w:val="20"/>
        </w:rPr>
        <w:t>Vistagen</w:t>
      </w:r>
      <w:r>
        <w:rPr>
          <w:color w:val="000000"/>
        </w:rPr>
        <w:t xml:space="preserve"> </w:t>
      </w:r>
      <w:r>
        <w:rPr>
          <w:rFonts w:ascii="Times New Roman;serif" w:hAnsi="Times New Roman;serif"/>
          <w:b w:val="false"/>
          <w:color w:val="000000"/>
          <w:sz w:val="20"/>
        </w:rPr>
        <w:t>(Nasdaq: VTGN), a late clinical-stage biopharmaceutical company pioneering neuroscience with nose-to-brain neurocircuitry to develop and commercialize a new class of intranasal product candidates called pherines, today announced the appointment of Douglas J. Williamson, MD, to its Board of Directors (“Board”). Dr. Williamson brings extensive experience leading neuroscience drug development programs from early clinical research through regulatory approval and commercialization.</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We are pleased to welcome Dr. Williamson to Vistagen’s Board of Directors,” said President and Chief Executive Officer Shawn Singh. “Over his career, he has guided therapies from early development through regulatory approval and into the hands of patients. That expertise will be invaluable as we advance our neuroscience pipeline and evaluate future corporate growth opportunities. We look forward to his perspectives as we work to deliver innovative treatments to patients with unmet needs.”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Dr. Williamson is currently a CNS Drug Development Consultant and founder of Destiny Biopharm Consulting. Most recently, he served as Chief Medical Officer of QurAlis Corporation. Prior to QurAlis, he was Executive Vice President, Head of Research and Development at Acadia Pharmaceuticals Inc., where he led the company’s research and development strategy across its neuroscience pipeline and served on its Executive Management Committee. Earlier in his career, Dr. Williamson served as Chief Medical Officer of Avadel Pharmaceuticals and held senior leadership positions at H. Lundbeck A/S, including Senior Vice President, Head of U.S. Research and Development, and Deputy Global Chief Medical Officer. He also served as Vice President, Global Head of Therapeutic Area Leadership at Parexel International. During his tenure at Eli Lilly and Company, Dr. Williamson contributed to the development and regulatory approval of several neuropsychiatric therapies, including Symbyax for treatment-resistant depression and bipolar depression, Zyprexa for bipolar maintenance, and supported the commercial development of Cymbalta. Dr. Williamson previously served on the Board of Bright Minds Biosciences (Nasdaq: DRUG), and was a member of its Compensation, Audit, Nomination and Corporate Governance Committees. He holds a medical degree from the University of Edinburgh.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It’s a privilege to join Vistagen’s Board,” said Dr. Williamson. “The Company’s mission of bringing forward new treatment options for patients across a range of conditions is one I am glad to support, and I am excited to work with the experienced team as they continue to advance the Company’s innovative research and development efforts.”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Vistagen</w:t>
      </w:r>
    </w:p>
    <w:p>
      <w:pPr>
        <w:pStyle w:val="TextBody"/>
        <w:bidi w:val="0"/>
        <w:spacing w:lineRule="auto" w:line="268" w:before="0" w:after="0"/>
        <w:jc w:val="left"/>
        <w:rPr/>
      </w:pPr>
      <w:r>
        <w:rPr>
          <w:rFonts w:ascii="Times New Roman;serif" w:hAnsi="Times New Roman;serif"/>
          <w:b w:val="false"/>
          <w:color w:val="000000"/>
          <w:sz w:val="20"/>
        </w:rPr>
        <w:t xml:space="preserve">Vistagen (Nasdaq: VTGN) is a late clinical-stage biopharmaceutical company leveraging a deep understanding of nose-to-brain neurocircuitry to develop and commercialize a new class of rapid-onset neurocircuitry-focused intranasal product candidates called pherines. Vistagen’s pherine product candidates are designed to achieve therapeutic benefits without requiring absorption into the blood or uptake into the brain, giving them the potential to be a safer alternative to other pharmacological options, if successfully developed and approved. Vistagen’s most advanced intranasal pherine product candidates are fasedienol in U.S. Phase 3 development for social anxiety disorder and, in Phase 2 development, itruvone for major depressive disorder and refisolone for vasomotor symptoms (hot flashes) due to menopause. Connect at </w:t>
      </w:r>
      <w:r>
        <w:rPr>
          <w:rFonts w:ascii="Times New Roman;serif" w:hAnsi="Times New Roman;serif"/>
          <w:b w:val="false"/>
          <w:color w:val="0000FF"/>
          <w:sz w:val="20"/>
        </w:rPr>
        <w:t>www.Vistagen.com</w:t>
      </w:r>
      <w:r>
        <w:rPr>
          <w:rFonts w:ascii="Times New Roman;serif" w:hAnsi="Times New Roman;serif"/>
          <w:b w:val="false"/>
          <w:color w:val="000000"/>
          <w:sz w:val="20"/>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23"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23"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press release contains certain forward-looking statements within the meaning of the federal securities laws, including, without limitation, statements regarding Dr. Williamson’s service on the Board, and the potential attributes and benefits of Vistagen’s product candidates.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potential commercialization and actual results or developments may differ materially from those projected or implied in these forward-looking statements. Risks that may impact the outcome of these forward-looking statements are more fully discussed in the section entitled “Risk Factors” in Vistagen’s Annual Report on Form 10-K for the fiscal year ended March 31, 2026, as well as discussions of potential risks, uncertainties, and other important factors in Vistagen’s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Investor Inquiries:</w:t>
      </w:r>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IR@vistagen.com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Media Inquiries: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media@vistagen.com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6256</Words>
  <Characters>34292</Characters>
  <CharactersWithSpaces>40424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