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tgn20230419_8k.htm"/>
      <w:bookmarkStart w:id="1" w:name="ksvtgn20230419_8k"/>
      <w:bookmarkEnd w:id="0"/>
      <w:bookmarkEnd w:id="1"/>
      <w:r>
        <w:rPr>
          <w:caps w:val="false"/>
          <w:smallCaps w:val="false"/>
        </w:rPr>
        <w:t> </w:t>
      </w:r>
    </w:p>
    <w:p>
      <w:pPr>
        <w:pStyle w:val="HorizontalLine"/>
        <w:rPr/>
      </w:pPr>
      <w:r>
        <w:rPr/>
      </w:r>
    </w:p>
    <w:p>
      <w:pPr>
        <w:pStyle w:val="HorizontalLine"/>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(Date of earliest event reported): </w:t>
      </w:r>
      <w:r>
        <w:rPr>
          <w:rFonts w:ascii="Times New Roman" w:hAnsi="Times New Roman"/>
          <w:b/>
          <w:caps w:val="false"/>
          <w:smallCaps w:val="false"/>
          <w:sz w:val="20"/>
          <w:u w:val="single"/>
        </w:rPr>
        <w:t>April 19,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Vistagen Therapeutics, Inc.</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6675" w:type="dxa"/>
        <w:jc w:val="left"/>
        <w:tblInd w:w="0" w:type="dxa"/>
        <w:tblCellMar>
          <w:top w:w="0" w:type="dxa"/>
          <w:left w:w="0" w:type="dxa"/>
          <w:bottom w:w="0" w:type="dxa"/>
          <w:right w:w="0" w:type="dxa"/>
        </w:tblCellMar>
      </w:tblPr>
      <w:tblGrid>
        <w:gridCol w:w="2480"/>
        <w:gridCol w:w="2240"/>
        <w:gridCol w:w="1955"/>
      </w:tblGrid>
      <w:tr>
        <w:trPr/>
        <w:tc>
          <w:tcPr>
            <w:tcW w:w="2480" w:type="dxa"/>
            <w:tcBorders/>
            <w:shd w:fill="auto" w:val="clear"/>
            <w:vAlign w:val="center"/>
          </w:tcPr>
          <w:p>
            <w:pPr>
              <w:pStyle w:val="TableContents"/>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Nevada</w:t>
            </w:r>
          </w:p>
        </w:tc>
        <w:tc>
          <w:tcPr>
            <w:tcW w:w="2240"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000-54014</w:t>
            </w:r>
          </w:p>
        </w:tc>
        <w:tc>
          <w:tcPr>
            <w:tcW w:w="1955"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20-5093315</w:t>
            </w:r>
          </w:p>
        </w:tc>
      </w:tr>
      <w:tr>
        <w:trPr/>
        <w:tc>
          <w:tcPr>
            <w:tcW w:w="2480" w:type="dxa"/>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(State or other jurisdiction of </w:t>
            </w:r>
            <w:r>
              <w:rPr>
                <w:rFonts w:ascii="Times New Roman;Times;serif" w:hAnsi="Times New Roman;Times;serif"/>
                <w:caps w:val="false"/>
                <w:smallCaps w:val="false"/>
                <w:sz w:val="20"/>
              </w:rPr>
              <w:br/>
            </w:r>
            <w:r>
              <w:rPr>
                <w:rFonts w:ascii="Times New Roman;Times;serif" w:hAnsi="Times New Roman;Times;serif"/>
                <w:i/>
                <w:caps w:val="false"/>
                <w:smallCaps w:val="false"/>
                <w:sz w:val="20"/>
              </w:rPr>
              <w:t>incorporation)</w:t>
            </w:r>
          </w:p>
        </w:tc>
        <w:tc>
          <w:tcPr>
            <w:tcW w:w="2240" w:type="dxa"/>
            <w:tcBorders/>
            <w:shd w:fill="auto" w:val="clear"/>
            <w:vAlign w:val="center"/>
          </w:tcPr>
          <w:p>
            <w:pPr>
              <w:pStyle w:val="TableContents"/>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(Commission File Number) </w:t>
            </w:r>
          </w:p>
        </w:tc>
        <w:tc>
          <w:tcPr>
            <w:tcW w:w="1955" w:type="dxa"/>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(IRS Employer </w:t>
            </w:r>
            <w:r>
              <w:rPr>
                <w:rFonts w:ascii="Times New Roman;Times;serif" w:hAnsi="Times New Roman;Times;serif"/>
                <w:caps w:val="false"/>
                <w:smallCaps w:val="false"/>
                <w:sz w:val="20"/>
              </w:rPr>
              <w:br/>
            </w:r>
            <w:r>
              <w:rPr>
                <w:rFonts w:ascii="Times New Roman;Times;serif" w:hAnsi="Times New Roman;Times;serif"/>
                <w:i/>
                <w:caps w:val="false"/>
                <w:smallCaps w:val="false"/>
                <w:sz w:val="20"/>
              </w:rPr>
              <w:t xml:space="preserve">Identification Number)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343 Allerton Ave.</w:t>
      </w:r>
    </w:p>
    <w:p>
      <w:pPr>
        <w:pStyle w:val="TextBody"/>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South San Francisco, California 94090</w:t>
      </w:r>
    </w:p>
    <w:p>
      <w:pPr>
        <w:pStyle w:val="TextBody"/>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(Address of principal executive offices)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577-3600</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7510" w:type="dxa"/>
        <w:jc w:val="left"/>
        <w:tblInd w:w="0" w:type="dxa"/>
        <w:tblCellMar>
          <w:top w:w="0" w:type="dxa"/>
          <w:left w:w="0" w:type="dxa"/>
          <w:bottom w:w="0" w:type="dxa"/>
          <w:right w:w="0" w:type="dxa"/>
        </w:tblCellMar>
      </w:tblPr>
      <w:tblGrid>
        <w:gridCol w:w="230"/>
        <w:gridCol w:w="7280"/>
      </w:tblGrid>
      <w:tr>
        <w:trPr/>
        <w:tc>
          <w:tcPr>
            <w:tcW w:w="230" w:type="dxa"/>
            <w:tcBorders/>
            <w:shd w:fill="auto" w:val="clear"/>
            <w:vAlign w:val="center"/>
          </w:tcPr>
          <w:p>
            <w:pPr>
              <w:pStyle w:val="TableContents"/>
              <w:spacing w:before="0" w:after="0"/>
              <w:ind w:left="0" w:right="0" w:hanging="0"/>
              <w:jc w:val="left"/>
              <w:rPr/>
            </w:pPr>
            <w:r>
              <w:rPr/>
              <w:t>☐</w:t>
            </w:r>
          </w:p>
        </w:tc>
        <w:tc>
          <w:tcPr>
            <w:tcW w:w="72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585" w:type="dxa"/>
        <w:jc w:val="left"/>
        <w:tblInd w:w="0" w:type="dxa"/>
        <w:tblCellMar>
          <w:top w:w="0" w:type="dxa"/>
          <w:left w:w="0" w:type="dxa"/>
          <w:bottom w:w="0" w:type="dxa"/>
          <w:right w:w="0" w:type="dxa"/>
        </w:tblCellMar>
      </w:tblPr>
      <w:tblGrid>
        <w:gridCol w:w="230"/>
        <w:gridCol w:w="7355"/>
      </w:tblGrid>
      <w:tr>
        <w:trPr/>
        <w:tc>
          <w:tcPr>
            <w:tcW w:w="230" w:type="dxa"/>
            <w:tcBorders/>
            <w:shd w:fill="auto" w:val="clear"/>
            <w:vAlign w:val="center"/>
          </w:tcPr>
          <w:p>
            <w:pPr>
              <w:pStyle w:val="TableContents"/>
              <w:spacing w:before="0" w:after="0"/>
              <w:ind w:left="0" w:right="0" w:hanging="0"/>
              <w:jc w:val="left"/>
              <w:rPr/>
            </w:pPr>
            <w:r>
              <w:rPr/>
              <w:t>☐</w:t>
            </w:r>
          </w:p>
        </w:tc>
        <w:tc>
          <w:tcPr>
            <w:tcW w:w="735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 -12)</w:t>
            </w:r>
          </w:p>
        </w:tc>
      </w:tr>
    </w:tbl>
    <w:tbl>
      <w:tblPr>
        <w:tblW w:w="9325" w:type="dxa"/>
        <w:jc w:val="left"/>
        <w:tblInd w:w="0" w:type="dxa"/>
        <w:tblCellMar>
          <w:top w:w="0" w:type="dxa"/>
          <w:left w:w="0" w:type="dxa"/>
          <w:bottom w:w="0" w:type="dxa"/>
          <w:right w:w="0" w:type="dxa"/>
        </w:tblCellMar>
      </w:tblPr>
      <w:tblGrid>
        <w:gridCol w:w="230"/>
        <w:gridCol w:w="9095"/>
      </w:tblGrid>
      <w:tr>
        <w:trPr/>
        <w:tc>
          <w:tcPr>
            <w:tcW w:w="230" w:type="dxa"/>
            <w:tcBorders/>
            <w:shd w:fill="auto" w:val="clear"/>
            <w:vAlign w:val="center"/>
          </w:tcPr>
          <w:p>
            <w:pPr>
              <w:pStyle w:val="TableContents"/>
              <w:spacing w:before="0" w:after="0"/>
              <w:ind w:left="0" w:right="0" w:hanging="0"/>
              <w:jc w:val="left"/>
              <w:rPr/>
            </w:pPr>
            <w:r>
              <w:rPr/>
              <w:t>☐</w:t>
            </w:r>
          </w:p>
        </w:tc>
        <w:tc>
          <w:tcPr>
            <w:tcW w:w="909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 -2(b))</w:t>
            </w:r>
          </w:p>
        </w:tc>
      </w:tr>
    </w:tbl>
    <w:tbl>
      <w:tblPr>
        <w:tblW w:w="9265" w:type="dxa"/>
        <w:jc w:val="left"/>
        <w:tblInd w:w="0" w:type="dxa"/>
        <w:tblCellMar>
          <w:top w:w="0" w:type="dxa"/>
          <w:left w:w="0" w:type="dxa"/>
          <w:bottom w:w="0" w:type="dxa"/>
          <w:right w:w="0" w:type="dxa"/>
        </w:tblCellMar>
      </w:tblPr>
      <w:tblGrid>
        <w:gridCol w:w="230"/>
        <w:gridCol w:w="9035"/>
      </w:tblGrid>
      <w:tr>
        <w:trPr/>
        <w:tc>
          <w:tcPr>
            <w:tcW w:w="230" w:type="dxa"/>
            <w:tcBorders/>
            <w:shd w:fill="auto" w:val="clear"/>
            <w:vAlign w:val="center"/>
          </w:tcPr>
          <w:p>
            <w:pPr>
              <w:pStyle w:val="TableContents"/>
              <w:spacing w:before="0" w:after="0"/>
              <w:ind w:left="0" w:right="0" w:hanging="0"/>
              <w:jc w:val="left"/>
              <w:rPr/>
            </w:pPr>
            <w:r>
              <w:rPr/>
              <w:t>☐</w:t>
            </w:r>
          </w:p>
        </w:tc>
        <w:tc>
          <w:tcPr>
            <w:tcW w:w="90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 -4(c))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610" w:type="dxa"/>
        <w:jc w:val="left"/>
        <w:tblInd w:w="0" w:type="dxa"/>
        <w:tblCellMar>
          <w:top w:w="0" w:type="dxa"/>
          <w:left w:w="0" w:type="dxa"/>
          <w:bottom w:w="28" w:type="dxa"/>
          <w:right w:w="0" w:type="dxa"/>
        </w:tblCellMar>
      </w:tblPr>
      <w:tblGrid>
        <w:gridCol w:w="3500"/>
        <w:gridCol w:w="1535"/>
        <w:gridCol w:w="3575"/>
      </w:tblGrid>
      <w:tr>
        <w:trPr/>
        <w:tc>
          <w:tcPr>
            <w:tcW w:w="350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HorizontalLine"/>
        <w:rPr/>
      </w:pPr>
      <w:r>
        <w:rPr/>
      </w:r>
    </w:p>
    <w:p>
      <w:pPr>
        <w:pStyle w:val="HorizontalLine"/>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19, 2023,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announced the presentation of new data at the 2023 Anxiety and Depression Association of America Conference in Washington, D.C. that further supports the proposed mechanism of action of fasedienol (PH94B), the Company’s rapid-onset investigational pherine nasal spray in Phase 3 development for the treatment of social anxiety disorder. A copy of the press release is attached to this Current Report on Form 8-K as Exhibit 99.1.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 Exhibits Index</w:t>
      </w:r>
    </w:p>
    <w:p>
      <w:pPr>
        <w:pStyle w:val="TextBody"/>
        <w:spacing w:before="0" w:after="0"/>
        <w:ind w:left="0" w:right="0" w:hanging="0"/>
        <w:rPr>
          <w:caps w:val="false"/>
          <w:smallCaps w:val="false"/>
        </w:rPr>
      </w:pPr>
      <w:r>
        <w:rPr>
          <w:caps w:val="false"/>
          <w:smallCaps w:val="false"/>
        </w:rPr>
        <w:t> </w:t>
      </w:r>
    </w:p>
    <w:tbl>
      <w:tblPr>
        <w:tblW w:w="7510" w:type="dxa"/>
        <w:jc w:val="left"/>
        <w:tblInd w:w="0" w:type="dxa"/>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647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shd w:fill="auto" w:val="clear"/>
            <w:tcMar>
              <w:bottom w:w="0" w:type="dxa"/>
            </w:tcMar>
            <w:vAlign w:val="center"/>
          </w:tcPr>
          <w:p>
            <w:pPr>
              <w:pStyle w:val="TableContents"/>
              <w:spacing w:before="0" w:after="283"/>
              <w:rPr/>
            </w:pPr>
            <w:r>
              <w:rPr/>
              <w:t> </w:t>
            </w:r>
          </w:p>
        </w:tc>
        <w:tc>
          <w:tcPr>
            <w:tcW w:w="6470" w:type="dxa"/>
            <w:tcBorders/>
            <w:shd w:fill="auto" w:val="clear"/>
            <w:tcMar>
              <w:bottom w:w="0" w:type="dxa"/>
            </w:tcMar>
            <w:vAlign w:val="center"/>
          </w:tcPr>
          <w:p>
            <w:pPr>
              <w:pStyle w:val="TableContents"/>
              <w:spacing w:before="0" w:after="0"/>
              <w:ind w:left="0" w:right="0" w:hanging="0"/>
              <w:rPr/>
            </w:pPr>
            <w:hyperlink w:anchor="ex_502811.htm">
              <w:r>
                <w:rPr>
                  <w:rStyle w:val="InternetLink"/>
                  <w:rFonts w:ascii="Times New Roman" w:hAnsi="Times New Roman"/>
                  <w:caps w:val="false"/>
                  <w:smallCaps w:val="false"/>
                  <w:sz w:val="20"/>
                </w:rPr>
                <w:t>Press Release issued by Vistagen Therapeutics, Inc., dated April 19, 2023.</w:t>
              </w:r>
            </w:hyperlink>
          </w:p>
        </w:tc>
      </w:tr>
      <w:tr>
        <w:trPr/>
        <w:tc>
          <w:tcPr>
            <w:tcW w:w="98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auto" w:val="clear"/>
            <w:tcMar>
              <w:bottom w:w="0" w:type="dxa"/>
            </w:tcMar>
            <w:vAlign w:val="center"/>
          </w:tcPr>
          <w:p>
            <w:pPr>
              <w:pStyle w:val="TableContents"/>
              <w:spacing w:before="0" w:after="283"/>
              <w:rPr/>
            </w:pPr>
            <w:r>
              <w:rPr/>
              <w:t> </w:t>
            </w:r>
          </w:p>
        </w:tc>
        <w:tc>
          <w:tcPr>
            <w:tcW w:w="647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4005" w:type="dxa"/>
        <w:jc w:val="left"/>
        <w:tblInd w:w="0" w:type="dxa"/>
        <w:tblCellMar>
          <w:top w:w="0" w:type="dxa"/>
          <w:left w:w="0" w:type="dxa"/>
          <w:bottom w:w="0" w:type="dxa"/>
          <w:right w:w="0" w:type="dxa"/>
        </w:tblCellMar>
      </w:tblPr>
      <w:tblGrid>
        <w:gridCol w:w="1745"/>
        <w:gridCol w:w="320"/>
        <w:gridCol w:w="1940"/>
      </w:tblGrid>
      <w:tr>
        <w:trPr/>
        <w:tc>
          <w:tcPr>
            <w:tcW w:w="1745" w:type="dxa"/>
            <w:tcBorders/>
            <w:shd w:fill="auto" w:val="clear"/>
            <w:vAlign w:val="center"/>
          </w:tcPr>
          <w:p>
            <w:pPr>
              <w:pStyle w:val="TableContents"/>
              <w:spacing w:before="0" w:after="283"/>
              <w:rPr/>
            </w:pPr>
            <w:r>
              <w:rPr/>
              <w:t> </w:t>
            </w:r>
          </w:p>
        </w:tc>
        <w:tc>
          <w:tcPr>
            <w:tcW w:w="2260"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Vistagen Therapeutics, Inc.</w:t>
            </w:r>
          </w:p>
        </w:tc>
      </w:tr>
      <w:tr>
        <w:trPr/>
        <w:tc>
          <w:tcPr>
            <w:tcW w:w="174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9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745" w:type="dxa"/>
            <w:tcBorders/>
            <w:shd w:fill="auto" w:val="clear"/>
            <w:vAlign w:val="center"/>
          </w:tcPr>
          <w:p>
            <w:pPr>
              <w:pStyle w:val="TableContents"/>
              <w:spacing w:before="0" w:after="0"/>
              <w:ind w:left="0" w:right="0" w:hanging="0"/>
              <w:rPr>
                <w:caps w:val="false"/>
                <w:smallCaps w:val="false"/>
              </w:rPr>
            </w:pPr>
            <w:r>
              <w:rPr>
                <w:caps w:val="false"/>
                <w:smallCaps w:val="false"/>
              </w:rPr>
              <w:t> </w:t>
            </w:r>
            <w:r>
              <w:rPr>
                <w:rFonts w:ascii="Times New Roman" w:hAnsi="Times New Roman"/>
                <w:caps w:val="false"/>
                <w:smallCaps w:val="false"/>
                <w:sz w:val="20"/>
              </w:rPr>
              <w:t>Date: April 19, 2023</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/s/ Shawn K. Singh</w:t>
            </w:r>
          </w:p>
        </w:tc>
      </w:tr>
      <w:tr>
        <w:trPr/>
        <w:tc>
          <w:tcPr>
            <w:tcW w:w="174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9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Shawn K. Singh</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2" w:name="ex_502811.htm"/>
      <w:bookmarkStart w:id="3" w:name="ksex_502811"/>
      <w:bookmarkEnd w:id="2"/>
      <w:bookmarkEnd w:id="3"/>
      <w:r>
        <w:rPr>
          <w:rFonts w:ascii="Times New Roman;Times;serif" w:hAnsi="Times New Roman;Times;serif"/>
          <w:b/>
          <w:sz w:val="20"/>
        </w:rPr>
        <w:t>Exhibit 99.1</w:t>
      </w:r>
    </w:p>
    <w:p>
      <w:pPr>
        <w:pStyle w:val="TextBody"/>
        <w:spacing w:before="0" w:after="0"/>
        <w:ind w:left="0" w:right="0" w:hanging="0"/>
        <w:jc w:val="left"/>
        <w:rPr/>
      </w:pPr>
      <w:r>
        <w:rPr/>
        <w:t> </w:t>
      </w:r>
    </w:p>
    <w:p>
      <w:pPr>
        <w:pStyle w:val="TextBody"/>
        <w:ind w:left="0" w:right="0" w:hanging="0"/>
        <w:rPr/>
      </w:pPr>
      <w:r>
        <w:rPr/>
        <w:drawing>
          <wp:inline distT="0" distB="0" distL="0" distR="0">
            <wp:extent cx="124777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47775" cy="333375"/>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Vistagen Presents New Fasedienol (PH94B) Research at 2023 Anxiety and Depression Association of America Conference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Results from new study further support that fasedienol acts locally in the nasal passages and does not require systemic uptake or direct activity on neurons in the brain to achieve fast-acting anti-anxiety effects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SOUTH SAN FRANCISCO, Calif., April 19, 2023</w:t>
      </w:r>
      <w:r>
        <w:rPr>
          <w:rFonts w:ascii="Times New Roman" w:hAnsi="Times New Roman"/>
          <w:caps w:val="false"/>
          <w:smallCaps w:val="false"/>
          <w:sz w:val="20"/>
        </w:rPr>
        <w:t xml:space="preserve"> – Vista</w:t>
      </w:r>
      <w:r>
        <w:rPr>
          <w:rFonts w:ascii="Times New Roman" w:hAnsi="Times New Roman"/>
          <w:caps w:val="false"/>
          <w:smallCaps w:val="false"/>
          <w:sz w:val="20"/>
          <w:u w:val="single"/>
        </w:rPr>
        <w:t>gen</w:t>
      </w:r>
      <w:r>
        <w:rPr>
          <w:rFonts w:ascii="Times New Roman" w:hAnsi="Times New Roman"/>
          <w:caps w:val="false"/>
          <w:smallCaps w:val="false"/>
          <w:sz w:val="20"/>
        </w:rPr>
        <w:t xml:space="preserve"> (Nasdaq: VTGN), a late clinical-stage biopharmaceutical company aiming to transform the treatment landscape for individuals living with anxiety, depression and other central nervous system (CNS) disorders, today announced new data, presented at the 2023 Anxiety and Depression Association of America (ADAA) Conference in Washington, D.C., that further supporting the proposed mechanism of action (MOA) of fasedienol (PH94B), the Company’s rapid-onset investigational pherine nasal spray in Phase 3 development for the treatment of social anxiety disorder (SAD). Findings from the study demonstrate local metabolism and clearance of fasedienol from the nasal passages. This discovery of the local nasal clearance of fasedienol may explain prior research findings that fasedienol is absent from systemic circulation and from the brain after intranasal administration, contributing to its favorable safety profile in all clinical studies to date, which studies have involved over 30,000 doses of fasedienol administered to adults with SAD.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 the study, cells were extracted from the epithelial lining of the dorsal nasal septum of each nasal passage in healthy adult volunteers. Results from incubation of fasedienol with human nasal epithelial cells show that it is progressively metabolized and cleared from the nasal passages by P450-CYP enzymes expressed in nasal epithelial cells, including chemosensory cells, after intranasal spray administration.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 w:hAnsi="Times New Roman"/>
          <w:caps w:val="false"/>
          <w:smallCaps w:val="false"/>
          <w:sz w:val="20"/>
        </w:rPr>
        <w:t>The results of this study provide further evidence to support our belief that fasedienol activates nasal-amygdala neural circuits acting locally on nasal receptors and does not require systemic uptake or direct activity on neurons in the brain to achieve rapid-onset anti-anxiety effects,” said Dr. Louis Monti, Vice President of Translational Medicine at Vistagen. “The absence of systemic uptake of fasedienol and other fast-acting pherines is essential in our efforts to develop new drug candidates for anxiety, depression and other CNS disorders without most of the potential side effects and safety concerns associated with current oral therapies, all of which require systemic uptake.”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About Fasedienol (PH94B)</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Vistagen’s fasedienol (PH94B) is a first-in-class, rapid-onset investigational pherine nasal spray with a novel proposed mechanism of action (MOA) that regulates the olfactory-amygdala neural circuits of fear and anxiety and attenuates the tone of the sympathetic autonomic nervous system, without systemic distribution, potentiation of GABA-A receptors or direct activity on neurons in the brain. Vistagen is developing fasedienol in a Phase 3 program for the treatment of social anxiety disorder. Designed for intranasal administration in low microgram doses, the proposed novel MOA of fasedienol is fundamentally differentiated from all currently approved anti-anxiety medications, including all antidepressants and benzodiazepines.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About Social Anxiety Disorder</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Social anxiety disorder (SAD) affects an estimated 25 million Americans. A person with SAD feels intense, persistent symptoms of anxiety or fear in certain social situations, such as meeting new people, making comments in a business meeting, dating, being on a job interview, answering a question in class, or talking to a cashier in a store. Doing common, everyday things in front of people causes profound anxiety or fear of being embarrassed, evaluated, humiliated, judged, or rejected. SAD can get in the way of going to work, attending school, or doing a wide variety of things in a situation that is likely to involve interpersonal interaction. It can lead to avoidance and opportunity costs that can significantly impact a person's employment and social activities and can be very disruptive to their overall quality of life. SAD is commonly treated long-term with certain FDA-approved antidepressants, which have a slow onset of effect (several weeks) and provide limited therapeutic benefits, and with benzodiazepines, which are not FDA-approved for treating SAD. Both antidepressants and benzodiazepines have known side effects and significant safety concerns that may make them unattractive to individuals affected by SAD.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drawing>
          <wp:inline distT="0" distB="0" distL="0" distR="0">
            <wp:extent cx="124777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47775" cy="333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About Vistagen</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that are currently available for treatment of anxiety, depression and multiple CNS disorders. Vistagen’s pipeline includes six product candidates, including fasedienol (PH94B), itruvone (PH10) and three additional investigational agents belonging to a new class of drugs known as pherines, in addition to AV-101, which is an oral antagonist of the N-methyl-D-aspartate receptor (NMDAR). Pherines, which are administered as nasal sprays, are designed with a novel rapid-onset mechanism of action that activates chemosensory neurons in the nasal passages and can beneficially impact key neural circuits in the brain without systemic uptake or direct activity on CNS neurons in the brain. Vistagen is passionate about transforming mental health care and redefining what is possible in the treatment of anxiety, depression and several other CNS disorders. Connect at </w:t>
      </w:r>
      <w:r>
        <w:rPr>
          <w:rFonts w:ascii="Times New Roman" w:hAnsi="Times New Roman"/>
          <w:caps w:val="false"/>
          <w:smallCaps w:val="false"/>
          <w:sz w:val="20"/>
          <w:u w:val="single"/>
        </w:rPr>
        <w:t>www.Vistagen.com</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Forward Looking Statements </w:t>
      </w:r>
    </w:p>
    <w:p>
      <w:pPr>
        <w:pStyle w:val="TextBody"/>
        <w:spacing w:before="0" w:after="0"/>
        <w:ind w:left="0" w:right="0" w:hanging="0"/>
        <w:rPr>
          <w:rFonts w:ascii="Times New Roman" w:hAnsi="Times New Roman"/>
          <w:caps w:val="false"/>
          <w:smallCaps w:val="false"/>
          <w:sz w:val="20"/>
        </w:rPr>
      </w:pPr>
      <w:r>
        <w:rPr>
          <w:rFonts w:ascii="Times New Roman" w:hAnsi="Times New Roman"/>
          <w:i/>
          <w:caps w:val="false"/>
          <w:smallCaps w:val="false"/>
          <w:sz w:val="20"/>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project,</w:t>
      </w:r>
      <w:r>
        <w:rPr>
          <w:rFonts w:ascii="Times New Roman" w:hAnsi="Times New Roman"/>
          <w:caps w:val="false"/>
          <w:smallCaps w:val="false"/>
          <w:sz w:val="20"/>
        </w:rPr>
        <w:t>” “</w:t>
      </w:r>
      <w:r>
        <w:rPr>
          <w:rFonts w:ascii="Times New Roman" w:hAnsi="Times New Roman"/>
          <w:i/>
          <w:caps w:val="false"/>
          <w:smallCaps w:val="false"/>
          <w:sz w:val="20"/>
        </w:rPr>
        <w:t>outlook,</w:t>
      </w:r>
      <w:r>
        <w:rPr>
          <w:rFonts w:ascii="Times New Roman" w:hAnsi="Times New Roman"/>
          <w:caps w:val="false"/>
          <w:smallCaps w:val="false"/>
          <w:sz w:val="20"/>
        </w:rPr>
        <w:t>” “</w:t>
      </w:r>
      <w:r>
        <w:rPr>
          <w:rFonts w:ascii="Times New Roman" w:hAnsi="Times New Roman"/>
          <w:i/>
          <w:caps w:val="false"/>
          <w:smallCaps w:val="false"/>
          <w:sz w:val="20"/>
        </w:rPr>
        <w:t>strategy,</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predict,</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strive,</w:t>
      </w:r>
      <w:r>
        <w:rPr>
          <w:rFonts w:ascii="Times New Roman" w:hAnsi="Times New Roman"/>
          <w:caps w:val="false"/>
          <w:smallCaps w:val="false"/>
          <w:sz w:val="20"/>
        </w:rPr>
        <w:t>” “</w:t>
      </w:r>
      <w:r>
        <w:rPr>
          <w:rFonts w:ascii="Times New Roman" w:hAnsi="Times New Roman"/>
          <w:i/>
          <w:caps w:val="false"/>
          <w:smallCaps w:val="false"/>
          <w:sz w:val="20"/>
        </w:rPr>
        <w:t>goal,</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likely,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xml:space="preserve">” </w:t>
      </w:r>
      <w:r>
        <w:rPr>
          <w:rFonts w:ascii="Times New Roman" w:hAnsi="Times New Roman"/>
          <w:i/>
          <w:caps w:val="false"/>
          <w:smallCaps w:val="false"/>
          <w:sz w:val="20"/>
        </w:rPr>
        <w:t>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w:t>
      </w:r>
      <w:r>
        <w:rPr>
          <w:rFonts w:ascii="Times New Roman" w:hAnsi="Times New Roman"/>
          <w:caps w:val="false"/>
          <w:smallCaps w:val="false"/>
          <w:sz w:val="20"/>
        </w:rPr>
        <w:t> </w:t>
      </w:r>
      <w:r>
        <w:rPr>
          <w:rFonts w:ascii="Times New Roman" w:hAnsi="Times New Roman"/>
          <w:i/>
          <w:caps w:val="false"/>
          <w:smallCaps w:val="false"/>
          <w:sz w:val="20"/>
        </w:rPr>
        <w:t>As with all pharmaceutical products, there are substantial risks and uncertainties in the process of development and commercialization</w:t>
      </w:r>
      <w:r>
        <w:rPr>
          <w:rFonts w:ascii="Times New Roman" w:hAnsi="Times New Roman"/>
          <w:caps w:val="false"/>
          <w:smallCaps w:val="false"/>
          <w:sz w:val="20"/>
        </w:rPr>
        <w:t> </w:t>
      </w:r>
      <w:r>
        <w:rPr>
          <w:rFonts w:ascii="Times New Roman" w:hAnsi="Times New Roman"/>
          <w:i/>
          <w:caps w:val="false"/>
          <w:smallCaps w:val="false"/>
          <w:sz w:val="20"/>
        </w:rPr>
        <w:t>and actual results or development may differ materially from those projected or implied in these forward-looking statements.</w:t>
      </w:r>
      <w:r>
        <w:rPr>
          <w:rFonts w:ascii="Times New Roman" w:hAnsi="Times New Roman"/>
          <w:caps w:val="false"/>
          <w:smallCaps w:val="false"/>
          <w:sz w:val="20"/>
        </w:rPr>
        <w:t> </w:t>
      </w:r>
      <w:r>
        <w:rPr>
          <w:rFonts w:ascii="Times New Roman" w:hAnsi="Times New Roman"/>
          <w:i/>
          <w:caps w:val="false"/>
          <w:smallCaps w:val="false"/>
          <w:sz w:val="20"/>
        </w:rPr>
        <w:t>Among other things, there can be no guarantee that any of the Company</w:t>
      </w:r>
      <w:r>
        <w:rPr>
          <w:rFonts w:ascii="Times New Roman" w:hAnsi="Times New Roman"/>
          <w:caps w:val="false"/>
          <w:smallCaps w:val="false"/>
          <w:sz w:val="20"/>
        </w:rPr>
        <w:t>’</w:t>
      </w:r>
      <w:r>
        <w:rPr>
          <w:rFonts w:ascii="Times New Roman" w:hAnsi="Times New Roman"/>
          <w:i/>
          <w:caps w:val="false"/>
          <w:smallCaps w:val="false"/>
          <w:sz w:val="20"/>
        </w:rPr>
        <w:t>s drug candidates will successfully complete ongoing or future clinical trials, receive regulatory approval or be commercially successful. Other</w:t>
      </w:r>
      <w:r>
        <w:rPr>
          <w:rFonts w:ascii="Times New Roman" w:hAnsi="Times New Roman"/>
          <w:caps w:val="false"/>
          <w:smallCaps w:val="false"/>
          <w:sz w:val="20"/>
        </w:rPr>
        <w:t> </w:t>
      </w:r>
      <w:r>
        <w:rPr>
          <w:rFonts w:ascii="Times New Roman" w:hAnsi="Times New Roman"/>
          <w:i/>
          <w:caps w:val="false"/>
          <w:smallCaps w:val="false"/>
          <w:sz w:val="20"/>
        </w:rPr>
        <w:t>factors that may cause such a difference include, without limitation, risks and uncertainties relating to the Company</w:t>
      </w:r>
      <w:r>
        <w:rPr>
          <w:rFonts w:ascii="Times New Roman" w:hAnsi="Times New Roman"/>
          <w:caps w:val="false"/>
          <w:smallCaps w:val="false"/>
          <w:sz w:val="20"/>
        </w:rPr>
        <w:t>’</w:t>
      </w:r>
      <w:r>
        <w:rPr>
          <w:rFonts w:ascii="Times New Roman" w:hAnsi="Times New Roman"/>
          <w:i/>
          <w:caps w:val="false"/>
          <w:smallCaps w:val="false"/>
          <w:sz w:val="20"/>
        </w:rPr>
        <w:t>s ability to secure adequate financing for its operations, including financing or collaborative support for continued clinical development of fasedienol (PH94B) and/or its other product candidates; the completion and results of the Company</w:t>
      </w:r>
      <w:r>
        <w:rPr>
          <w:rFonts w:ascii="Times New Roman" w:hAnsi="Times New Roman"/>
          <w:caps w:val="false"/>
          <w:smallCaps w:val="false"/>
          <w:sz w:val="20"/>
        </w:rPr>
        <w:t>’</w:t>
      </w:r>
      <w:r>
        <w:rPr>
          <w:rFonts w:ascii="Times New Roman" w:hAnsi="Times New Roman"/>
          <w:i/>
          <w:caps w:val="false"/>
          <w:smallCaps w:val="false"/>
          <w:sz w:val="20"/>
        </w:rPr>
        <w:t>s ongoing clinical studies of itruvone (PH10) and AV-101; other risks and uncertainties related to delays in launching, conducting and/or completing ongoing and planned clinical trials; the scope and enforceability of the Company</w:t>
      </w:r>
      <w:r>
        <w:rPr>
          <w:rFonts w:ascii="Times New Roman" w:hAnsi="Times New Roman"/>
          <w:caps w:val="false"/>
          <w:smallCaps w:val="false"/>
          <w:sz w:val="20"/>
        </w:rPr>
        <w:t>’</w:t>
      </w:r>
      <w:r>
        <w:rPr>
          <w:rFonts w:ascii="Times New Roman" w:hAnsi="Times New Roman"/>
          <w:i/>
          <w:caps w:val="false"/>
          <w:smallCaps w:val="false"/>
          <w:sz w:val="20"/>
        </w:rPr>
        <w:t>s patents; fluctuating costs of materials and other resources and services required to conduct the Company</w:t>
      </w:r>
      <w:r>
        <w:rPr>
          <w:rFonts w:ascii="Times New Roman" w:hAnsi="Times New Roman"/>
          <w:caps w:val="false"/>
          <w:smallCaps w:val="false"/>
          <w:sz w:val="20"/>
        </w:rPr>
        <w:t>’</w:t>
      </w:r>
      <w:r>
        <w:rPr>
          <w:rFonts w:ascii="Times New Roman" w:hAnsi="Times New Roman"/>
          <w:i/>
          <w:caps w:val="false"/>
          <w:smallCaps w:val="false"/>
          <w:sz w:val="20"/>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Times New Roman" w:hAnsi="Times New Roman"/>
          <w:caps w:val="false"/>
          <w:smallCaps w:val="false"/>
          <w:sz w:val="20"/>
        </w:rPr>
        <w:t>’</w:t>
      </w:r>
      <w:r>
        <w:rPr>
          <w:rFonts w:ascii="Times New Roman" w:hAnsi="Times New Roman"/>
          <w:i/>
          <w:caps w:val="false"/>
          <w:smallCaps w:val="false"/>
          <w:sz w:val="20"/>
        </w:rPr>
        <w:t>s CNS drug candidates.</w:t>
      </w:r>
      <w:r>
        <w:rPr>
          <w:rFonts w:ascii="Times New Roman" w:hAnsi="Times New Roman"/>
          <w:caps w:val="false"/>
          <w:smallCaps w:val="false"/>
          <w:sz w:val="20"/>
        </w:rPr>
        <w:t> </w:t>
      </w:r>
      <w:r>
        <w:rPr>
          <w:rFonts w:ascii="Times New Roman" w:hAnsi="Times New Roman"/>
          <w:i/>
          <w:caps w:val="false"/>
          <w:smallCaps w:val="false"/>
          <w:sz w:val="20"/>
        </w:rPr>
        <w:t>These risks are more fully discussed in the section entitled "Risk Factors" in the Company</w:t>
      </w:r>
      <w:r>
        <w:rPr>
          <w:rFonts w:ascii="Times New Roman" w:hAnsi="Times New Roman"/>
          <w:caps w:val="false"/>
          <w:smallCaps w:val="false"/>
          <w:sz w:val="20"/>
        </w:rPr>
        <w:t>’</w:t>
      </w:r>
      <w:r>
        <w:rPr>
          <w:rFonts w:ascii="Times New Roman" w:hAnsi="Times New Roman"/>
          <w:i/>
          <w:caps w:val="false"/>
          <w:smallCaps w:val="false"/>
          <w:sz w:val="20"/>
        </w:rPr>
        <w:t>s most recent Annual Report on Form 10-K for the fiscal year ended March 31, 2022, and in the Company</w:t>
      </w:r>
      <w:r>
        <w:rPr>
          <w:rFonts w:ascii="Times New Roman" w:hAnsi="Times New Roman"/>
          <w:caps w:val="false"/>
          <w:smallCaps w:val="false"/>
          <w:sz w:val="20"/>
        </w:rPr>
        <w:t>’</w:t>
      </w:r>
      <w:r>
        <w:rPr>
          <w:rFonts w:ascii="Times New Roman" w:hAnsi="Times New Roman"/>
          <w:i/>
          <w:caps w:val="false"/>
          <w:smallCaps w:val="false"/>
          <w:sz w:val="20"/>
        </w:rPr>
        <w:t>s most recent Quarterly Report on Form 10-Q for the quarter ended December 31, 2022, as well as discussions of potential risks, uncertainties, and other important factors in our other filings with the U.S. Securities and Exchange Commission (SEC). The Company</w:t>
      </w:r>
      <w:r>
        <w:rPr>
          <w:rFonts w:ascii="Times New Roman" w:hAnsi="Times New Roman"/>
          <w:caps w:val="false"/>
          <w:smallCaps w:val="false"/>
          <w:sz w:val="20"/>
        </w:rPr>
        <w:t>’</w:t>
      </w:r>
      <w:r>
        <w:rPr>
          <w:rFonts w:ascii="Times New Roman" w:hAnsi="Times New Roman"/>
          <w:i/>
          <w:caps w:val="false"/>
          <w:smallCaps w:val="false"/>
          <w:sz w:val="20"/>
        </w:rPr>
        <w:t>s SEC filings are available on the SEC</w:t>
      </w:r>
      <w:r>
        <w:rPr>
          <w:rFonts w:ascii="Times New Roman" w:hAnsi="Times New Roman"/>
          <w:caps w:val="false"/>
          <w:smallCaps w:val="false"/>
          <w:sz w:val="20"/>
        </w:rPr>
        <w:t>’</w:t>
      </w:r>
      <w:r>
        <w:rPr>
          <w:rFonts w:ascii="Times New Roman" w:hAnsi="Times New Roman"/>
          <w:i/>
          <w:caps w:val="false"/>
          <w:smallCaps w:val="false"/>
          <w:sz w:val="20"/>
        </w:rPr>
        <w:t xml:space="preserve">s website at </w:t>
      </w:r>
      <w:r>
        <w:rPr>
          <w:rFonts w:ascii="Times New Roman" w:hAnsi="Times New Roman"/>
          <w:i/>
          <w:caps w:val="false"/>
          <w:smallCaps w:val="false"/>
          <w:sz w:val="20"/>
          <w:u w:val="single"/>
        </w:rPr>
        <w:t>www.sec.gov</w:t>
      </w:r>
      <w:r>
        <w:rPr>
          <w:rFonts w:ascii="Times New Roman" w:hAnsi="Times New Roman"/>
          <w:i/>
          <w:caps w:val="false"/>
          <w:smallCaps w:val="false"/>
          <w:sz w:val="20"/>
        </w:rPr>
        <w:t>. Additionally, you should not place undue reliance on these forward-looking statements in the future, because they apply only as of the date of this press release and should not be relied upon as representing the Company</w:t>
      </w:r>
      <w:r>
        <w:rPr>
          <w:rFonts w:ascii="Times New Roman" w:hAnsi="Times New Roman"/>
          <w:caps w:val="false"/>
          <w:smallCaps w:val="false"/>
          <w:sz w:val="20"/>
        </w:rPr>
        <w:t>’</w:t>
      </w:r>
      <w:r>
        <w:rPr>
          <w:rFonts w:ascii="Times New Roman" w:hAnsi="Times New Roman"/>
          <w:i/>
          <w:caps w:val="false"/>
          <w:smallCaps w:val="false"/>
          <w:sz w:val="20"/>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Investors:</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Mark McPartland</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Senior Vice President, Investor Relations</w:t>
        <w:br/>
        <w:t>(650) 577-3606 </w:t>
        <w:br/>
      </w:r>
      <w:r>
        <w:rPr>
          <w:rFonts w:ascii="Times New Roman" w:hAnsi="Times New Roman"/>
          <w:caps w:val="false"/>
          <w:smallCaps w:val="false"/>
          <w:sz w:val="20"/>
          <w:u w:val="single"/>
        </w:rPr>
        <w:t>markmcp@vistagen.com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Media:</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Nate Hitchings</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SKDK</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nhitchings@skdknick.com</w:t>
      </w:r>
    </w:p>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1807</Words>
  <CharactersWithSpaces>12430</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