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6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643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Singh Shawn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30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67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20" w:type="dxa"/>
            <w:vAlign w:val="bottom"/>
          </w:tcPr>
          <w:p>
            <w:pPr>
              <w:ind w:left="4500"/>
              <w:spacing w:after="0" w:line="140"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2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06/23/2025</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300,000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Equity Omnibus Incentive Plan, as amended. The Options will begin vesting on June 23, 2025 (the "Grant Date"), and will vest in equal monthly installments over a three-year period until the Options become fully vested on the three (3) year anniversary of the Grant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Cynthia Anderson, Attorney- </w:t>
      </w:r>
      <w:r>
        <w:rPr>
          <w:rFonts w:ascii="Times New Roman" w:cs="Times New Roman" w:eastAsia="Times New Roman" w:hAnsi="Times New Roman"/>
          <w:sz w:val="31"/>
          <w:szCs w:val="31"/>
          <w:color w:val="0000FF"/>
          <w:vertAlign w:val="subscript"/>
        </w:rPr>
        <w:t>06/25/2025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12071"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2025-06-25T16:20:53Z</dcterms:created>
  <dcterms:modified xsi:type="dcterms:W3CDTF">2025-06-25T16:20:53Z</dcterms:modified>
</cp:coreProperties>
</file>