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14, 2021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22"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6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840" w:space="720"/>
            <w:col w:w="2700" w:space="720"/>
            <w:col w:w="3260"/>
          </w:cols>
          <w:pgMar w:left="320" w:top="922"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22" w:right="3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0" w:lineRule="exact"/>
        <w:rPr>
          <w:sz w:val="24"/>
          <w:szCs w:val="24"/>
          <w:color w:val="auto"/>
        </w:rPr>
      </w:pPr>
    </w:p>
    <w:p>
      <w:pPr>
        <w:spacing w:after="0" w:line="235"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9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3"/>
        </w:trPr>
        <w:tc>
          <w:tcPr>
            <w:tcW w:w="12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4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152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4960" w:type="dxa"/>
            <w:vAlign w:val="bottom"/>
            <w:gridSpan w:val="3"/>
          </w:tcPr>
          <w:p>
            <w:pPr>
              <w:jc w:val="center"/>
              <w:ind w:right="1200"/>
              <w:spacing w:after="0"/>
              <w:rPr>
                <w:sz w:val="20"/>
                <w:szCs w:val="20"/>
                <w:color w:val="auto"/>
              </w:rPr>
            </w:pPr>
            <w:r>
              <w:rPr>
                <w:rFonts w:ascii="Arial" w:cs="Arial" w:eastAsia="Arial" w:hAnsi="Arial"/>
                <w:sz w:val="18"/>
                <w:szCs w:val="18"/>
                <w:color w:val="auto"/>
                <w:w w:val="87"/>
              </w:rPr>
              <w:t>Common Stock, par value $0.001 per share</w:t>
            </w:r>
          </w:p>
        </w:tc>
        <w:tc>
          <w:tcPr>
            <w:tcW w:w="2840" w:type="dxa"/>
            <w:vAlign w:val="bottom"/>
            <w:gridSpan w:val="2"/>
          </w:tcPr>
          <w:p>
            <w:pPr>
              <w:jc w:val="center"/>
              <w:ind w:right="1520"/>
              <w:spacing w:after="0"/>
              <w:rPr>
                <w:sz w:val="20"/>
                <w:szCs w:val="20"/>
                <w:color w:val="auto"/>
              </w:rPr>
            </w:pPr>
            <w:r>
              <w:rPr>
                <w:rFonts w:ascii="Arial" w:cs="Arial" w:eastAsia="Arial" w:hAnsi="Arial"/>
                <w:sz w:val="18"/>
                <w:szCs w:val="18"/>
                <w:color w:val="auto"/>
                <w:w w:val="95"/>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On May 14, 2021,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xml:space="preserve"> (the “</w:t>
      </w:r>
      <w:r>
        <w:rPr>
          <w:rFonts w:ascii="Arial" w:cs="Arial" w:eastAsia="Arial" w:hAnsi="Arial"/>
          <w:sz w:val="18"/>
          <w:szCs w:val="18"/>
          <w:i w:val="1"/>
          <w:iCs w:val="1"/>
          <w:color w:val="auto"/>
        </w:rPr>
        <w:t>Sales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with Jefferies LLC, as sales agent (“</w:t>
      </w:r>
      <w:r>
        <w:rPr>
          <w:rFonts w:ascii="Arial" w:cs="Arial" w:eastAsia="Arial" w:hAnsi="Arial"/>
          <w:sz w:val="18"/>
          <w:szCs w:val="18"/>
          <w:i w:val="1"/>
          <w:iCs w:val="1"/>
          <w:color w:val="auto"/>
        </w:rPr>
        <w:t>Jefferies</w:t>
      </w:r>
      <w:r>
        <w:rPr>
          <w:rFonts w:ascii="Arial" w:cs="Arial" w:eastAsia="Arial" w:hAnsi="Arial"/>
          <w:sz w:val="18"/>
          <w:szCs w:val="18"/>
          <w:color w:val="auto"/>
        </w:rPr>
        <w:t>”), with respect to an at-the-market offering program under which the Company may offer and sell,</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shares of its common stock, par value $0.001 per share (the “</w:t>
      </w:r>
      <w:r>
        <w:rPr>
          <w:rFonts w:ascii="Arial" w:cs="Arial" w:eastAsia="Arial" w:hAnsi="Arial"/>
          <w:sz w:val="18"/>
          <w:szCs w:val="18"/>
          <w:i w:val="1"/>
          <w:iCs w:val="1"/>
          <w:color w:val="auto"/>
        </w:rPr>
        <w:t>Common Stock</w:t>
      </w:r>
      <w:r>
        <w:rPr>
          <w:rFonts w:ascii="Arial" w:cs="Arial" w:eastAsia="Arial" w:hAnsi="Arial"/>
          <w:sz w:val="18"/>
          <w:szCs w:val="18"/>
          <w:color w:val="auto"/>
        </w:rPr>
        <w:t>”), having an aggregate offering price of up to $75.0 million (the “</w:t>
      </w:r>
      <w:r>
        <w:rPr>
          <w:rFonts w:ascii="Arial" w:cs="Arial" w:eastAsia="Arial" w:hAnsi="Arial"/>
          <w:sz w:val="18"/>
          <w:szCs w:val="18"/>
          <w:i w:val="1"/>
          <w:iCs w:val="1"/>
          <w:color w:val="auto"/>
        </w:rPr>
        <w:t>Shares</w:t>
      </w:r>
      <w:r>
        <w:rPr>
          <w:rFonts w:ascii="Arial" w:cs="Arial" w:eastAsia="Arial" w:hAnsi="Arial"/>
          <w:sz w:val="18"/>
          <w:szCs w:val="18"/>
          <w:color w:val="auto"/>
        </w:rPr>
        <w:t>”) through Jefferies as its sales agent.</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Under the Sales Agreement, if and when directed by the Company, Jefferies may sell the Shares by any method permitted by law and deemed to be an “at the market offering” as defined in Rule 415(a)(4) promulgated under the Securities Act of 1933, as amended, including block transactions, sales made directly on the Nasdaq Capital Market or any other trading market for the Common Stock. In addition, under the Sales Agreement, Jefferies may sell the Shares in negotiated transactions with the Company’s consent. Under certain circumstances, the Company may instruct Jefferies not to sell the Shares if the sales cannot be effected at or above the price designated by the Company from time to time.</w:t>
      </w:r>
    </w:p>
    <w:p>
      <w:pPr>
        <w:spacing w:after="0" w:line="169"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The Company will pay Jefferies a commission equal to three percent (3.0%) of the aggregate gross proceeds from each sale of the Shares as directed by the Company and sold through Jefferies under the Sales Agreement. The Sales Agreement contains customary representations, warranties and agreements by the Company, and customary indemnification and contribution rights and obligations of the parties. The Sales Agreement will terminate upon the earlier of (i) the sale of all Shares subject to the Sales Agreement or (ii) the termination of the Sales Agreement by Jefferies or the Company, as permitted therein.</w:t>
      </w:r>
    </w:p>
    <w:p>
      <w:pPr>
        <w:spacing w:after="0" w:line="151"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5"/>
          <w:szCs w:val="15"/>
          <w:color w:val="auto"/>
        </w:rPr>
        <w:t>Any Shares to be offered and sold under the Sales Agreement will be issued and sold pursuant to the Company’s effective shelf registration statement filed with the Securities and Exchange Commission (the “</w:t>
      </w:r>
      <w:r>
        <w:rPr>
          <w:rFonts w:ascii="Arial" w:cs="Arial" w:eastAsia="Arial" w:hAnsi="Arial"/>
          <w:sz w:val="15"/>
          <w:szCs w:val="15"/>
          <w:i w:val="1"/>
          <w:iCs w:val="1"/>
          <w:color w:val="auto"/>
        </w:rPr>
        <w:t>SEC</w:t>
      </w:r>
      <w:r>
        <w:rPr>
          <w:rFonts w:ascii="Arial" w:cs="Arial" w:eastAsia="Arial" w:hAnsi="Arial"/>
          <w:sz w:val="15"/>
          <w:szCs w:val="15"/>
          <w:color w:val="auto"/>
        </w:rPr>
        <w:t>”) on March 15, 2021, and declared effective on March 26, 2021 (File No. 333-254299). The Company filed a prospectus supplement with the SEC on May 14, 2021 in connection with the offer and sale of the Shares pursuant to the Sales Agreement.</w:t>
      </w:r>
    </w:p>
    <w:p>
      <w:pPr>
        <w:spacing w:after="0" w:line="142"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The foregoing description of the Sales Agreement does not purport to be complete and is qualified in its entirety by reference to the full text of the Sales Agreement, a copy of which is attached as Exhibit 1.1 to this Current Report on Form 8-K and is incorporated herein by reference.</w:t>
      </w:r>
    </w:p>
    <w:p>
      <w:pPr>
        <w:spacing w:after="0" w:line="14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 copy of the legal opinion of Woodburn and Wedge relating to the validity of the Shares to be issued and sold pursuant to the Sales Agreement is attached hereto as Exhibit 5.1.</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any Shares, nor shall there be any offer, solicitation or sale of the Shares in any state or country in which such offer, solicitation or sale would be unlawful prior to registration or qualification under the securities laws of any such state or country.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gridSpan w:val="2"/>
            <w:shd w:val="clear" w:color="auto" w:fill="CCEEFF"/>
          </w:tcPr>
          <w:p>
            <w:pPr>
              <w:spacing w:after="0" w:line="176" w:lineRule="exact"/>
              <w:rPr>
                <w:sz w:val="20"/>
                <w:szCs w:val="20"/>
                <w:color w:val="auto"/>
              </w:rPr>
            </w:pPr>
            <w:r>
              <w:rPr>
                <w:rFonts w:ascii="Arial" w:cs="Arial" w:eastAsia="Arial" w:hAnsi="Arial"/>
                <w:sz w:val="15"/>
                <w:szCs w:val="15"/>
                <w:color w:val="auto"/>
              </w:rPr>
              <w:t>Open Market Sale Agreement</w:t>
            </w:r>
            <w:r>
              <w:rPr>
                <w:rFonts w:ascii="Arial" w:cs="Arial" w:eastAsia="Arial" w:hAnsi="Arial"/>
                <w:sz w:val="20"/>
                <w:szCs w:val="20"/>
                <w:color w:val="auto"/>
                <w:vertAlign w:val="superscript"/>
              </w:rPr>
              <w:t>SM</w:t>
            </w:r>
            <w:r>
              <w:rPr>
                <w:rFonts w:ascii="Arial" w:cs="Arial" w:eastAsia="Arial" w:hAnsi="Arial"/>
                <w:sz w:val="15"/>
                <w:szCs w:val="15"/>
                <w:color w:val="auto"/>
              </w:rPr>
              <w:t>, dated May 14, 2021, by and between VistaGen Therapeutics, Inc. and Jefferies LLC.</w:t>
            </w:r>
          </w:p>
        </w:tc>
      </w:tr>
      <w:tr>
        <w:trPr>
          <w:trHeight w:val="20"/>
        </w:trPr>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2"/>
          </w:tcPr>
          <w:p>
            <w:pPr>
              <w:spacing w:after="0" w:line="176" w:lineRule="exact"/>
              <w:rPr>
                <w:sz w:val="20"/>
                <w:szCs w:val="20"/>
                <w:color w:val="auto"/>
              </w:rPr>
            </w:pPr>
            <w:r>
              <w:rPr>
                <w:rFonts w:ascii="Arial" w:cs="Arial" w:eastAsia="Arial" w:hAnsi="Arial"/>
                <w:sz w:val="18"/>
                <w:szCs w:val="18"/>
                <w:color w:val="auto"/>
              </w:rPr>
              <w:t>Opinion of Woodburn and Wedge.</w:t>
            </w:r>
          </w:p>
        </w:tc>
      </w:tr>
      <w:tr>
        <w:trPr>
          <w:trHeight w:val="20"/>
        </w:trPr>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22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8"/>
                <w:shd w:val="clear" w:color="auto" w:fill="CCEEFF"/>
              </w:rPr>
              <w:t>Consent of Woodburn and Wedge (included in Exhibit 5.1).</w:t>
            </w:r>
          </w:p>
        </w:tc>
        <w:tc>
          <w:tcPr>
            <w:tcW w:w="5700" w:type="dxa"/>
            <w:vAlign w:val="bottom"/>
            <w:shd w:val="clear" w:color="auto" w:fill="CCEEFF"/>
          </w:tcPr>
          <w:p>
            <w:pPr>
              <w:spacing w:after="0"/>
              <w:rPr>
                <w:sz w:val="17"/>
                <w:szCs w:val="17"/>
                <w:color w:val="auto"/>
              </w:rPr>
            </w:pPr>
          </w:p>
        </w:tc>
      </w:tr>
      <w:tr>
        <w:trPr>
          <w:trHeight w:val="1087"/>
        </w:trPr>
        <w:tc>
          <w:tcPr>
            <w:tcW w:w="2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180" w:type="dxa"/>
            <w:vAlign w:val="bottom"/>
            <w:tcBorders>
              <w:top w:val="single" w:sz="8" w:color="CCEEFF"/>
              <w:bottom w:val="single" w:sz="8" w:color="auto"/>
            </w:tcBorders>
          </w:tcPr>
          <w:p>
            <w:pPr>
              <w:spacing w:after="0"/>
              <w:rPr>
                <w:sz w:val="24"/>
                <w:szCs w:val="24"/>
                <w:color w:val="auto"/>
              </w:rPr>
            </w:pPr>
          </w:p>
        </w:tc>
        <w:tc>
          <w:tcPr>
            <w:tcW w:w="57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280" w:val="left"/>
          <w:tab w:leader="none" w:pos="584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10795</wp:posOffset>
            </wp:positionV>
            <wp:extent cx="34201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57" w:right="8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SALE AGREEMENT</w:t>
      </w:r>
      <w:r>
        <w:rPr>
          <w:rFonts w:ascii="Arial" w:cs="Arial" w:eastAsia="Arial" w:hAnsi="Arial"/>
          <w:sz w:val="24"/>
          <w:szCs w:val="24"/>
          <w:b w:val="1"/>
          <w:bCs w:val="1"/>
          <w:color w:val="auto"/>
          <w:vertAlign w:val="superscript"/>
        </w:rPr>
        <w:t>SM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VistaGen Therapeutics, Inc.,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subject to the terms and conditions stated herein, to issue and sell from time to time through Jefferies LLC, as sales agent and/or principal (the “</w:t>
      </w:r>
      <w:r>
        <w:rPr>
          <w:rFonts w:ascii="Arial" w:cs="Arial" w:eastAsia="Arial" w:hAnsi="Arial"/>
          <w:sz w:val="18"/>
          <w:szCs w:val="18"/>
          <w:b w:val="1"/>
          <w:bCs w:val="1"/>
          <w:color w:val="auto"/>
        </w:rPr>
        <w:t>Agent</w:t>
      </w:r>
      <w:r>
        <w:rPr>
          <w:rFonts w:ascii="Arial" w:cs="Arial" w:eastAsia="Arial" w:hAnsi="Arial"/>
          <w:sz w:val="18"/>
          <w:szCs w:val="18"/>
          <w:color w:val="auto"/>
        </w:rPr>
        <w:t>”), shares of the Company’s common stock, par value $0.001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4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Section 1.</w:t>
        <w:tab/>
        <w:t>DEFINITIONS</w:t>
      </w:r>
    </w:p>
    <w:p>
      <w:pPr>
        <w:spacing w:after="0" w:line="191" w:lineRule="exact"/>
        <w:rPr>
          <w:sz w:val="20"/>
          <w:szCs w:val="20"/>
          <w:color w:val="auto"/>
        </w:rPr>
      </w:pPr>
    </w:p>
    <w:p>
      <w:pPr>
        <w:ind w:left="1060" w:hanging="404"/>
        <w:spacing w:after="0"/>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capitalized terms used herein and not otherwise defined shall have the following respective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meanings:</w:t>
      </w:r>
    </w:p>
    <w:p>
      <w:pPr>
        <w:spacing w:after="0" w:line="14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22"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of the Commission thereunder.</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15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means a written notice delivered to the Agent by the Company in accordance with this Agreement in the form attached hereto as Exhibit A that is executed by its Chief Executive Officer or Chief Financial Officer.</w:t>
      </w:r>
    </w:p>
    <w:p>
      <w:pPr>
        <w:spacing w:after="0" w:line="325"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SM</w:t>
      </w:r>
      <w:r>
        <w:rPr>
          <w:rFonts w:ascii="Arial" w:cs="Arial" w:eastAsia="Arial" w:hAnsi="Arial"/>
          <w:sz w:val="18"/>
          <w:szCs w:val="18"/>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Issuance Notice Date</w:t>
      </w:r>
      <w:r>
        <w:rPr>
          <w:rFonts w:ascii="Arial" w:cs="Arial" w:eastAsia="Arial" w:hAnsi="Arial"/>
          <w:sz w:val="16"/>
          <w:szCs w:val="16"/>
          <w:color w:val="auto"/>
        </w:rPr>
        <w:t xml:space="preserve">” means any Trading Day during the Agency Period that an Issuance Notice is delivered pursuant to </w:t>
      </w:r>
      <w:r>
        <w:rPr>
          <w:rFonts w:ascii="Arial" w:cs="Arial" w:eastAsia="Arial" w:hAnsi="Arial"/>
          <w:sz w:val="16"/>
          <w:szCs w:val="16"/>
          <w:u w:val="single" w:color="auto"/>
          <w:color w:val="auto"/>
        </w:rPr>
        <w:t>Section 3(b)(i)</w:t>
      </w:r>
      <w:r>
        <w:rPr>
          <w:rFonts w:ascii="Arial" w:cs="Arial" w:eastAsia="Arial" w:hAnsi="Arial"/>
          <w:sz w:val="16"/>
          <w:szCs w:val="16"/>
          <w:color w:val="auto"/>
        </w:rPr>
        <w: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 or such other national securities exchange on which the Common Shares, including any Shares, are then listed.</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three percent (3.0%) of the gross proceeds of Shares sold pursuant to this Agreement.</w:t>
      </w:r>
    </w:p>
    <w:p>
      <w:pPr>
        <w:spacing w:after="0" w:line="158" w:lineRule="exact"/>
        <w:rPr>
          <w:sz w:val="20"/>
          <w:szCs w:val="20"/>
          <w:color w:val="auto"/>
        </w:rPr>
      </w:pPr>
    </w:p>
    <w:p>
      <w:pPr>
        <w:jc w:val="both"/>
        <w:ind w:firstLine="6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Company’s Common Shares issued or issuable pursuant to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185"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REPRESENTATIONS AND WARRANTIES OF THE COMPANY</w:t>
      </w:r>
    </w:p>
    <w:p>
      <w:pPr>
        <w:spacing w:after="0" w:line="1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represents and warrants to, and agrees with, the Agent that as of (1) the date of this Agreement, (2) each Issuance Notice Date, (3) each Settlement Date, (4) each Triggering Event Date and (5) as of each Time of Sale (each of the times referenced above is referred to herein as a “</w:t>
      </w:r>
      <w:r>
        <w:rPr>
          <w:rFonts w:ascii="Arial" w:cs="Arial" w:eastAsia="Arial" w:hAnsi="Arial"/>
          <w:sz w:val="18"/>
          <w:szCs w:val="18"/>
          <w:b w:val="1"/>
          <w:bCs w:val="1"/>
          <w:color w:val="auto"/>
        </w:rPr>
        <w:t>Representation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except as may be disclosed in the Prospectus (including any documents incorporated by reference therein and any supplements thereto) on or before a</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Date:</w:t>
      </w:r>
    </w:p>
    <w:p>
      <w:pPr>
        <w:spacing w:after="0" w:line="251" w:lineRule="exact"/>
        <w:rPr>
          <w:sz w:val="20"/>
          <w:szCs w:val="20"/>
          <w:color w:val="auto"/>
        </w:rPr>
      </w:pPr>
    </w:p>
    <w:p>
      <w:pPr>
        <w:jc w:val="both"/>
        <w:ind w:firstLine="656"/>
        <w:spacing w:after="0" w:line="285" w:lineRule="auto"/>
        <w:tabs>
          <w:tab w:leader="none" w:pos="1072"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Commission a shelf registration statement on Form S-3 (File No. 333-254299) that contains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6"/>
          <w:szCs w:val="16"/>
          <w:b w:val="1"/>
          <w:bCs w:val="1"/>
          <w:color w:val="auto"/>
        </w:rPr>
        <w:t>Original Registration Statement.</w:t>
      </w:r>
      <w:r>
        <w:rPr>
          <w:rFonts w:ascii="Arial" w:cs="Arial" w:eastAsia="Arial" w:hAnsi="Arial"/>
          <w:sz w:val="16"/>
          <w:szCs w:val="16"/>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its Electronic Data Gathering, Analysis, and Retrieval system (“EDGAR”).</w:t>
      </w:r>
    </w:p>
    <w:p>
      <w:pPr>
        <w:spacing w:after="0" w:line="1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the time the Original Registration Statement was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56" w:lineRule="exact"/>
        <w:rPr>
          <w:sz w:val="20"/>
          <w:szCs w:val="20"/>
          <w:color w:val="auto"/>
        </w:rPr>
      </w:pPr>
    </w:p>
    <w:p>
      <w:pPr>
        <w:jc w:val="both"/>
        <w:ind w:firstLine="656"/>
        <w:spacing w:after="0" w:line="254" w:lineRule="auto"/>
        <w:tabs>
          <w:tab w:leader="none" w:pos="1096"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Compliance with Registration Requirements</w:t>
      </w:r>
      <w:r>
        <w:rPr>
          <w:rFonts w:ascii="Arial" w:cs="Arial" w:eastAsia="Arial" w:hAnsi="Arial"/>
          <w:sz w:val="18"/>
          <w:szCs w:val="18"/>
          <w:color w:val="auto"/>
        </w:rPr>
        <w:t>. The Original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615" w:gutter="0" w:footer="0" w:header="0"/>
        </w:sectPr>
      </w:pPr>
    </w:p>
    <w:bookmarkStart w:id="5" w:name="page6"/>
    <w:bookmarkEnd w:id="5"/>
    <w:p>
      <w:pPr>
        <w:jc w:val="both"/>
        <w:ind w:firstLine="648"/>
        <w:spacing w:after="0" w:line="284" w:lineRule="auto"/>
        <w:rPr>
          <w:sz w:val="20"/>
          <w:szCs w:val="20"/>
          <w:color w:val="auto"/>
        </w:rPr>
      </w:pPr>
      <w:r>
        <w:rPr>
          <w:rFonts w:ascii="Arial" w:cs="Arial" w:eastAsia="Arial" w:hAnsi="Arial"/>
          <w:sz w:val="16"/>
          <w:szCs w:val="16"/>
          <w:color w:val="auto"/>
        </w:rPr>
        <w:t>The Prospectus when filed complied or will comply in all material respects with the Securities Act and, if filed with the Commission through EDGAR (except as may be permitted by Regulation S 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6"/>
          <w:szCs w:val="16"/>
          <w:b w:val="1"/>
          <w:bCs w:val="1"/>
          <w:color w:val="auto"/>
        </w:rPr>
        <w:t>Time of Sale Information</w:t>
      </w:r>
      <w:r>
        <w:rPr>
          <w:rFonts w:ascii="Arial" w:cs="Arial" w:eastAsia="Arial" w:hAnsi="Arial"/>
          <w:sz w:val="16"/>
          <w:szCs w:val="16"/>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46" w:lineRule="exact"/>
        <w:rPr>
          <w:sz w:val="20"/>
          <w:szCs w:val="20"/>
          <w:color w:val="auto"/>
        </w:rPr>
      </w:pPr>
    </w:p>
    <w:p>
      <w:pPr>
        <w:jc w:val="both"/>
        <w:ind w:firstLine="656"/>
        <w:spacing w:after="0" w:line="287" w:lineRule="auto"/>
        <w:tabs>
          <w:tab w:leader="none" w:pos="1059"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Ineligible Issuer Status</w:t>
      </w:r>
      <w:r>
        <w:rPr>
          <w:rFonts w:ascii="Arial" w:cs="Arial" w:eastAsia="Arial" w:hAnsi="Arial"/>
          <w:sz w:val="16"/>
          <w:szCs w:val="16"/>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135" w:lineRule="exact"/>
        <w:rPr>
          <w:rFonts w:ascii="Arial" w:cs="Arial" w:eastAsia="Arial" w:hAnsi="Arial"/>
          <w:sz w:val="16"/>
          <w:szCs w:val="16"/>
          <w:color w:val="auto"/>
        </w:rPr>
      </w:pPr>
    </w:p>
    <w:p>
      <w:pPr>
        <w:jc w:val="both"/>
        <w:ind w:firstLine="656"/>
        <w:spacing w:after="0" w:line="298" w:lineRule="auto"/>
        <w:tabs>
          <w:tab w:leader="none" w:pos="109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 w:name="page7"/>
    <w:bookmarkEnd w:id="6"/>
    <w:p>
      <w:pPr>
        <w:jc w:val="both"/>
        <w:ind w:left="-656" w:firstLine="656"/>
        <w:spacing w:after="0" w:line="291" w:lineRule="auto"/>
        <w:tabs>
          <w:tab w:leader="none" w:pos="40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33" w:lineRule="exact"/>
        <w:rPr>
          <w:rFonts w:ascii="Arial" w:cs="Arial" w:eastAsia="Arial" w:hAnsi="Arial"/>
          <w:sz w:val="16"/>
          <w:szCs w:val="16"/>
          <w:color w:val="auto"/>
        </w:rPr>
      </w:pPr>
    </w:p>
    <w:p>
      <w:pPr>
        <w:ind w:left="384" w:hanging="384"/>
        <w:spacing w:after="0"/>
        <w:tabs>
          <w:tab w:leader="none" w:pos="38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This Agreement</w:t>
      </w:r>
      <w:r>
        <w:rPr>
          <w:rFonts w:ascii="Arial" w:cs="Arial" w:eastAsia="Arial" w:hAnsi="Arial"/>
          <w:sz w:val="18"/>
          <w:szCs w:val="18"/>
          <w:color w:val="auto"/>
        </w:rPr>
        <w:t>. This Agreement has been duly authorized, executed and delivered by the Company.</w:t>
      </w:r>
    </w:p>
    <w:p>
      <w:pPr>
        <w:spacing w:after="0" w:line="184" w:lineRule="exact"/>
        <w:rPr>
          <w:rFonts w:ascii="Arial" w:cs="Arial" w:eastAsia="Arial" w:hAnsi="Arial"/>
          <w:sz w:val="18"/>
          <w:szCs w:val="18"/>
          <w:color w:val="auto"/>
        </w:rPr>
      </w:pPr>
    </w:p>
    <w:p>
      <w:pPr>
        <w:jc w:val="both"/>
        <w:ind w:left="-656" w:firstLine="656"/>
        <w:spacing w:after="0" w:line="335" w:lineRule="auto"/>
        <w:tabs>
          <w:tab w:leader="none" w:pos="413" w:val="left"/>
        </w:tabs>
        <w:numPr>
          <w:ilvl w:val="0"/>
          <w:numId w:val="6"/>
        </w:numPr>
        <w:rPr>
          <w:rFonts w:ascii="Arial" w:cs="Arial" w:eastAsia="Arial" w:hAnsi="Arial"/>
          <w:sz w:val="15"/>
          <w:szCs w:val="15"/>
          <w:color w:val="auto"/>
        </w:rPr>
      </w:pPr>
      <w:r>
        <w:rPr>
          <w:rFonts w:ascii="Arial" w:cs="Arial" w:eastAsia="Arial" w:hAnsi="Arial"/>
          <w:sz w:val="15"/>
          <w:szCs w:val="15"/>
          <w:u w:val="single" w:color="auto"/>
          <w:color w:val="auto"/>
        </w:rPr>
        <w:t>Authorization of the Shares</w:t>
      </w:r>
      <w:r>
        <w:rPr>
          <w:rFonts w:ascii="Arial" w:cs="Arial" w:eastAsia="Arial" w:hAnsi="Arial"/>
          <w:sz w:val="15"/>
          <w:szCs w:val="15"/>
          <w:color w:val="auto"/>
        </w:rPr>
        <w:t>. The Shares have been duly authorized by the Company for issuance and sale pursuant to this Agreement and, when issued and delivered by the Company against payment for the Shares pursuant to this Agreement, will be validly issued, fully paid and nonassessable, and the issuance and sale of the Shares will not be subject to any preemptive rights, rights of first refusal or other similar rights to subscribe for or purchase the Shares.</w:t>
      </w:r>
    </w:p>
    <w:p>
      <w:pPr>
        <w:spacing w:after="0" w:line="101" w:lineRule="exact"/>
        <w:rPr>
          <w:rFonts w:ascii="Arial" w:cs="Arial" w:eastAsia="Arial" w:hAnsi="Arial"/>
          <w:sz w:val="15"/>
          <w:szCs w:val="15"/>
          <w:color w:val="auto"/>
        </w:rPr>
      </w:pPr>
    </w:p>
    <w:p>
      <w:pPr>
        <w:jc w:val="both"/>
        <w:ind w:left="-656" w:firstLine="656"/>
        <w:spacing w:after="0" w:line="259" w:lineRule="auto"/>
        <w:tabs>
          <w:tab w:leader="none" w:pos="42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or Other Similar Rights</w:t>
      </w:r>
      <w:r>
        <w:rPr>
          <w:rFonts w:ascii="Arial" w:cs="Arial" w:eastAsia="Arial" w:hAnsi="Arial"/>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53" w:lineRule="exact"/>
        <w:rPr>
          <w:rFonts w:ascii="Arial" w:cs="Arial" w:eastAsia="Arial" w:hAnsi="Arial"/>
          <w:sz w:val="18"/>
          <w:szCs w:val="18"/>
          <w:color w:val="auto"/>
        </w:rPr>
      </w:pPr>
    </w:p>
    <w:p>
      <w:pPr>
        <w:jc w:val="both"/>
        <w:ind w:left="-656" w:firstLine="656"/>
        <w:spacing w:after="0" w:line="285" w:lineRule="auto"/>
        <w:tabs>
          <w:tab w:leader="none" w:pos="374"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could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43" w:lineRule="exact"/>
        <w:rPr>
          <w:rFonts w:ascii="Arial" w:cs="Arial" w:eastAsia="Arial" w:hAnsi="Arial"/>
          <w:sz w:val="16"/>
          <w:szCs w:val="16"/>
          <w:color w:val="auto"/>
        </w:rPr>
      </w:pPr>
    </w:p>
    <w:p>
      <w:pPr>
        <w:jc w:val="both"/>
        <w:ind w:left="-656" w:firstLine="656"/>
        <w:spacing w:after="0" w:line="254"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OUM &amp; Co. LLP, which has expressed its opinion with respect to the consolidated financial statements (which term as used in this Agreement includes the related notes thereto)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Arial" w:cs="Arial" w:eastAsia="Arial" w:hAnsi="Arial"/>
          <w:sz w:val="18"/>
          <w:szCs w:val="18"/>
          <w:b w:val="1"/>
          <w:bCs w:val="1"/>
          <w:color w:val="auto"/>
        </w:rPr>
        <w:t>PCAOB</w:t>
      </w:r>
      <w:r>
        <w:rPr>
          <w:rFonts w:ascii="Arial" w:cs="Arial" w:eastAsia="Arial" w:hAnsi="Arial"/>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362585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7" w:name="page8"/>
    <w:bookmarkEnd w:id="7"/>
    <w:p>
      <w:pPr>
        <w:jc w:val="both"/>
        <w:ind w:left="-656" w:firstLine="656"/>
        <w:spacing w:after="0" w:line="285" w:lineRule="auto"/>
        <w:tabs>
          <w:tab w:leader="none" w:pos="426"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filed with the Commission as a part of the Registration Statement and the Prospectus present fairly, in all material respects, the consolidated financial position of the Company and its subsidiaries as of the dates indicated and the results of their operations, changes in stockholders’ equity and cash flows for the periods specified. The supporting schedules included in the Registration Statement present fairly the information required to be stated therein. Such financial statements and supporting schedules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financial data set forth in each of the Registration Statement and the Prospectus fairly present, in all material respects, the information set forth therein on a basis consistent with that of the audited financial statements contained in the Registration Statement and the Prospectus. All disclosures contained in the Registration Statement, any preliminary prospectus, the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35" w:lineRule="exact"/>
        <w:rPr>
          <w:rFonts w:ascii="Arial" w:cs="Arial" w:eastAsia="Arial" w:hAnsi="Arial"/>
          <w:sz w:val="16"/>
          <w:szCs w:val="16"/>
          <w:color w:val="auto"/>
        </w:rPr>
      </w:pPr>
    </w:p>
    <w:p>
      <w:pPr>
        <w:jc w:val="both"/>
        <w:ind w:left="-656" w:firstLine="656"/>
        <w:spacing w:after="0" w:line="288" w:lineRule="auto"/>
        <w:tabs>
          <w:tab w:leader="none" w:pos="374"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Company’s Accounting System</w:t>
      </w:r>
      <w:r>
        <w:rPr>
          <w:rFonts w:ascii="Arial" w:cs="Arial" w:eastAsia="Arial" w:hAnsi="Arial"/>
          <w:sz w:val="16"/>
          <w:szCs w:val="16"/>
          <w:color w:val="auto"/>
        </w:rPr>
        <w:t>. The Company and each of its subsidiaries make and keep books and records that are accurate, in all material respects,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37" w:lineRule="exact"/>
        <w:rPr>
          <w:rFonts w:ascii="Arial" w:cs="Arial" w:eastAsia="Arial" w:hAnsi="Arial"/>
          <w:sz w:val="16"/>
          <w:szCs w:val="16"/>
          <w:color w:val="auto"/>
        </w:rPr>
      </w:pPr>
    </w:p>
    <w:p>
      <w:pPr>
        <w:jc w:val="both"/>
        <w:ind w:left="-656" w:firstLine="656"/>
        <w:spacing w:after="0" w:line="286" w:lineRule="auto"/>
        <w:tabs>
          <w:tab w:leader="none" w:pos="461"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Disclosure Controls and Procedures; Deficiencies in or Changes to Internal Control Over Financial Reporting</w:t>
      </w:r>
      <w:r>
        <w:rPr>
          <w:rFonts w:ascii="Arial" w:cs="Arial" w:eastAsia="Arial" w:hAnsi="Arial"/>
          <w:sz w:val="16"/>
          <w:szCs w:val="16"/>
          <w:color w:val="auto"/>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Other than as disclosed in the Registration Statement and the Prospectus,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(as defined in Rule 13a-15(f) under the Exchange Act).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351155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8" w:name="page9"/>
    <w:bookmarkEnd w:id="8"/>
    <w:p>
      <w:pPr>
        <w:jc w:val="both"/>
        <w:ind w:left="-656" w:firstLine="656"/>
        <w:spacing w:after="0" w:line="291" w:lineRule="auto"/>
        <w:tabs>
          <w:tab w:leader="none" w:pos="41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Incorporation and Good Standing of the Company</w:t>
      </w:r>
      <w:r>
        <w:rPr>
          <w:rFonts w:ascii="Arial" w:cs="Arial" w:eastAsia="Arial" w:hAnsi="Arial"/>
          <w:sz w:val="16"/>
          <w:szCs w:val="16"/>
          <w:color w:val="auto"/>
        </w:rPr>
        <w:t>.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in the State of jurisdiction of its principal place of business and each other jurisdiction in which such qualification is required, whether by reason of the ownership or leasing of property or the conduct of business, except where the failure to qualify would not reasonably be expected to result in a Material Adverse Change.</w:t>
      </w:r>
    </w:p>
    <w:p>
      <w:pPr>
        <w:spacing w:after="0" w:line="133" w:lineRule="exact"/>
        <w:rPr>
          <w:rFonts w:ascii="Arial" w:cs="Arial" w:eastAsia="Arial" w:hAnsi="Arial"/>
          <w:sz w:val="16"/>
          <w:szCs w:val="16"/>
          <w:color w:val="auto"/>
        </w:rPr>
      </w:pPr>
    </w:p>
    <w:p>
      <w:pPr>
        <w:jc w:val="both"/>
        <w:ind w:left="-656" w:firstLine="656"/>
        <w:spacing w:after="0" w:line="285" w:lineRule="auto"/>
        <w:tabs>
          <w:tab w:leader="none" w:pos="41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Subsidiaries</w:t>
      </w:r>
      <w:r>
        <w:rPr>
          <w:rFonts w:ascii="Arial" w:cs="Arial" w:eastAsia="Arial" w:hAnsi="Arial"/>
          <w:sz w:val="16"/>
          <w:szCs w:val="16"/>
          <w:color w:val="auto"/>
        </w:rPr>
        <w:t>.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qualify would not reasonably be expected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on Exhibit B hereto or in Exhibit 21 to the Company’s most recent Annual Report on Form 10-K.</w:t>
      </w:r>
    </w:p>
    <w:p>
      <w:pPr>
        <w:spacing w:after="0" w:line="143" w:lineRule="exact"/>
        <w:rPr>
          <w:rFonts w:ascii="Arial" w:cs="Arial" w:eastAsia="Arial" w:hAnsi="Arial"/>
          <w:sz w:val="16"/>
          <w:szCs w:val="16"/>
          <w:color w:val="auto"/>
        </w:rPr>
      </w:pPr>
    </w:p>
    <w:p>
      <w:pPr>
        <w:jc w:val="both"/>
        <w:ind w:left="-656" w:firstLine="656"/>
        <w:spacing w:after="0" w:line="286" w:lineRule="auto"/>
        <w:tabs>
          <w:tab w:leader="none" w:pos="42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Capitalization and Other Capital Stock Matters</w:t>
      </w:r>
      <w:r>
        <w:rPr>
          <w:rFonts w:ascii="Arial" w:cs="Arial" w:eastAsia="Arial" w:hAnsi="Arial"/>
          <w:sz w:val="16"/>
          <w:szCs w:val="16"/>
          <w:color w:val="auto"/>
        </w:rPr>
        <w:t>. The authorized, issued and outstanding capital stock of the Company is as set forth in the Registration Statement and the Prospectus under the caption “Capitalization” (other than for subsequent issuances, if any, pursuant to employee benefit plans, or upon the exercise of outstanding options or warrants, in each case described in the Registration Statement and the Prospectus). The share capital of the Company conforms, in all material respects, to the description thereof contained in the Prospectus. All of the issued and outstanding securities of the Company have been duly authorized and validly issued, are fully paid and nonassessable and have been issued in compliance with all federal and state securities laws. None of the outstanding securities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351155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9" w:name="page10"/>
    <w:bookmarkEnd w:id="9"/>
    <w:p>
      <w:pPr>
        <w:jc w:val="both"/>
        <w:ind w:left="-656" w:firstLine="656"/>
        <w:spacing w:after="0" w:line="254" w:lineRule="auto"/>
        <w:tabs>
          <w:tab w:leader="none" w:pos="42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except as otherwise disclosed in the Registration Statement and the Prospectus, has the Company received any notification that the Commission or the Principal Market is contemplating terminating such registration or listing. Except as otherwise disclosed in the Registration Statement and the Prospectus, to the Company’s knowledge, it is in compliance with all applicable listing requirements of the Principal Market.</w:t>
      </w:r>
    </w:p>
    <w:p>
      <w:pPr>
        <w:spacing w:after="0" w:line="157" w:lineRule="exact"/>
        <w:rPr>
          <w:rFonts w:ascii="Arial" w:cs="Arial" w:eastAsia="Arial" w:hAnsi="Arial"/>
          <w:sz w:val="18"/>
          <w:szCs w:val="18"/>
          <w:color w:val="auto"/>
        </w:rPr>
      </w:pPr>
    </w:p>
    <w:p>
      <w:pPr>
        <w:jc w:val="both"/>
        <w:ind w:left="-656" w:firstLine="656"/>
        <w:spacing w:after="0" w:line="304" w:lineRule="auto"/>
        <w:tabs>
          <w:tab w:leader="none" w:pos="383"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Non-Contravention of Existing Instruments; No Further Authorizations or Approvals Required</w:t>
      </w:r>
      <w:r>
        <w:rPr>
          <w:rFonts w:ascii="Arial" w:cs="Arial" w:eastAsia="Arial" w:hAnsi="Arial"/>
          <w:sz w:val="15"/>
          <w:szCs w:val="15"/>
          <w:color w:val="auto"/>
        </w:rPr>
        <w:t>. 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Arial" w:cs="Arial" w:eastAsia="Arial" w:hAnsi="Arial"/>
          <w:sz w:val="15"/>
          <w:szCs w:val="15"/>
          <w:b w:val="1"/>
          <w:bCs w:val="1"/>
          <w:color w:val="auto"/>
        </w:rPr>
        <w:t>Default</w:t>
      </w:r>
      <w:r>
        <w:rPr>
          <w:rFonts w:ascii="Arial" w:cs="Arial" w:eastAsia="Arial" w:hAnsi="Arial"/>
          <w:sz w:val="15"/>
          <w:szCs w:val="15"/>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Arial" w:cs="Arial" w:eastAsia="Arial" w:hAnsi="Arial"/>
          <w:sz w:val="15"/>
          <w:szCs w:val="15"/>
          <w:b w:val="1"/>
          <w:bCs w:val="1"/>
          <w:color w:val="auto"/>
        </w:rPr>
        <w:t>Existing Instrument</w:t>
      </w:r>
      <w:r>
        <w:rPr>
          <w:rFonts w:ascii="Arial" w:cs="Arial" w:eastAsia="Arial" w:hAnsi="Arial"/>
          <w:sz w:val="15"/>
          <w:szCs w:val="15"/>
          <w:color w:val="auto"/>
        </w:rPr>
        <w:t>”), except for such Defaults as would not be reasonably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for such conflicts, breaches or violations specified in subsection (ii) and (iii) above that would not reasonably be expected to result in a Material Adverse Change. Except as otherwise disclosed in the Registration Statement and the Prospectus,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Arial" w:cs="Arial" w:eastAsia="Arial" w:hAnsi="Arial"/>
          <w:sz w:val="15"/>
          <w:szCs w:val="15"/>
          <w:b w:val="1"/>
          <w:bCs w:val="1"/>
          <w:color w:val="auto"/>
        </w:rPr>
        <w:t>FINRA</w:t>
      </w:r>
      <w:r>
        <w:rPr>
          <w:rFonts w:ascii="Arial" w:cs="Arial" w:eastAsia="Arial" w:hAnsi="Arial"/>
          <w:sz w:val="15"/>
          <w:szCs w:val="15"/>
          <w:color w:val="auto"/>
        </w:rPr>
        <w:t>”). As used herein, a “</w:t>
      </w:r>
      <w:r>
        <w:rPr>
          <w:rFonts w:ascii="Arial" w:cs="Arial" w:eastAsia="Arial" w:hAnsi="Arial"/>
          <w:sz w:val="15"/>
          <w:szCs w:val="15"/>
          <w:b w:val="1"/>
          <w:bCs w:val="1"/>
          <w:color w:val="auto"/>
        </w:rPr>
        <w:t>Debt Repayment Triggering Event</w:t>
      </w:r>
      <w:r>
        <w:rPr>
          <w:rFonts w:ascii="Arial" w:cs="Arial" w:eastAsia="Arial" w:hAnsi="Arial"/>
          <w:sz w:val="15"/>
          <w:szCs w:val="15"/>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339" w:lineRule="exact"/>
        <w:rPr>
          <w:rFonts w:ascii="Arial" w:cs="Arial" w:eastAsia="Arial" w:hAnsi="Arial"/>
          <w:sz w:val="15"/>
          <w:szCs w:val="15"/>
          <w:color w:val="auto"/>
        </w:rPr>
      </w:pPr>
    </w:p>
    <w:p>
      <w:pPr>
        <w:jc w:val="both"/>
        <w:ind w:left="-656" w:firstLine="656"/>
        <w:spacing w:after="0" w:line="259" w:lineRule="auto"/>
        <w:tabs>
          <w:tab w:leader="none" w:pos="393"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and its subsidiaries have been, during the past three (3) years, and are in compliance with all applicable laws, rules and regulations, except where failure to be so in compliance would not reasonably be expected, individually or in the aggregate, to result in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360045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10" w:name="page11"/>
    <w:bookmarkEnd w:id="10"/>
    <w:p>
      <w:pPr>
        <w:jc w:val="both"/>
        <w:ind w:left="-656" w:firstLine="656"/>
        <w:spacing w:after="0" w:line="294" w:lineRule="auto"/>
        <w:tabs>
          <w:tab w:leader="none" w:pos="374"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No Material Actions or Proceedings</w:t>
      </w:r>
      <w:r>
        <w:rPr>
          <w:rFonts w:ascii="Arial" w:cs="Arial" w:eastAsia="Arial" w:hAnsi="Arial"/>
          <w:sz w:val="16"/>
          <w:szCs w:val="16"/>
          <w:color w:val="auto"/>
        </w:rPr>
        <w:t>. There is no action, suit, proceeding, inquiry or investigation brought by or before any legal or governmental entity now pending or, to the knowledge of the Company, threatened, against or affecting the Company or any of its subsidiaries, that would reasonably be expected, individually or in the aggregate, to result in a Material Adverse Change. No labor dispute with the employees of the Company or any of its subsidiaries, or with the employees of any principal supplier, manufacturer, customer or contractor of the Company, exists or, to the knowledge of the Company, is threatened or imminent, except as would not reasonably be expected to result in a Material Adverse Change.</w:t>
      </w:r>
    </w:p>
    <w:p>
      <w:pPr>
        <w:spacing w:after="0" w:line="128" w:lineRule="exact"/>
        <w:rPr>
          <w:rFonts w:ascii="Arial" w:cs="Arial" w:eastAsia="Arial" w:hAnsi="Arial"/>
          <w:sz w:val="16"/>
          <w:szCs w:val="16"/>
          <w:color w:val="auto"/>
        </w:rPr>
      </w:pPr>
    </w:p>
    <w:p>
      <w:pPr>
        <w:jc w:val="both"/>
        <w:ind w:left="-656" w:firstLine="656"/>
        <w:spacing w:after="0" w:line="283" w:lineRule="auto"/>
        <w:tabs>
          <w:tab w:leader="none" w:pos="41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The Company and its subsidiaries own, or have obtained valid and enforceable licenses for, the inventions, patent applications, patents, trademarks, trade names, service names, copyrights, trade secrets and other intellectual property described in the Registration Statement and the Prospectus as being owned or licensed by them or used in the conduct of their respective businesses as currently conducted or as currently proposed to be conducted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To the Company’s knowledge, the conduct of their respective businesses does not and will not infringe, misappropriate or otherwise conflict in any respect with any intellectual property rights of others, except as would not be reasonably be expected, individually or in the aggregate, to result in a Material Adverse Change. The Intellectual Property of the Company has not been adjudged by a court of competent jurisdiction to be invalid or unenforceable, in whole or in part, and the Company is unaware of any facts which, in the Company’s opinion, would form a reasonable basis for any such adjudication. To the Company’s knowledge, except as otherwise described in the Registration Statement and the Prospectus: (i) there are no third parties who have rights to any Intellectual Property, except for customary reversionary rights of third-party licensors with respect to Intellectual Property that is disclosed in the Registration Statement and the Prospectus as licensed to the Company or one or more of its subsidiaries; and (ii) there is no infringement by third parties of any Intellectual Property, except, for each of (i) and (ii), as would not be reasonably be expected, individually or in the aggregate, to result in a Material Adverse Change. There is no pending or, to the Company’s knowledge, threatened action, suit, proceeding or claim by third parties: (A) challenging the Company’s and its subsidiaries’ rights in or to any Intellectual Property, and the Company is unaware of any facts which, in the Company’s opinion, would form a reasonable basis for any such action, suit, proceeding or claim; (B) challenging the validity, enforceability or scope of any Intellectual Property, and the Company is unaware of any facts which, in the Company’s opinion, would form a reasonable basis for any such action, suit, proceeding or claim; or (C) asserting that the Company or any of its subsidiaries infringes or otherwise violates, or would, upon the commercialization of any product or service described in the Registration Statement the Prospectus as under development, infringe or violate, any patent, trademark, trade name, service name, copyright, trade secret or other proprietary rights of third parties, and the Company is unaware of any facts which, in the Company’s opinion, would form a reasonable basis for any such action, suit, proceeding or claim; in each case of (A), (B) and (C), except as would not reasonably be expected to result in a Material Adverse Change. The Company and its subsidiaries have complied with the terms of each agreement pursuant to which Intellectual Property has been licensed to the Company or any subsidiary, and all such agreements are in full force and effect, except when the failure to be in compliance would not reasonably be expected to result in a Material Adverse Change. To the Company’s knowledge, there are no defects in any of the patents or patent applications included in the Intellectual Property, except as would not reasonably be expected to result in a Material Adverse Change. To the Company’s knowledge, the Company and its subsidiaries have taken all reasonable steps to protect, maintain and safeguard the Intellectual Property, including the execution of appropriate nondisclosure or confidentiality agreements and invention assignment agreements with their employees, and to the Company’s knowledge, no current employee of the Company involved in the development of Intellectual Property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in each case except when the failure to be in compliance would not reasonably be expected to result in a Material Adverse Change. To the Company’s knowledge, the duty of candor and good faith as required by the United States Patent and Trademark Office during the prosecution of the United States patents and patent applications included in the Intellectual Property has been complied with in all respects; and in all foreign offices having similar requirements, all such requirements have been complied with in all respects, in each case except when the failure to be in compliance would not reasonably be expected to result in a Material Adverse Change. To the knowledge of the Company, none of the Company owned Intellectual Property or technology (including information technology and outsourced arrangements) employed by the Company or its subsidiaries in the conduct of their respective businesses has been obtained or is being used by the Company or its subsidiaries in violation of any contractual obligation binding on the Company or its subsidiaries or any of their respective officers, directors or employees or otherwise in violation of the rights of any persons. The product candidates described in the Registration Statement and the Prospectus as under development by the Company or any subsidiary fall within the scope of the claims of one or more patents and/or pending patent applications owned by, or exclusively licensed to, the Company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351155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11" w:name="page12"/>
    <w:bookmarkEnd w:id="11"/>
    <w:p>
      <w:pPr>
        <w:jc w:val="both"/>
        <w:ind w:left="-656" w:firstLine="656"/>
        <w:spacing w:after="0" w:line="291" w:lineRule="auto"/>
        <w:tabs>
          <w:tab w:leader="none" w:pos="41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All Necessary Permits, etc</w:t>
      </w:r>
      <w:r>
        <w:rPr>
          <w:rFonts w:ascii="Arial" w:cs="Arial" w:eastAsia="Arial" w:hAnsi="Arial"/>
          <w:sz w:val="16"/>
          <w:szCs w:val="16"/>
          <w:color w:val="auto"/>
        </w:rPr>
        <w:t>. The Company and its subsidiaries possess such valid and current certificates, authorizations or permits required by state, federal or foreign regulatory agencies or bodies to conduct their respective businesses as currently conducted and as described in the Registration Statement or the Prospectus (“</w:t>
      </w:r>
      <w:r>
        <w:rPr>
          <w:rFonts w:ascii="Arial" w:cs="Arial" w:eastAsia="Arial" w:hAnsi="Arial"/>
          <w:sz w:val="16"/>
          <w:szCs w:val="16"/>
          <w:b w:val="1"/>
          <w:bCs w:val="1"/>
          <w:color w:val="auto"/>
        </w:rPr>
        <w:t>Permits</w:t>
      </w:r>
      <w:r>
        <w:rPr>
          <w:rFonts w:ascii="Arial" w:cs="Arial" w:eastAsia="Arial" w:hAnsi="Arial"/>
          <w:sz w:val="16"/>
          <w:szCs w:val="16"/>
          <w:color w:val="auto"/>
        </w:rPr>
        <w:t>”), except where the failure to so possess would not reasonably be expected to result in a Material Adverse Change. Neither the Company nor any of its subsidiaries is in violation of, or in default under, any of the Permits or has received any notice of proceedings relating to the revocation or modification of, or non-compliance with, any such certificate, authorization or permit, that, individually or in the aggregate, if the subject of an unfavorable decision, ruling or finding, would reasonably be expected to result in a Material Adverse Change.</w:t>
      </w:r>
    </w:p>
    <w:p>
      <w:pPr>
        <w:spacing w:after="0" w:line="133" w:lineRule="exact"/>
        <w:rPr>
          <w:rFonts w:ascii="Arial" w:cs="Arial" w:eastAsia="Arial" w:hAnsi="Arial"/>
          <w:sz w:val="16"/>
          <w:szCs w:val="16"/>
          <w:color w:val="auto"/>
        </w:rPr>
      </w:pPr>
    </w:p>
    <w:p>
      <w:pPr>
        <w:jc w:val="both"/>
        <w:ind w:left="-656" w:firstLine="656"/>
        <w:spacing w:after="0" w:line="290" w:lineRule="auto"/>
        <w:tabs>
          <w:tab w:leader="none" w:pos="451"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Title to Properties</w:t>
      </w:r>
      <w:r>
        <w:rPr>
          <w:rFonts w:ascii="Arial" w:cs="Arial" w:eastAsia="Arial" w:hAnsi="Arial"/>
          <w:sz w:val="16"/>
          <w:szCs w:val="16"/>
          <w:color w:val="auto"/>
        </w:rPr>
        <w:t>. Except as otherwise disclosed in the Registration Statement and the Prospectus, the Company and its subsidiaries have good and marketable title to all of the real and personal property and other assets reflected as owned in the financial statements referred to in Section 2(k) above (or elsewhere in the Registration Statement or the Prospectus), in each case free and clear of any security interests, mortgages, liens, encumbrances, equities, adverse claims and other defects that would reasonably be expected to result in a Material Adverse Change.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31" w:lineRule="exact"/>
        <w:rPr>
          <w:rFonts w:ascii="Arial" w:cs="Arial" w:eastAsia="Arial" w:hAnsi="Arial"/>
          <w:sz w:val="16"/>
          <w:szCs w:val="16"/>
          <w:color w:val="auto"/>
        </w:rPr>
      </w:pPr>
    </w:p>
    <w:p>
      <w:pPr>
        <w:jc w:val="both"/>
        <w:ind w:left="-656" w:firstLine="656"/>
        <w:spacing w:after="0" w:line="253" w:lineRule="auto"/>
        <w:tabs>
          <w:tab w:leader="none" w:pos="41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Tax Law Compliance</w:t>
      </w:r>
      <w:r>
        <w:rPr>
          <w:rFonts w:ascii="Arial" w:cs="Arial" w:eastAsia="Arial" w:hAnsi="Arial"/>
          <w:sz w:val="18"/>
          <w:szCs w:val="18"/>
          <w:color w:val="auto"/>
        </w:rPr>
        <w:t>. Except as (i) disclosed in the Registration Statement and the Prospectus or (ii) would not reasonably be expected to result in a Material Adverse Change,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Section 2(k) above in respect of all material federal, state and foreign income and franchise taxes applicable to the Company for all periods as to which the tax liability of the Company or any of its subsidiaries has not been finally determined.</w:t>
      </w:r>
    </w:p>
    <w:p>
      <w:pPr>
        <w:spacing w:after="0" w:line="160" w:lineRule="exact"/>
        <w:rPr>
          <w:rFonts w:ascii="Arial" w:cs="Arial" w:eastAsia="Arial" w:hAnsi="Arial"/>
          <w:sz w:val="18"/>
          <w:szCs w:val="18"/>
          <w:color w:val="auto"/>
        </w:rPr>
      </w:pPr>
    </w:p>
    <w:p>
      <w:pPr>
        <w:jc w:val="both"/>
        <w:ind w:left="-656" w:firstLine="656"/>
        <w:spacing w:after="0" w:line="288" w:lineRule="auto"/>
        <w:tabs>
          <w:tab w:leader="none" w:pos="41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w:t>
      </w:r>
    </w:p>
    <w:p>
      <w:pPr>
        <w:spacing w:after="0" w:line="137" w:lineRule="exact"/>
        <w:rPr>
          <w:rFonts w:ascii="Arial" w:cs="Arial" w:eastAsia="Arial" w:hAnsi="Arial"/>
          <w:sz w:val="16"/>
          <w:szCs w:val="16"/>
          <w:color w:val="auto"/>
        </w:rPr>
      </w:pPr>
    </w:p>
    <w:p>
      <w:pPr>
        <w:jc w:val="both"/>
        <w:ind w:left="-656" w:firstLine="656"/>
        <w:spacing w:after="0" w:line="285" w:lineRule="auto"/>
        <w:tabs>
          <w:tab w:leader="none" w:pos="41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Except as would not reasonably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(ii) the Company and its subsidiaries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(iv) to the knowledge of the Company,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353695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12" w:name="page13"/>
    <w:bookmarkEnd w:id="12"/>
    <w:p>
      <w:pPr>
        <w:jc w:val="both"/>
        <w:ind w:left="-656" w:firstLine="656"/>
        <w:spacing w:after="0" w:line="285" w:lineRule="auto"/>
        <w:tabs>
          <w:tab w:leader="none" w:pos="48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ERISA Compliance</w:t>
      </w:r>
      <w:r>
        <w:rPr>
          <w:rFonts w:ascii="Arial" w:cs="Arial" w:eastAsia="Arial" w:hAnsi="Arial"/>
          <w:sz w:val="16"/>
          <w:szCs w:val="16"/>
          <w:color w:val="auto"/>
        </w:rPr>
        <w:t>. The Company and its subsidiaries and any “employee benefit plan” (as defined under the Employee Retirement Income Security Act of 1974, as amended, and the regulations and published interpretations thereunder (collectively, “</w:t>
      </w:r>
      <w:r>
        <w:rPr>
          <w:rFonts w:ascii="Arial" w:cs="Arial" w:eastAsia="Arial" w:hAnsi="Arial"/>
          <w:sz w:val="16"/>
          <w:szCs w:val="16"/>
          <w:b w:val="1"/>
          <w:bCs w:val="1"/>
          <w:color w:val="auto"/>
        </w:rPr>
        <w:t>ERISA</w:t>
      </w:r>
      <w:r>
        <w:rPr>
          <w:rFonts w:ascii="Arial" w:cs="Arial" w:eastAsia="Arial" w:hAnsi="Arial"/>
          <w:sz w:val="16"/>
          <w:szCs w:val="16"/>
          <w:color w:val="auto"/>
        </w:rPr>
        <w:t>”)) established or maintained by the Company, its subsidiaries or their “ERISA Affiliates” (as defined below) are in compliance in all material respects with ERISA. “</w:t>
      </w:r>
      <w:r>
        <w:rPr>
          <w:rFonts w:ascii="Arial" w:cs="Arial" w:eastAsia="Arial" w:hAnsi="Arial"/>
          <w:sz w:val="16"/>
          <w:szCs w:val="16"/>
          <w:b w:val="1"/>
          <w:bCs w:val="1"/>
          <w:color w:val="auto"/>
        </w:rPr>
        <w:t>ERISA Affiliate</w:t>
      </w:r>
      <w:r>
        <w:rPr>
          <w:rFonts w:ascii="Arial" w:cs="Arial" w:eastAsia="Arial" w:hAnsi="Arial"/>
          <w:sz w:val="16"/>
          <w:szCs w:val="16"/>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6"/>
          <w:szCs w:val="16"/>
          <w:b w:val="1"/>
          <w:bCs w:val="1"/>
          <w:color w:val="auto"/>
        </w:rPr>
        <w:t>Code</w:t>
      </w:r>
      <w:r>
        <w:rPr>
          <w:rFonts w:ascii="Arial" w:cs="Arial" w:eastAsia="Arial" w:hAnsi="Arial"/>
          <w:sz w:val="16"/>
          <w:szCs w:val="16"/>
          <w:color w:val="auto"/>
        </w:rPr>
        <w:t>”) of which the Company or such subsidiary is a member. Except as would not, individually or in the aggregate, reasonably be expected to result in a Material Adverse Change: (i) no “reportable event” (as defined under ERISA) has occurred or is reasonably expected to occur with respect to any “employee benefit plan” established or maintained by the Company, its subsidiaries or any of their ERISA Affiliates; (ii) no “employee benefit plan” established or maintained by the Company, its subsidiaries or any of their ERISA Affiliates, if such “employee benefit plan” were terminated, would have any “amount of unfunded benefit liabilities” (as defined under ERISA); (iii) neither the Company, its subsidiaries nor any of their ERISA Affiliates has incurred or reasonably expects to incur (a) any liability under Title IV of ERISA with respect to termination of, or withdrawal from, any “employee benefit plan” or (b) any material liability under Sections 412, 4971, 4975 or 4980B of the Code; and (iv) each employee benefit plan established or maintained by the Company, its subsidiaries or any of their ERISA Affiliates that is intended to be qualified under Section 401(a) of the Code is so qualified and, to the Company’s knowledge, nothing has occurred, whether by action or failure to act, which would cause the loss of such qualification.</w:t>
      </w:r>
    </w:p>
    <w:p>
      <w:pPr>
        <w:spacing w:after="0" w:line="140" w:lineRule="exact"/>
        <w:rPr>
          <w:rFonts w:ascii="Arial" w:cs="Arial" w:eastAsia="Arial" w:hAnsi="Arial"/>
          <w:sz w:val="16"/>
          <w:szCs w:val="16"/>
          <w:color w:val="auto"/>
        </w:rPr>
      </w:pPr>
    </w:p>
    <w:p>
      <w:pPr>
        <w:jc w:val="both"/>
        <w:ind w:left="-656" w:firstLine="656"/>
        <w:spacing w:after="0" w:line="306" w:lineRule="auto"/>
        <w:tabs>
          <w:tab w:leader="none" w:pos="51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Company Not an “Investment Company</w:t>
      </w:r>
      <w:r>
        <w:rPr>
          <w:rFonts w:ascii="Arial" w:cs="Arial" w:eastAsia="Arial" w:hAnsi="Arial"/>
          <w:sz w:val="16"/>
          <w:szCs w:val="16"/>
          <w:color w:val="auto"/>
        </w:rPr>
        <w:t xml:space="preserve">.”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jc w:val="both"/>
        <w:ind w:left="-656" w:firstLine="656"/>
        <w:spacing w:after="0" w:line="298" w:lineRule="auto"/>
        <w:tabs>
          <w:tab w:leader="none" w:pos="48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No Price Stabilization or Manipulation; Compliance with Regulation M</w:t>
      </w:r>
      <w:r>
        <w:rPr>
          <w:rFonts w:ascii="Arial" w:cs="Arial" w:eastAsia="Arial" w:hAnsi="Arial"/>
          <w:sz w:val="16"/>
          <w:szCs w:val="16"/>
          <w:color w:val="auto"/>
        </w:rPr>
        <w:t>. Neither the Company nor any of its subsidiaries has taken, directly or indirectly, any action designed to or that might cause or result in stabilization or manipulation of the price of the Shares or of any “reference security” (as defined in Rule 100 of Regulation M under the Exchange Act (</w:t>
      </w:r>
      <w:r>
        <w:rPr>
          <w:rFonts w:ascii="Arial" w:cs="Arial" w:eastAsia="Arial" w:hAnsi="Arial"/>
          <w:sz w:val="16"/>
          <w:szCs w:val="16"/>
          <w:b w:val="1"/>
          <w:bCs w:val="1"/>
          <w:color w:val="auto"/>
        </w:rPr>
        <w:t>“Regulation M”</w:t>
      </w:r>
      <w:r>
        <w:rPr>
          <w:rFonts w:ascii="Arial" w:cs="Arial" w:eastAsia="Arial" w:hAnsi="Arial"/>
          <w:sz w:val="16"/>
          <w:szCs w:val="16"/>
          <w:color w:val="auto"/>
        </w:rPr>
        <w:t>)) with respect to the Shares, whether to facilitate the sale or resale of the Shares or otherwise, and has taken no action which would directly or indirectly violate Regulation M.</w:t>
      </w:r>
    </w:p>
    <w:p>
      <w:pPr>
        <w:spacing w:after="0" w:line="125" w:lineRule="exact"/>
        <w:rPr>
          <w:rFonts w:ascii="Arial" w:cs="Arial" w:eastAsia="Arial" w:hAnsi="Arial"/>
          <w:sz w:val="16"/>
          <w:szCs w:val="16"/>
          <w:color w:val="auto"/>
        </w:rPr>
      </w:pPr>
    </w:p>
    <w:p>
      <w:pPr>
        <w:ind w:left="-656" w:firstLine="656"/>
        <w:spacing w:after="0" w:line="331"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There are no business relationships or related-party transactions involving the Company or any of its subsidiaries or any other person required to be described in the Registration Statement or the Prospectus that have not been described as required.</w:t>
      </w:r>
    </w:p>
    <w:p>
      <w:pPr>
        <w:spacing w:after="0" w:line="100" w:lineRule="exact"/>
        <w:rPr>
          <w:rFonts w:ascii="Arial" w:cs="Arial" w:eastAsia="Arial" w:hAnsi="Arial"/>
          <w:sz w:val="16"/>
          <w:szCs w:val="16"/>
          <w:color w:val="auto"/>
        </w:rPr>
      </w:pPr>
    </w:p>
    <w:p>
      <w:pPr>
        <w:jc w:val="both"/>
        <w:ind w:left="-656" w:firstLine="656"/>
        <w:spacing w:after="0" w:line="254" w:lineRule="auto"/>
        <w:tabs>
          <w:tab w:leader="none" w:pos="48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FINRA’s rules, in all material respects, and any letters, filings or other supplemental information provided to FINRA pursuant to FINRA Rules or NASD Conduct Rules is true, complete and correct, in all material respects. The Company meets the definition of the term “experienced issuer” specified in FINRA Rule 5110(j)(6).</w:t>
      </w:r>
    </w:p>
    <w:p>
      <w:pPr>
        <w:spacing w:after="0" w:line="160" w:lineRule="exact"/>
        <w:rPr>
          <w:rFonts w:ascii="Arial" w:cs="Arial" w:eastAsia="Arial" w:hAnsi="Arial"/>
          <w:sz w:val="18"/>
          <w:szCs w:val="18"/>
          <w:color w:val="auto"/>
        </w:rPr>
      </w:pPr>
    </w:p>
    <w:p>
      <w:pPr>
        <w:jc w:val="both"/>
        <w:ind w:left="-656" w:firstLine="656"/>
        <w:spacing w:after="0" w:line="256" w:lineRule="auto"/>
        <w:tabs>
          <w:tab w:leader="none" w:pos="479"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All statistical, demographic and market-related data included in the Registration Statement or the Prospectus are based on or derived from sources that the Company believes, after reasonable inquiry, to be reliable and accurate or represent the Company’s good faith estimates that are made on the basis of data derived from such sources. To the extent required, the Company has obtained the written consent to the use of such data from such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361950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13" w:name="page14"/>
    <w:bookmarkEnd w:id="13"/>
    <w:p>
      <w:pPr>
        <w:jc w:val="both"/>
        <w:ind w:left="-656" w:firstLine="656"/>
        <w:spacing w:after="0" w:line="306" w:lineRule="auto"/>
        <w:tabs>
          <w:tab w:leader="none" w:pos="51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Sarbanes-Oxley Act.</w:t>
      </w:r>
      <w:r>
        <w:rPr>
          <w:rFonts w:ascii="Arial" w:cs="Arial" w:eastAsia="Arial" w:hAnsi="Arial"/>
          <w:sz w:val="16"/>
          <w:szCs w:val="16"/>
          <w:color w:val="auto"/>
        </w:rPr>
        <w:t xml:space="preserve"> There is, and has been, no failure on the part of the Company or, to the Company’s knowledge, any of the Company’s directors or officers, in their capacities as such, to comply in all material respects with any applicable provision of the Sarbanes-Oxley Act of 2002, as amended and the rules and regulations promulgated in connection therewith, including Section 402 related to loans and Sections 302 and 906 related to certifications.</w:t>
      </w:r>
    </w:p>
    <w:p>
      <w:pPr>
        <w:spacing w:after="0" w:line="119" w:lineRule="exact"/>
        <w:rPr>
          <w:rFonts w:ascii="Arial" w:cs="Arial" w:eastAsia="Arial" w:hAnsi="Arial"/>
          <w:sz w:val="16"/>
          <w:szCs w:val="16"/>
          <w:color w:val="auto"/>
        </w:rPr>
      </w:pPr>
    </w:p>
    <w:p>
      <w:pPr>
        <w:jc w:val="both"/>
        <w:ind w:left="-656" w:firstLine="656"/>
        <w:spacing w:after="0" w:line="306" w:lineRule="auto"/>
        <w:tabs>
          <w:tab w:leader="none" w:pos="527"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No Unlawful Contributions or Other Payments</w:t>
      </w:r>
      <w:r>
        <w:rPr>
          <w:rFonts w:ascii="Arial" w:cs="Arial" w:eastAsia="Arial" w:hAnsi="Arial"/>
          <w:sz w:val="16"/>
          <w:szCs w:val="16"/>
          <w:color w:val="auto"/>
        </w:rPr>
        <w:t>. 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or the Prospectus.</w:t>
      </w:r>
    </w:p>
    <w:p>
      <w:pPr>
        <w:spacing w:after="0" w:line="119" w:lineRule="exact"/>
        <w:rPr>
          <w:rFonts w:ascii="Arial" w:cs="Arial" w:eastAsia="Arial" w:hAnsi="Arial"/>
          <w:sz w:val="16"/>
          <w:szCs w:val="16"/>
          <w:color w:val="auto"/>
        </w:rPr>
      </w:pPr>
    </w:p>
    <w:p>
      <w:pPr>
        <w:jc w:val="both"/>
        <w:ind w:left="-656" w:firstLine="656"/>
        <w:spacing w:after="0" w:line="286" w:lineRule="auto"/>
        <w:tabs>
          <w:tab w:leader="none" w:pos="422"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Anti-Corruption and Anti-Bribery Laws.</w:t>
      </w:r>
      <w:r>
        <w:rPr>
          <w:rFonts w:ascii="Arial" w:cs="Arial" w:eastAsia="Arial" w:hAnsi="Arial"/>
          <w:sz w:val="16"/>
          <w:szCs w:val="16"/>
          <w:color w:val="auto"/>
        </w:rPr>
        <w:t xml:space="preserve">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the UK Bribery Act 2010, or any other applicable anti-bribery or anti-corruption law; or (iv) made, offered, authorized, requested, or taken an act in furtherance of any unlawful bribe, rebate, payoff, influence payment, kickback or other unlawful payment or benefit .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39" w:lineRule="exact"/>
        <w:rPr>
          <w:rFonts w:ascii="Arial" w:cs="Arial" w:eastAsia="Arial" w:hAnsi="Arial"/>
          <w:sz w:val="16"/>
          <w:szCs w:val="16"/>
          <w:color w:val="auto"/>
        </w:rPr>
      </w:pPr>
    </w:p>
    <w:p>
      <w:pPr>
        <w:jc w:val="both"/>
        <w:ind w:left="-656" w:firstLine="656"/>
        <w:spacing w:after="0" w:line="291" w:lineRule="auto"/>
        <w:tabs>
          <w:tab w:leader="none" w:pos="43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Money Laundering Laws.</w:t>
      </w:r>
      <w:r>
        <w:rPr>
          <w:rFonts w:ascii="Arial" w:cs="Arial" w:eastAsia="Arial" w:hAnsi="Arial"/>
          <w:sz w:val="16"/>
          <w:szCs w:val="16"/>
          <w:color w:val="auto"/>
        </w:rPr>
        <w:t xml:space="preserve">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33" w:lineRule="exact"/>
        <w:rPr>
          <w:rFonts w:ascii="Arial" w:cs="Arial" w:eastAsia="Arial" w:hAnsi="Arial"/>
          <w:sz w:val="16"/>
          <w:szCs w:val="16"/>
          <w:color w:val="auto"/>
        </w:rPr>
      </w:pPr>
    </w:p>
    <w:p>
      <w:pPr>
        <w:jc w:val="both"/>
        <w:ind w:left="-656" w:firstLine="656"/>
        <w:spacing w:after="0" w:line="28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Sanctions.</w:t>
      </w:r>
      <w:r>
        <w:rPr>
          <w:rFonts w:ascii="Arial" w:cs="Arial" w:eastAsia="Arial" w:hAnsi="Arial"/>
          <w:sz w:val="16"/>
          <w:szCs w:val="16"/>
          <w:color w:val="auto"/>
        </w:rPr>
        <w:t xml:space="preserve">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or the U.S. Department of State, the United Nations Security Council, the European Union, Her Majesty’s Treasury of the United Kingdom,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its subsidiaries located, organized or resident in a country or territory that is the subject or the target of Sanctions, including, without limitation,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488315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14" w:name="page15"/>
    <w:bookmarkEnd w:id="14"/>
    <w:p>
      <w:pPr>
        <w:ind w:left="-656" w:firstLine="656"/>
        <w:spacing w:after="0" w:line="268" w:lineRule="auto"/>
        <w:tabs>
          <w:tab w:leader="none" w:pos="42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pursuant to this Agreement, there is no broker, finder or other party that is entitled to receive from the Company any brokerage or finder’s fee or other fee or commission as a result of any transactions contemplated by this Agreement.</w:t>
      </w:r>
    </w:p>
    <w:p>
      <w:pPr>
        <w:spacing w:after="0" w:line="145" w:lineRule="exact"/>
        <w:rPr>
          <w:rFonts w:ascii="Arial" w:cs="Arial" w:eastAsia="Arial" w:hAnsi="Arial"/>
          <w:sz w:val="18"/>
          <w:szCs w:val="18"/>
          <w:color w:val="auto"/>
        </w:rPr>
      </w:pPr>
    </w:p>
    <w:p>
      <w:pPr>
        <w:jc w:val="both"/>
        <w:ind w:left="-656" w:firstLine="656"/>
        <w:spacing w:after="0" w:line="317" w:lineRule="auto"/>
        <w:tabs>
          <w:tab w:leader="none" w:pos="611"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Forward-Looking Statements.</w:t>
      </w:r>
      <w:r>
        <w:rPr>
          <w:rFonts w:ascii="Arial" w:cs="Arial" w:eastAsia="Arial" w:hAnsi="Arial"/>
          <w:sz w:val="15"/>
          <w:szCs w:val="15"/>
          <w:color w:val="auto"/>
        </w:rPr>
        <w:t xml:space="preserve">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116" w:lineRule="exact"/>
        <w:rPr>
          <w:rFonts w:ascii="Arial" w:cs="Arial" w:eastAsia="Arial" w:hAnsi="Arial"/>
          <w:sz w:val="15"/>
          <w:szCs w:val="15"/>
          <w:color w:val="auto"/>
        </w:rPr>
      </w:pPr>
    </w:p>
    <w:p>
      <w:pPr>
        <w:jc w:val="both"/>
        <w:ind w:left="-656" w:firstLine="656"/>
        <w:spacing w:after="0" w:line="259" w:lineRule="auto"/>
        <w:tabs>
          <w:tab w:leader="none" w:pos="51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Outstanding Loans or Other Extensions of Credit</w:t>
      </w:r>
      <w:r>
        <w:rPr>
          <w:rFonts w:ascii="Arial" w:cs="Arial" w:eastAsia="Arial" w:hAnsi="Arial"/>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53" w:lineRule="exact"/>
        <w:rPr>
          <w:rFonts w:ascii="Arial" w:cs="Arial" w:eastAsia="Arial" w:hAnsi="Arial"/>
          <w:sz w:val="18"/>
          <w:szCs w:val="18"/>
          <w:color w:val="auto"/>
        </w:rPr>
      </w:pPr>
    </w:p>
    <w:p>
      <w:pPr>
        <w:jc w:val="both"/>
        <w:ind w:left="-656" w:firstLine="656"/>
        <w:spacing w:after="0" w:line="28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Cybersecurity.</w:t>
      </w:r>
      <w:r>
        <w:rPr>
          <w:rFonts w:ascii="Arial" w:cs="Arial" w:eastAsia="Arial" w:hAnsi="Arial"/>
          <w:sz w:val="16"/>
          <w:szCs w:val="16"/>
          <w:color w:val="auto"/>
        </w:rPr>
        <w:t xml:space="preserve"> Except as would not reasonably be expected, individually or in the aggregate, to result in a Material Adverse Change; (i) the Company and its subsidiaries’ information technology assets and equipment, computers, systems, networks, 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and to the Company’s knowledge, are free and clear of malware or any malicious software program, such as spyware or adware, viruses, vulnerable applications and similar corruptants; (ii)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all personal, personally identifiable, sensitive, confidential or regulated data (“</w:t>
      </w:r>
      <w:r>
        <w:rPr>
          <w:rFonts w:ascii="Arial" w:cs="Arial" w:eastAsia="Arial" w:hAnsi="Arial"/>
          <w:sz w:val="16"/>
          <w:szCs w:val="16"/>
          <w:b w:val="1"/>
          <w:bCs w:val="1"/>
          <w:color w:val="auto"/>
        </w:rPr>
        <w:t>Personal Data</w:t>
      </w:r>
      <w:r>
        <w:rPr>
          <w:rFonts w:ascii="Arial" w:cs="Arial" w:eastAsia="Arial" w:hAnsi="Arial"/>
          <w:sz w:val="16"/>
          <w:szCs w:val="16"/>
          <w:color w:val="auto"/>
        </w:rPr>
        <w:t>”) used in connection with their businesses. To the Company’s knowledge, there have been no material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as would not reasonably be expected, individually or in the aggregate, to result in a Material Adverse Change.</w:t>
      </w:r>
    </w:p>
    <w:p>
      <w:pPr>
        <w:spacing w:after="0" w:line="140" w:lineRule="exact"/>
        <w:rPr>
          <w:rFonts w:ascii="Arial" w:cs="Arial" w:eastAsia="Arial" w:hAnsi="Arial"/>
          <w:sz w:val="16"/>
          <w:szCs w:val="16"/>
          <w:color w:val="auto"/>
        </w:rPr>
      </w:pPr>
    </w:p>
    <w:p>
      <w:pPr>
        <w:jc w:val="both"/>
        <w:ind w:left="-656" w:firstLine="656"/>
        <w:spacing w:after="0" w:line="285" w:lineRule="auto"/>
        <w:tabs>
          <w:tab w:leader="none" w:pos="514"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Compliance with Data Privacy Laws.</w:t>
      </w:r>
      <w:r>
        <w:rPr>
          <w:rFonts w:ascii="Arial" w:cs="Arial" w:eastAsia="Arial" w:hAnsi="Arial"/>
          <w:sz w:val="16"/>
          <w:szCs w:val="16"/>
          <w:color w:val="auto"/>
        </w:rPr>
        <w:t xml:space="preserve"> Except as would not reasonably be expected, individually or in the aggregate, to result in a Material Adverse Change, the Company and its subsidiaries are, and for the past three (3) years have been, in compliance with all applicable state and federal data privacy and security laws and regulations, including, to the extent applicable, HIPAA (collectively, the “</w:t>
      </w:r>
      <w:r>
        <w:rPr>
          <w:rFonts w:ascii="Arial" w:cs="Arial" w:eastAsia="Arial" w:hAnsi="Arial"/>
          <w:sz w:val="16"/>
          <w:szCs w:val="16"/>
          <w:b w:val="1"/>
          <w:bCs w:val="1"/>
          <w:color w:val="auto"/>
        </w:rPr>
        <w:t>Privacy Laws</w:t>
      </w:r>
      <w:r>
        <w:rPr>
          <w:rFonts w:ascii="Arial" w:cs="Arial" w:eastAsia="Arial" w:hAnsi="Arial"/>
          <w:sz w:val="16"/>
          <w:szCs w:val="16"/>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6"/>
          <w:szCs w:val="16"/>
          <w:b w:val="1"/>
          <w:bCs w:val="1"/>
          <w:color w:val="auto"/>
        </w:rPr>
        <w:t>Policies</w:t>
      </w:r>
      <w:r>
        <w:rPr>
          <w:rFonts w:ascii="Arial" w:cs="Arial" w:eastAsia="Arial" w:hAnsi="Arial"/>
          <w:sz w:val="16"/>
          <w:szCs w:val="16"/>
          <w:color w:val="auto"/>
        </w:rPr>
        <w:t>”). Except as would not reasonably be expected, individually or in the aggregate, to result in a Material Adverse Change, the Company and its subsidiaries have at all times made all disclosures to users or customers required by applicable laws, Privacy Laws and regulatory rules or requirements, and none of such disclosures made or contained in any Policy have, to the knowledge of the Company, been inaccurate, misleading, deceptive or in violation of any applicable laws, Privacy Laws, Policies, and regulatory rules or requirements in any material respect. Neither the Company nor any subsidiary: (i) has received written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(iii) is a party to any order, decree, or agreement that imposes any obligation or liability by any governmental or regulatory authority under any Privacy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353695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15" w:name="page16"/>
    <w:bookmarkEnd w:id="15"/>
    <w:p>
      <w:pPr>
        <w:jc w:val="both"/>
        <w:ind w:left="-656" w:firstLine="656"/>
        <w:spacing w:after="0" w:line="286"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Clinical Data and Regulatory Compliance</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preclinical tests and clinical trials, and other studies (collectively, “studies”) that are described in, or the results of which are referred to in, the Registration Statement or the Prospectus were and, if still pending, are being conducted in all material respects in accordance with applicable Health Care Laws, each description of the results of such studies is accurate and complete in all material respects and fairly presents the data derived from such studies, and the Company and its subsidiaries have no knowledge of any other studies the results of which are materially inconsistent with, or otherwise materially call into question, the results described or referred to in the Registration Statement or the Prospectus; the Company and its subsidiaries have made all such filings and obtained all such approvals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Arial" w:cs="Arial" w:eastAsia="Arial" w:hAnsi="Arial"/>
          <w:sz w:val="16"/>
          <w:szCs w:val="16"/>
          <w:b w:val="1"/>
          <w:bCs w:val="1"/>
          <w:color w:val="auto"/>
        </w:rPr>
        <w:t>Regulatory Agencies</w:t>
      </w:r>
      <w:r>
        <w:rPr>
          <w:rFonts w:ascii="Arial" w:cs="Arial" w:eastAsia="Arial" w:hAnsi="Arial"/>
          <w:sz w:val="16"/>
          <w:szCs w:val="16"/>
          <w:color w:val="auto"/>
        </w:rPr>
        <w:t>”), except for such failure which would not, individually or in the aggregate, reasonably be expected to result in a Material Adverse Change; and neither the Company nor any of its subsidiaries has received any notice of, or correspondence from, any Regulatory Agency requiring the termination, suspension or material adverse modification of any clinical trials that are described or referred to in the Registration Statement or the Prospectus, other than any suspension that was subsequently lifted prior to January 1, 2018.</w:t>
      </w:r>
    </w:p>
    <w:p>
      <w:pPr>
        <w:spacing w:after="0" w:line="139" w:lineRule="exact"/>
        <w:rPr>
          <w:rFonts w:ascii="Arial" w:cs="Arial" w:eastAsia="Arial" w:hAnsi="Arial"/>
          <w:sz w:val="16"/>
          <w:szCs w:val="16"/>
          <w:color w:val="auto"/>
        </w:rPr>
      </w:pPr>
    </w:p>
    <w:p>
      <w:pPr>
        <w:jc w:val="both"/>
        <w:ind w:left="-656" w:firstLine="656"/>
        <w:spacing w:after="0" w:line="284" w:lineRule="auto"/>
        <w:tabs>
          <w:tab w:leader="none" w:pos="45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Compliance with Health Care Laws</w:t>
      </w:r>
      <w:r>
        <w:rPr>
          <w:rFonts w:ascii="Arial" w:cs="Arial" w:eastAsia="Arial" w:hAnsi="Arial"/>
          <w:sz w:val="16"/>
          <w:szCs w:val="16"/>
          <w:color w:val="auto"/>
        </w:rPr>
        <w:t>. The Company and its subsidiaries are, and at all times have been, in compliance with all Health Care Laws, except for such noncompliance which would not, individually or in the aggregate, reasonably be expected to result in a Material Adverse Change. For purposes of this Agreement, “Health Care Laws”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Section 1320d et seq.),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all other local, state, federal, national, supranational and foreign laws, relating to the regulation of the Company or its subsidiaries, and (v)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respects (or were corrected or supplemented by a subsequent submission), except as would not reasonably be expected to result in a Material Adverse Change.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to the knowledge of the Company and its subsidiaries,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348615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16" w:name="page17"/>
    <w:bookmarkEnd w:id="16"/>
    <w:p>
      <w:pPr>
        <w:jc w:val="both"/>
        <w:ind w:firstLine="656"/>
        <w:spacing w:after="0" w:line="291" w:lineRule="auto"/>
        <w:tabs>
          <w:tab w:leader="none" w:pos="1117"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No Contract Terminations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Neither the Company nor any of its subsidiaries has sent or received any communication regarding termination of, or intent not to renew, any of the contracts or agreements referred to or described in any preliminary prospectus, the Prospectus or any free writing prospectus, or referred to or described in, or filed as an exhibit to, the Registration Statement, or any document incorporated by reference therein, and no such termination or non-renewal has been threatened by the Company or any of its subsidiaries or, to the Company’s knowledge, any other party to any such contract or agreement, which threat of termination or non-renewal has not been rescinded as of the date hereof, in each case except as would not reasonably be expected to result in a Material Adverse Change.</w:t>
      </w:r>
    </w:p>
    <w:p>
      <w:pPr>
        <w:spacing w:after="0" w:line="133" w:lineRule="exact"/>
        <w:rPr>
          <w:rFonts w:ascii="Arial" w:cs="Arial" w:eastAsia="Arial" w:hAnsi="Arial"/>
          <w:sz w:val="16"/>
          <w:szCs w:val="16"/>
          <w:color w:val="auto"/>
        </w:rPr>
      </w:pPr>
    </w:p>
    <w:p>
      <w:pPr>
        <w:jc w:val="both"/>
        <w:ind w:firstLine="656"/>
        <w:spacing w:after="0" w:line="298" w:lineRule="auto"/>
        <w:tabs>
          <w:tab w:leader="none" w:pos="109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Dividend Restrictions</w:t>
      </w:r>
      <w:r>
        <w:rPr>
          <w:rFonts w:ascii="Arial" w:cs="Arial" w:eastAsia="Arial" w:hAnsi="Arial"/>
          <w:sz w:val="16"/>
          <w:szCs w:val="16"/>
          <w:color w:val="auto"/>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25" w:lineRule="exact"/>
        <w:rPr>
          <w:rFonts w:ascii="Arial" w:cs="Arial" w:eastAsia="Arial" w:hAnsi="Arial"/>
          <w:sz w:val="16"/>
          <w:szCs w:val="16"/>
          <w:color w:val="auto"/>
        </w:rPr>
      </w:pPr>
    </w:p>
    <w:p>
      <w:pPr>
        <w:jc w:val="both"/>
        <w:ind w:firstLine="656"/>
        <w:spacing w:after="0" w:line="259" w:lineRule="auto"/>
        <w:tabs>
          <w:tab w:leader="none" w:pos="115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Duties, Transfer Taxes, Etc</w:t>
      </w:r>
      <w:r>
        <w:rPr>
          <w:rFonts w:ascii="Arial" w:cs="Arial" w:eastAsia="Arial" w:hAnsi="Arial"/>
          <w:sz w:val="18"/>
          <w:szCs w:val="18"/>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53" w:lineRule="exact"/>
        <w:rPr>
          <w:rFonts w:ascii="Arial" w:cs="Arial" w:eastAsia="Arial" w:hAnsi="Arial"/>
          <w:sz w:val="18"/>
          <w:szCs w:val="18"/>
          <w:color w:val="auto"/>
        </w:rPr>
      </w:pPr>
    </w:p>
    <w:p>
      <w:pPr>
        <w:ind w:firstLine="656"/>
        <w:spacing w:after="0" w:line="331" w:lineRule="auto"/>
        <w:tabs>
          <w:tab w:leader="none" w:pos="1183"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Other Underwriting Agreements</w:t>
      </w:r>
      <w:r>
        <w:rPr>
          <w:rFonts w:ascii="Arial" w:cs="Arial" w:eastAsia="Arial" w:hAnsi="Arial"/>
          <w:sz w:val="16"/>
          <w:szCs w:val="16"/>
          <w:color w:val="auto"/>
        </w:rPr>
        <w:t>. Except for the Purchase Agreement with Lincoln Park Capital Fund, LLC, dated March 24, 2020, the Company is not a party to any agreement with an agent or underwriter for any other “at the market” or continuous equity transaction.</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26"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94"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ISSUANCE AND SALE OF COMMON SHARES</w:t>
      </w:r>
    </w:p>
    <w:p>
      <w:pPr>
        <w:spacing w:after="0" w:line="191" w:lineRule="exact"/>
        <w:rPr>
          <w:sz w:val="20"/>
          <w:szCs w:val="20"/>
          <w:color w:val="auto"/>
        </w:rPr>
      </w:pPr>
    </w:p>
    <w:p>
      <w:pPr>
        <w:jc w:val="both"/>
        <w:ind w:firstLine="656"/>
        <w:spacing w:after="0" w:line="256" w:lineRule="auto"/>
        <w:tabs>
          <w:tab w:leader="none" w:pos="107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56"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1304"/>
        <w:spacing w:after="0" w:line="288" w:lineRule="auto"/>
        <w:tabs>
          <w:tab w:leader="none" w:pos="1678"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have been satisfied, the Company may exercise its right to request an issuance of Shares by delivering to the Agent an Issuance Notice; provided, however,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 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7" w:name="page18"/>
    <w:bookmarkEnd w:id="17"/>
    <w:p>
      <w:pPr>
        <w:jc w:val="both"/>
        <w:ind w:left="-1120" w:firstLine="1304"/>
        <w:spacing w:after="0" w:line="294"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Agent Efforts</w:t>
      </w:r>
      <w:r>
        <w:rPr>
          <w:rFonts w:ascii="Arial" w:cs="Arial" w:eastAsia="Arial" w:hAnsi="Arial"/>
          <w:sz w:val="16"/>
          <w:szCs w:val="16"/>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28" w:lineRule="exact"/>
        <w:rPr>
          <w:rFonts w:ascii="Arial" w:cs="Arial" w:eastAsia="Arial" w:hAnsi="Arial"/>
          <w:sz w:val="16"/>
          <w:szCs w:val="16"/>
          <w:color w:val="auto"/>
        </w:rPr>
      </w:pPr>
    </w:p>
    <w:p>
      <w:pPr>
        <w:jc w:val="both"/>
        <w:ind w:left="-1120" w:firstLine="1304"/>
        <w:spacing w:after="0" w:line="294"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Method of Offer and Sale</w:t>
      </w:r>
      <w:r>
        <w:rPr>
          <w:rFonts w:ascii="Arial" w:cs="Arial" w:eastAsia="Arial" w:hAnsi="Arial"/>
          <w:sz w:val="16"/>
          <w:szCs w:val="16"/>
          <w:color w:val="auto"/>
        </w:rPr>
        <w:t>. The Shares may be offered and sold (A) in negotiated transactions with the consent of the Company or (B) by any other method permitted by law deemed to be an “</w:t>
      </w:r>
      <w:r>
        <w:rPr>
          <w:rFonts w:ascii="Arial" w:cs="Arial" w:eastAsia="Arial" w:hAnsi="Arial"/>
          <w:sz w:val="16"/>
          <w:szCs w:val="16"/>
          <w:b w:val="1"/>
          <w:bCs w:val="1"/>
          <w:color w:val="auto"/>
        </w:rPr>
        <w:t>at the market offering</w:t>
      </w:r>
      <w:r>
        <w:rPr>
          <w:rFonts w:ascii="Arial" w:cs="Arial" w:eastAsia="Arial" w:hAnsi="Arial"/>
          <w:sz w:val="16"/>
          <w:szCs w:val="16"/>
          <w:color w:val="auto"/>
        </w:rPr>
        <w:t>” as defined in Rule 415(a)(4) under the Securities Act, including block transactions,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 (A) above) the method of placement of any Shares by the Agent shall be at the Agent’s discretion.</w:t>
      </w:r>
    </w:p>
    <w:p>
      <w:pPr>
        <w:spacing w:after="0" w:line="128" w:lineRule="exact"/>
        <w:rPr>
          <w:rFonts w:ascii="Arial" w:cs="Arial" w:eastAsia="Arial" w:hAnsi="Arial"/>
          <w:sz w:val="16"/>
          <w:szCs w:val="16"/>
          <w:color w:val="auto"/>
        </w:rPr>
      </w:pPr>
    </w:p>
    <w:p>
      <w:pPr>
        <w:jc w:val="both"/>
        <w:ind w:left="-1120" w:firstLine="1304"/>
        <w:spacing w:after="0" w:line="306" w:lineRule="auto"/>
        <w:tabs>
          <w:tab w:leader="none" w:pos="64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Confirmation to the Company</w:t>
      </w:r>
      <w:r>
        <w:rPr>
          <w:rFonts w:ascii="Arial" w:cs="Arial" w:eastAsia="Arial" w:hAnsi="Arial"/>
          <w:sz w:val="16"/>
          <w:szCs w:val="16"/>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19" w:lineRule="exact"/>
        <w:rPr>
          <w:rFonts w:ascii="Arial" w:cs="Arial" w:eastAsia="Arial" w:hAnsi="Arial"/>
          <w:sz w:val="16"/>
          <w:szCs w:val="16"/>
          <w:color w:val="auto"/>
        </w:rPr>
      </w:pPr>
    </w:p>
    <w:p>
      <w:pPr>
        <w:jc w:val="both"/>
        <w:ind w:left="-1120" w:firstLine="1304"/>
        <w:spacing w:after="0" w:line="290" w:lineRule="auto"/>
        <w:tabs>
          <w:tab w:leader="none" w:pos="597"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Each issuance of Shares will be settled on the applicable Settlement Date for such issuance of Shares and, subject to the provisions of </w:t>
      </w:r>
      <w:r>
        <w:rPr>
          <w:rFonts w:ascii="Arial" w:cs="Arial" w:eastAsia="Arial" w:hAnsi="Arial"/>
          <w:sz w:val="16"/>
          <w:szCs w:val="16"/>
          <w:u w:val="single" w:color="auto"/>
          <w:color w:val="auto"/>
        </w:rPr>
        <w:t>Section 5</w:t>
      </w:r>
      <w:r>
        <w:rPr>
          <w:rFonts w:ascii="Arial" w:cs="Arial" w:eastAsia="Arial" w:hAnsi="Arial"/>
          <w:sz w:val="16"/>
          <w:szCs w:val="16"/>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6"/>
          <w:szCs w:val="16"/>
          <w:b w:val="1"/>
          <w:bCs w:val="1"/>
          <w:color w:val="auto"/>
        </w:rPr>
        <w:t>Time of Sale</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jc w:val="both"/>
        <w:ind w:left="-1120" w:firstLine="1304"/>
        <w:spacing w:after="0" w:line="286" w:lineRule="auto"/>
        <w:tabs>
          <w:tab w:leader="none" w:pos="659"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Suspension or Termination of Sales</w:t>
      </w:r>
      <w:r>
        <w:rPr>
          <w:rFonts w:ascii="Arial" w:cs="Arial" w:eastAsia="Arial" w:hAnsi="Arial"/>
          <w:sz w:val="16"/>
          <w:szCs w:val="16"/>
          <w:color w:val="auto"/>
        </w:rPr>
        <w:t xml:space="preserve">. Consistent with standard market settlement practices, the Company or the Agent may, upon notice to the other party hereto in writing (including by email) or by telephone (confirmed promptly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and documented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6"/>
          <w:szCs w:val="16"/>
          <w:u w:val="single" w:color="auto"/>
          <w:color w:val="auto"/>
        </w:rPr>
        <w:t>Section 3(b)(i)</w:t>
      </w:r>
      <w:r>
        <w:rPr>
          <w:rFonts w:ascii="Arial" w:cs="Arial" w:eastAsia="Arial" w:hAnsi="Arial"/>
          <w:sz w:val="16"/>
          <w:szCs w:val="16"/>
          <w:color w:val="auto"/>
        </w:rPr>
        <w:t xml:space="preserve">. While a suspension is in effect, any obligation under </w:t>
      </w:r>
      <w:r>
        <w:rPr>
          <w:rFonts w:ascii="Arial" w:cs="Arial" w:eastAsia="Arial" w:hAnsi="Arial"/>
          <w:sz w:val="16"/>
          <w:szCs w:val="16"/>
          <w:u w:val="single" w:color="auto"/>
          <w:color w:val="auto"/>
        </w:rPr>
        <w:t>Sections 4(o)</w:t>
      </w:r>
      <w:r>
        <w:rPr>
          <w:rFonts w:ascii="Arial" w:cs="Arial" w:eastAsia="Arial" w:hAnsi="Arial"/>
          <w:sz w:val="16"/>
          <w:szCs w:val="16"/>
          <w:color w:val="auto"/>
        </w:rPr>
        <w:t xml:space="preserve">, </w:t>
      </w:r>
      <w:r>
        <w:rPr>
          <w:rFonts w:ascii="Arial" w:cs="Arial" w:eastAsia="Arial" w:hAnsi="Arial"/>
          <w:sz w:val="16"/>
          <w:szCs w:val="16"/>
          <w:u w:val="single" w:color="auto"/>
          <w:color w:val="auto"/>
        </w:rPr>
        <w:t>4(p)</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4(r)</w:t>
      </w:r>
      <w:r>
        <w:rPr>
          <w:rFonts w:ascii="Arial" w:cs="Arial" w:eastAsia="Arial" w:hAnsi="Arial"/>
          <w:sz w:val="16"/>
          <w:szCs w:val="16"/>
          <w:color w:val="auto"/>
        </w:rPr>
        <w:t xml:space="preserve"> with respect to delivery of certificates, opinions or comfort letters to the Agent shall be deemed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349250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90" w:right="339" w:bottom="1440" w:gutter="0" w:footer="0" w:header="0"/>
        </w:sectPr>
      </w:pPr>
    </w:p>
    <w:bookmarkStart w:id="18" w:name="page19"/>
    <w:bookmarkEnd w:id="18"/>
    <w:p>
      <w:pPr>
        <w:jc w:val="both"/>
        <w:ind w:left="-656" w:right="20" w:firstLine="1304"/>
        <w:spacing w:after="0" w:line="256" w:lineRule="auto"/>
        <w:tabs>
          <w:tab w:leader="none" w:pos="1158"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56" w:lineRule="exact"/>
        <w:rPr>
          <w:rFonts w:ascii="Arial" w:cs="Arial" w:eastAsia="Arial" w:hAnsi="Arial"/>
          <w:sz w:val="18"/>
          <w:szCs w:val="18"/>
          <w:color w:val="auto"/>
        </w:rPr>
      </w:pPr>
    </w:p>
    <w:p>
      <w:pPr>
        <w:jc w:val="both"/>
        <w:ind w:left="-656" w:firstLine="1304"/>
        <w:spacing w:after="0" w:line="259" w:lineRule="auto"/>
        <w:tabs>
          <w:tab w:leader="none" w:pos="1207"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53" w:lineRule="exact"/>
        <w:rPr>
          <w:rFonts w:ascii="Arial" w:cs="Arial" w:eastAsia="Arial" w:hAnsi="Arial"/>
          <w:sz w:val="18"/>
          <w:szCs w:val="18"/>
          <w:color w:val="auto"/>
        </w:rPr>
      </w:pPr>
    </w:p>
    <w:p>
      <w:pPr>
        <w:jc w:val="both"/>
        <w:ind w:left="-656" w:firstLine="656"/>
        <w:spacing w:after="0" w:line="259" w:lineRule="auto"/>
        <w:tabs>
          <w:tab w:leader="none" w:pos="40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 but only for Shares actually sold</w:t>
      </w:r>
      <w:r>
        <w:rPr>
          <w:rFonts w:ascii="Arial" w:cs="Arial" w:eastAsia="Arial" w:hAnsi="Arial"/>
          <w:sz w:val="18"/>
          <w:szCs w:val="18"/>
          <w:color w:val="auto"/>
        </w:rPr>
        <w:t xml:space="preserve"> </w:t>
      </w:r>
      <w:r>
        <w:rPr>
          <w:rFonts w:ascii="Arial" w:cs="Arial" w:eastAsia="Arial" w:hAnsi="Arial"/>
          <w:sz w:val="18"/>
          <w:szCs w:val="18"/>
          <w:u w:val="single" w:color="auto"/>
          <w:color w:val="auto"/>
        </w:rPr>
        <w:t>by the Agent</w:t>
      </w:r>
      <w:r>
        <w:rPr>
          <w:rFonts w:ascii="Arial" w:cs="Arial" w:eastAsia="Arial" w:hAnsi="Arial"/>
          <w:sz w:val="18"/>
          <w:szCs w:val="18"/>
          <w:color w:val="auto"/>
        </w:rPr>
        <w:t>) by the Agent deducting the Selling Commission from the applicable Issuance Amount.</w:t>
      </w:r>
    </w:p>
    <w:p>
      <w:pPr>
        <w:spacing w:after="0" w:line="153" w:lineRule="exact"/>
        <w:rPr>
          <w:rFonts w:ascii="Arial" w:cs="Arial" w:eastAsia="Arial" w:hAnsi="Arial"/>
          <w:sz w:val="18"/>
          <w:szCs w:val="18"/>
          <w:color w:val="auto"/>
        </w:rPr>
      </w:pPr>
    </w:p>
    <w:p>
      <w:pPr>
        <w:jc w:val="both"/>
        <w:ind w:left="-656" w:firstLine="656"/>
        <w:spacing w:after="0" w:line="285" w:lineRule="auto"/>
        <w:tabs>
          <w:tab w:leader="none" w:pos="413"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6"/>
          <w:szCs w:val="16"/>
          <w:b w:val="1"/>
          <w:bCs w:val="1"/>
          <w:color w:val="auto"/>
        </w:rPr>
        <w:t>Blue Sky Survey</w:t>
      </w:r>
      <w:r>
        <w:rPr>
          <w:rFonts w:ascii="Arial" w:cs="Arial" w:eastAsia="Arial" w:hAnsi="Arial"/>
          <w:sz w:val="16"/>
          <w:szCs w:val="16"/>
          <w:color w:val="auto"/>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and the fees and expenses associated with listing the Shares on the Principal Market. The fees and disbursements of Agent’s counsel pursuant to subsections (vi) and (vii) above shall not exceed (A) $50,000 in connection with execution of this Agreement and (B) $15,000 in connection with each Triggering Event Date (as defined below) on which the Company is required to provide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w:t>
      </w:r>
    </w:p>
    <w:p>
      <w:pPr>
        <w:spacing w:after="0" w:line="130" w:lineRule="exact"/>
        <w:rPr>
          <w:sz w:val="20"/>
          <w:szCs w:val="20"/>
          <w:color w:val="auto"/>
        </w:rPr>
      </w:pPr>
    </w:p>
    <w:p>
      <w:pPr>
        <w:ind w:left="4"/>
        <w:spacing w:after="0"/>
        <w:tabs>
          <w:tab w:leader="none" w:pos="924"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ADDITIONAL COVENANTS</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5"/>
          <w:szCs w:val="15"/>
          <w:color w:val="auto"/>
        </w:rPr>
        <w:t>The Company covenants and agrees with the Agent as follows, in addition to any other covenants and agreements made elsewhere in this Agreement:</w:t>
      </w:r>
    </w:p>
    <w:p>
      <w:pPr>
        <w:spacing w:after="0" w:line="219" w:lineRule="exact"/>
        <w:rPr>
          <w:sz w:val="20"/>
          <w:szCs w:val="20"/>
          <w:color w:val="auto"/>
        </w:rPr>
      </w:pPr>
    </w:p>
    <w:p>
      <w:pPr>
        <w:jc w:val="both"/>
        <w:ind w:left="-656" w:firstLine="656"/>
        <w:spacing w:after="0" w:line="288" w:lineRule="auto"/>
        <w:tabs>
          <w:tab w:leader="none" w:pos="43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During the Agency Period, the Company shall file, on a timely basis, with the Commission all reports and documents required to be filed under Section 13, 14 or 15 of the Exchange Act in the manner and within the time periods required by the Exchange Act; and either include in its quarterly reports on Form 10-Q and its annual reports on Form 10-K, a summary detailing, for the relevant reporting period, (1) the number of Shares sold through the Agent pursuant to this Agreement and (2) the net proceeds received by the Company from such sales or prepare a prospectus supplement containing, or include in such other filing permitted by the Securities Act or Exchange Act (each an “</w:t>
      </w:r>
      <w:r>
        <w:rPr>
          <w:rFonts w:ascii="Arial" w:cs="Arial" w:eastAsia="Arial" w:hAnsi="Arial"/>
          <w:sz w:val="16"/>
          <w:szCs w:val="16"/>
          <w:b w:val="1"/>
          <w:bCs w:val="1"/>
          <w:color w:val="auto"/>
        </w:rPr>
        <w:t>Interim Prospectus Supplement</w:t>
      </w:r>
      <w:r>
        <w:rPr>
          <w:rFonts w:ascii="Arial" w:cs="Arial" w:eastAsia="Arial" w:hAnsi="Arial"/>
          <w:sz w:val="16"/>
          <w:szCs w:val="16"/>
          <w:color w:val="auto"/>
        </w:rPr>
        <w:t xml:space="preserve">”), such summary information and, if the option in this clause (B) is elected by the Company, at least once a quarter and subject to this </w:t>
      </w:r>
      <w:r>
        <w:rPr>
          <w:rFonts w:ascii="Arial" w:cs="Arial" w:eastAsia="Arial" w:hAnsi="Arial"/>
          <w:sz w:val="16"/>
          <w:szCs w:val="16"/>
          <w:u w:val="single" w:color="auto"/>
          <w:color w:val="auto"/>
        </w:rPr>
        <w:t>Section 4</w:t>
      </w:r>
      <w:r>
        <w:rPr>
          <w:rFonts w:ascii="Arial" w:cs="Arial" w:eastAsia="Arial" w:hAnsi="Arial"/>
          <w:sz w:val="16"/>
          <w:szCs w:val="16"/>
          <w:color w:val="auto"/>
        </w:rPr>
        <w:t>, file such Interim Prospectus Supplement pursuant to Rule 424(b) under the Securities Act (and within the time periods required by Rule 424(b) and Rule 430B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349885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19" w:name="page20"/>
    <w:bookmarkEnd w:id="19"/>
    <w:p>
      <w:pPr>
        <w:jc w:val="both"/>
        <w:ind w:left="-656" w:firstLine="656"/>
        <w:spacing w:after="0" w:line="286" w:lineRule="auto"/>
        <w:tabs>
          <w:tab w:leader="none" w:pos="41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Securities Act Compliance</w:t>
      </w:r>
      <w:r>
        <w:rPr>
          <w:rFonts w:ascii="Arial" w:cs="Arial" w:eastAsia="Arial" w:hAnsi="Arial"/>
          <w:sz w:val="16"/>
          <w:szCs w:val="16"/>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the knowledge of the Company, of the threatening or initiation of any proceedings for any of such purposes. If the Commission shall enter any such stop order at any time, the Company will use reasonable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36" w:lineRule="exact"/>
        <w:rPr>
          <w:rFonts w:ascii="Arial" w:cs="Arial" w:eastAsia="Arial" w:hAnsi="Arial"/>
          <w:sz w:val="16"/>
          <w:szCs w:val="16"/>
          <w:color w:val="auto"/>
        </w:rPr>
      </w:pPr>
    </w:p>
    <w:p>
      <w:pPr>
        <w:jc w:val="both"/>
        <w:ind w:left="-656" w:firstLine="656"/>
        <w:spacing w:after="0" w:line="285" w:lineRule="auto"/>
        <w:tabs>
          <w:tab w:leader="none" w:pos="40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 to the Prospectus and Other Securities Act Matters</w:t>
      </w:r>
      <w:r>
        <w:rPr>
          <w:rFonts w:ascii="Arial" w:cs="Arial" w:eastAsia="Arial" w:hAnsi="Arial"/>
          <w:sz w:val="16"/>
          <w:szCs w:val="16"/>
          <w:color w:val="auto"/>
        </w:rPr>
        <w:t xml:space="preserve">. During any period when the delivery of a prospectus relating to the Shares is required (including in circumstances where such requirement may be satisfied pursuant to Rule 172) to be delivered under the Securities Act,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4(f)</w:t>
      </w:r>
      <w:r>
        <w:rPr>
          <w:rFonts w:ascii="Arial" w:cs="Arial" w:eastAsia="Arial" w:hAnsi="Arial"/>
          <w:sz w:val="16"/>
          <w:szCs w:val="16"/>
          <w:color w:val="auto"/>
        </w:rPr>
        <w:t xml:space="preserve">)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4(f)</w:t>
      </w:r>
      <w:r>
        <w:rPr>
          <w:rFonts w:ascii="Arial" w:cs="Arial" w:eastAsia="Arial" w:hAnsi="Arial"/>
          <w:sz w:val="16"/>
          <w:szCs w:val="16"/>
          <w:color w:val="auto"/>
        </w:rPr>
        <w:t>. Notwithstanding the foregoing, in the alternative, the Company can suspend or terminate the Issuance Notice upon written notice to the Agent and delay the filing of any such amendment or supplement, if in the judgment of the Company, it is in the best interest of the Company.</w:t>
      </w:r>
    </w:p>
    <w:p>
      <w:pPr>
        <w:spacing w:after="0" w:line="143" w:lineRule="exact"/>
        <w:rPr>
          <w:rFonts w:ascii="Arial" w:cs="Arial" w:eastAsia="Arial" w:hAnsi="Arial"/>
          <w:sz w:val="16"/>
          <w:szCs w:val="16"/>
          <w:color w:val="auto"/>
        </w:rPr>
      </w:pPr>
    </w:p>
    <w:p>
      <w:pPr>
        <w:jc w:val="both"/>
        <w:ind w:left="-656" w:firstLine="656"/>
        <w:spacing w:after="0" w:line="291" w:lineRule="auto"/>
        <w:tabs>
          <w:tab w:leader="none" w:pos="42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Agent’s Review of Proposed Amendments and Supplements</w:t>
      </w:r>
      <w:r>
        <w:rPr>
          <w:rFonts w:ascii="Arial" w:cs="Arial" w:eastAsia="Arial" w:hAnsi="Arial"/>
          <w:sz w:val="16"/>
          <w:szCs w:val="16"/>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which shall not be unreasonably withheld, conditioned or delayed, and shall file with the Commission within the applicable period specified in Rule 424(b) under the Securities Act any prospectus required to be filed pursuant to such Rule.</w:t>
      </w:r>
    </w:p>
    <w:p>
      <w:pPr>
        <w:spacing w:after="0" w:line="133" w:lineRule="exact"/>
        <w:rPr>
          <w:rFonts w:ascii="Arial" w:cs="Arial" w:eastAsia="Arial" w:hAnsi="Arial"/>
          <w:sz w:val="16"/>
          <w:szCs w:val="16"/>
          <w:color w:val="auto"/>
        </w:rPr>
      </w:pPr>
    </w:p>
    <w:p>
      <w:pPr>
        <w:jc w:val="both"/>
        <w:ind w:left="-656" w:firstLine="656"/>
        <w:spacing w:after="0" w:line="256" w:lineRule="auto"/>
        <w:tabs>
          <w:tab w:leader="none" w:pos="40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361950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20" w:name="page21"/>
    <w:bookmarkEnd w:id="20"/>
    <w:p>
      <w:pPr>
        <w:jc w:val="both"/>
        <w:ind w:left="-656" w:firstLine="656"/>
        <w:spacing w:after="0" w:line="284" w:lineRule="auto"/>
        <w:tabs>
          <w:tab w:leader="none" w:pos="38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Free Writing Prospectuses</w:t>
      </w:r>
      <w:r>
        <w:rPr>
          <w:rFonts w:ascii="Arial" w:cs="Arial" w:eastAsia="Arial" w:hAnsi="Arial"/>
          <w:sz w:val="16"/>
          <w:szCs w:val="16"/>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taken together with the information in the Prospectus (and any amendment or supplement thereto),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w:t>
      </w:r>
    </w:p>
    <w:p>
      <w:pPr>
        <w:spacing w:after="0" w:line="146" w:lineRule="exact"/>
        <w:rPr>
          <w:rFonts w:ascii="Arial" w:cs="Arial" w:eastAsia="Arial" w:hAnsi="Arial"/>
          <w:sz w:val="16"/>
          <w:szCs w:val="16"/>
          <w:color w:val="auto"/>
        </w:rPr>
      </w:pPr>
    </w:p>
    <w:p>
      <w:pPr>
        <w:jc w:val="both"/>
        <w:ind w:left="-656" w:firstLine="656"/>
        <w:spacing w:after="0" w:line="259" w:lineRule="auto"/>
        <w:tabs>
          <w:tab w:leader="none" w:pos="42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53" w:lineRule="exact"/>
        <w:rPr>
          <w:rFonts w:ascii="Arial" w:cs="Arial" w:eastAsia="Arial" w:hAnsi="Arial"/>
          <w:sz w:val="18"/>
          <w:szCs w:val="18"/>
          <w:color w:val="auto"/>
        </w:rPr>
      </w:pPr>
    </w:p>
    <w:p>
      <w:pPr>
        <w:jc w:val="both"/>
        <w:ind w:left="-656" w:firstLine="656"/>
        <w:spacing w:after="0" w:line="284" w:lineRule="auto"/>
        <w:tabs>
          <w:tab w:leader="none" w:pos="426"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excluding, in each case, any amendment or supplement through incorporation of any report filed under the Exchange Act,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(it being acknowledged that the Company may delay the filing of any amendment or supplement, if, in the judgment of the Company, it is in the best interest of the Company); provided, however, that if during such same period the Agent is required to deliver a prospectus in respect of transactions in the Shares, the Company shall promptly prepare and file with the Commission such an amendment or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354330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21" w:name="page22"/>
    <w:bookmarkEnd w:id="21"/>
    <w:p>
      <w:pPr>
        <w:jc w:val="both"/>
        <w:ind w:left="-8" w:firstLine="656"/>
        <w:spacing w:after="0" w:line="288" w:lineRule="auto"/>
        <w:tabs>
          <w:tab w:leader="none" w:pos="1022"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Blue Sky Compliance</w:t>
      </w:r>
      <w:r>
        <w:rPr>
          <w:rFonts w:ascii="Arial" w:cs="Arial" w:eastAsia="Arial" w:hAnsi="Arial"/>
          <w:sz w:val="16"/>
          <w:szCs w:val="16"/>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reasonable best efforts to obtain the withdrawal thereof.</w:t>
      </w:r>
    </w:p>
    <w:p>
      <w:pPr>
        <w:spacing w:after="0" w:line="137" w:lineRule="exact"/>
        <w:rPr>
          <w:rFonts w:ascii="Arial" w:cs="Arial" w:eastAsia="Arial" w:hAnsi="Arial"/>
          <w:sz w:val="16"/>
          <w:szCs w:val="16"/>
          <w:color w:val="auto"/>
        </w:rPr>
      </w:pPr>
    </w:p>
    <w:p>
      <w:pPr>
        <w:jc w:val="both"/>
        <w:ind w:left="-8" w:firstLine="656"/>
        <w:spacing w:after="0" w:line="256" w:lineRule="auto"/>
        <w:tabs>
          <w:tab w:leader="none" w:pos="103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Earnings Statement</w:t>
      </w:r>
      <w:r>
        <w:rPr>
          <w:rFonts w:ascii="Arial" w:cs="Arial" w:eastAsia="Arial" w:hAnsi="Arial"/>
          <w:sz w:val="18"/>
          <w:szCs w:val="18"/>
          <w:color w:val="auto"/>
        </w:rPr>
        <w:t>. As soon as practicable, the Company will make generally available to its security holders and to the Agent an earnings statement (which need not be audited), which shall satisfy the provisions of Section 11(a) of the Securities Act and Rule 158 under the Securities Act; provided that the Company will be deemed to have furnished such statement to its security holders and the Agent to the extent it is available on EDGAR or any successor system.</w:t>
      </w:r>
    </w:p>
    <w:p>
      <w:pPr>
        <w:spacing w:after="0" w:line="156" w:lineRule="exact"/>
        <w:rPr>
          <w:rFonts w:ascii="Arial" w:cs="Arial" w:eastAsia="Arial" w:hAnsi="Arial"/>
          <w:sz w:val="18"/>
          <w:szCs w:val="18"/>
          <w:color w:val="auto"/>
        </w:rPr>
      </w:pPr>
    </w:p>
    <w:p>
      <w:pPr>
        <w:ind w:left="1072" w:hanging="424"/>
        <w:spacing w:after="0"/>
        <w:tabs>
          <w:tab w:leader="none" w:pos="1072" w:val="left"/>
        </w:tabs>
        <w:numPr>
          <w:ilvl w:val="1"/>
          <w:numId w:val="24"/>
        </w:numPr>
        <w:rPr>
          <w:rFonts w:ascii="Arial" w:cs="Arial" w:eastAsia="Arial" w:hAnsi="Arial"/>
          <w:sz w:val="15"/>
          <w:szCs w:val="15"/>
          <w:color w:val="auto"/>
        </w:rPr>
      </w:pPr>
      <w:r>
        <w:rPr>
          <w:rFonts w:ascii="Arial" w:cs="Arial" w:eastAsia="Arial" w:hAnsi="Arial"/>
          <w:sz w:val="15"/>
          <w:szCs w:val="15"/>
          <w:u w:val="single" w:color="auto"/>
          <w:color w:val="auto"/>
        </w:rPr>
        <w:t>Listing; Reservation of Shares</w:t>
      </w:r>
      <w:r>
        <w:rPr>
          <w:rFonts w:ascii="Arial" w:cs="Arial" w:eastAsia="Arial" w:hAnsi="Arial"/>
          <w:sz w:val="15"/>
          <w:szCs w:val="15"/>
          <w:color w:val="auto"/>
        </w:rPr>
        <w:t>. (a) The Company will use its reasonable best efforts to cause the Shares to be listed on the Principal Market; and</w:t>
      </w:r>
    </w:p>
    <w:p>
      <w:pPr>
        <w:spacing w:after="0" w:line="49" w:lineRule="exact"/>
        <w:rPr>
          <w:rFonts w:ascii="Arial" w:cs="Arial" w:eastAsia="Arial" w:hAnsi="Arial"/>
          <w:sz w:val="15"/>
          <w:szCs w:val="15"/>
          <w:color w:val="auto"/>
        </w:rPr>
      </w:pPr>
    </w:p>
    <w:p>
      <w:pPr>
        <w:ind w:left="-8" w:right="20" w:firstLine="8"/>
        <w:spacing w:after="0" w:line="260" w:lineRule="auto"/>
        <w:tabs>
          <w:tab w:leader="none" w:pos="2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will reserve and keep available at all times, free of preemptive rights, Shares for the purpose of enabling the Company to satisfy its obligations under this Agreement.</w:t>
      </w:r>
    </w:p>
    <w:p>
      <w:pPr>
        <w:spacing w:after="0" w:line="152" w:lineRule="exact"/>
        <w:rPr>
          <w:rFonts w:ascii="Arial" w:cs="Arial" w:eastAsia="Arial" w:hAnsi="Arial"/>
          <w:sz w:val="18"/>
          <w:szCs w:val="18"/>
          <w:color w:val="auto"/>
        </w:rPr>
      </w:pPr>
    </w:p>
    <w:p>
      <w:pPr>
        <w:ind w:left="1032" w:hanging="384"/>
        <w:spacing w:after="0"/>
        <w:tabs>
          <w:tab w:leader="none" w:pos="103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184" w:lineRule="exact"/>
        <w:rPr>
          <w:rFonts w:ascii="Arial" w:cs="Arial" w:eastAsia="Arial" w:hAnsi="Arial"/>
          <w:sz w:val="18"/>
          <w:szCs w:val="18"/>
          <w:color w:val="auto"/>
        </w:rPr>
      </w:pPr>
    </w:p>
    <w:p>
      <w:pPr>
        <w:jc w:val="both"/>
        <w:ind w:left="-8" w:firstLine="656"/>
        <w:spacing w:after="0" w:line="256" w:lineRule="auto"/>
        <w:tabs>
          <w:tab w:leader="none" w:pos="1136"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upon reasonable notice, making available documents and senior corporate officers, during normal business hours and at the Company’s principal offices, as the Agent may reasonably request from time to time.</w:t>
      </w:r>
    </w:p>
    <w:p>
      <w:pPr>
        <w:spacing w:after="0" w:line="156" w:lineRule="exact"/>
        <w:rPr>
          <w:rFonts w:ascii="Arial" w:cs="Arial" w:eastAsia="Arial" w:hAnsi="Arial"/>
          <w:sz w:val="18"/>
          <w:szCs w:val="18"/>
          <w:color w:val="auto"/>
        </w:rPr>
      </w:pPr>
    </w:p>
    <w:p>
      <w:pPr>
        <w:jc w:val="both"/>
        <w:ind w:left="-8" w:firstLine="656"/>
        <w:spacing w:after="0" w:line="290" w:lineRule="auto"/>
        <w:tabs>
          <w:tab w:leader="none" w:pos="1088"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31" w:lineRule="exact"/>
        <w:rPr>
          <w:rFonts w:ascii="Arial" w:cs="Arial" w:eastAsia="Arial" w:hAnsi="Arial"/>
          <w:sz w:val="16"/>
          <w:szCs w:val="16"/>
          <w:color w:val="auto"/>
        </w:rPr>
      </w:pPr>
    </w:p>
    <w:p>
      <w:pPr>
        <w:ind w:left="-8" w:firstLine="656"/>
        <w:spacing w:after="0" w:line="268" w:lineRule="auto"/>
        <w:tabs>
          <w:tab w:leader="none" w:pos="1061"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w:t>
      </w:r>
      <w:r>
        <w:rPr>
          <w:rFonts w:ascii="Arial" w:cs="Arial" w:eastAsia="Arial" w:hAnsi="Arial"/>
          <w:sz w:val="18"/>
          <w:szCs w:val="18"/>
          <w:color w:val="auto"/>
        </w:rPr>
        <w:t>. The Company agrees that on or prior to the date of the first Issuance Notice and, during the term of this Agreement after the date of the first Issuance Notice, upon:</w:t>
      </w:r>
    </w:p>
    <w:p>
      <w:pPr>
        <w:spacing w:after="0" w:line="145" w:lineRule="exact"/>
        <w:rPr>
          <w:rFonts w:ascii="Arial" w:cs="Arial" w:eastAsia="Arial" w:hAnsi="Arial"/>
          <w:sz w:val="18"/>
          <w:szCs w:val="18"/>
          <w:color w:val="auto"/>
        </w:rPr>
      </w:pPr>
    </w:p>
    <w:p>
      <w:pPr>
        <w:jc w:val="both"/>
        <w:ind w:left="-8" w:firstLine="1952"/>
        <w:spacing w:after="0" w:line="306" w:lineRule="auto"/>
        <w:tabs>
          <w:tab w:leader="none" w:pos="2422" w:val="left"/>
        </w:tabs>
        <w:numPr>
          <w:ilvl w:val="2"/>
          <w:numId w:val="25"/>
        </w:numPr>
        <w:rPr>
          <w:rFonts w:ascii="Arial" w:cs="Arial" w:eastAsia="Arial" w:hAnsi="Arial"/>
          <w:sz w:val="16"/>
          <w:szCs w:val="16"/>
          <w:color w:val="auto"/>
        </w:rPr>
      </w:pPr>
      <w:r>
        <w:rPr>
          <w:rFonts w:ascii="Arial" w:cs="Arial" w:eastAsia="Arial" w:hAnsi="Arial"/>
          <w:sz w:val="16"/>
          <w:szCs w:val="16"/>
          <w:color w:val="auto"/>
        </w:rPr>
        <w:t xml:space="preserve">the filing of the Prospectus or the amendment or supplement of any Registration Statement or Prospectus (other than a prospectus supplement relating solely to an offering of securities other than the Shares or a prospectus filed pursuant to </w:t>
      </w:r>
      <w:r>
        <w:rPr>
          <w:rFonts w:ascii="Arial" w:cs="Arial" w:eastAsia="Arial" w:hAnsi="Arial"/>
          <w:sz w:val="16"/>
          <w:szCs w:val="16"/>
          <w:u w:val="single" w:color="auto"/>
          <w:color w:val="auto"/>
        </w:rPr>
        <w:t>Section 4(a)(ii)(B)</w:t>
      </w:r>
      <w:r>
        <w:rPr>
          <w:rFonts w:ascii="Arial" w:cs="Arial" w:eastAsia="Arial" w:hAnsi="Arial"/>
          <w:sz w:val="16"/>
          <w:szCs w:val="16"/>
          <w:color w:val="auto"/>
        </w:rPr>
        <w:t>), by means of a post-effective amendment, sticker or supplement, but not by means of incorporation of documents by reference into the Registration Statement or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338455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90" w:right="339" w:bottom="1440" w:gutter="0" w:footer="0" w:header="0"/>
        </w:sectPr>
      </w:pPr>
    </w:p>
    <w:bookmarkStart w:id="22" w:name="page23"/>
    <w:bookmarkEnd w:id="22"/>
    <w:p>
      <w:pPr>
        <w:jc w:val="both"/>
        <w:ind w:firstLine="1952"/>
        <w:spacing w:after="0" w:line="259" w:lineRule="auto"/>
        <w:tabs>
          <w:tab w:leader="none" w:pos="23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53" w:lineRule="exact"/>
        <w:rPr>
          <w:rFonts w:ascii="Arial" w:cs="Arial" w:eastAsia="Arial" w:hAnsi="Arial"/>
          <w:sz w:val="18"/>
          <w:szCs w:val="18"/>
          <w:color w:val="auto"/>
        </w:rPr>
      </w:pPr>
    </w:p>
    <w:p>
      <w:pPr>
        <w:jc w:val="both"/>
        <w:ind w:firstLine="1952"/>
        <w:spacing w:after="0" w:line="256" w:lineRule="auto"/>
        <w:tabs>
          <w:tab w:leader="none" w:pos="23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filing with the Commission of a current report on Form 8-K of the Company containing amended financial information (other than information “furnished” pursuant to Item 2.02 or 7.01 (or related Item 9.01)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2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(any such event, a “</w:t>
      </w:r>
      <w:r>
        <w:rPr>
          <w:rFonts w:ascii="Arial" w:cs="Arial" w:eastAsia="Arial" w:hAnsi="Arial"/>
          <w:sz w:val="16"/>
          <w:szCs w:val="16"/>
          <w:b w:val="1"/>
          <w:bCs w:val="1"/>
          <w:color w:val="auto"/>
        </w:rPr>
        <w:t>Triggering Event Date</w:t>
      </w:r>
      <w:r>
        <w:rPr>
          <w:rFonts w:ascii="Arial" w:cs="Arial" w:eastAsia="Arial" w:hAnsi="Arial"/>
          <w:sz w:val="16"/>
          <w:szCs w:val="16"/>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substantially the form set forth on Exhibit C hereto. The requirement to provide a certificate under this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shall be automatically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dated as of the date that the instructions for the sale of Shares are issued.</w:t>
      </w:r>
    </w:p>
    <w:p>
      <w:pPr>
        <w:spacing w:after="0" w:line="138" w:lineRule="exact"/>
        <w:rPr>
          <w:sz w:val="20"/>
          <w:szCs w:val="20"/>
          <w:color w:val="auto"/>
        </w:rPr>
      </w:pPr>
    </w:p>
    <w:p>
      <w:pPr>
        <w:jc w:val="both"/>
        <w:ind w:firstLine="656"/>
        <w:spacing w:after="0" w:line="288" w:lineRule="auto"/>
        <w:tabs>
          <w:tab w:leader="none" w:pos="1082"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for which no waiver is applicable and excluding the date of this Agreement, a negative assurance letter and the written legal opinion of Latham &amp; Watkins LLP, counsel to the Company, Woodburn &amp; Wedge, Nevada counsel the Company, and Capital Technology Law Group, intellectual property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32" w:lineRule="exact"/>
        <w:rPr>
          <w:rFonts w:ascii="Arial" w:cs="Arial" w:eastAsia="Arial" w:hAnsi="Arial"/>
          <w:sz w:val="16"/>
          <w:szCs w:val="16"/>
          <w:color w:val="auto"/>
        </w:rPr>
      </w:pPr>
    </w:p>
    <w:p>
      <w:pPr>
        <w:jc w:val="both"/>
        <w:ind w:firstLine="656"/>
        <w:spacing w:after="0" w:line="286" w:lineRule="auto"/>
        <w:tabs>
          <w:tab w:leader="none" w:pos="1082"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Comfort Letter</w:t>
      </w:r>
      <w:r>
        <w:rPr>
          <w:rFonts w:ascii="Arial" w:cs="Arial" w:eastAsia="Arial" w:hAnsi="Arial"/>
          <w:sz w:val="16"/>
          <w:szCs w:val="16"/>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for which no waiver is applicable and excluding the date of this Agreement, the Company shall cause OUM &amp; Co.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that have not previously been covered by a comfort letter delivered pursuant to this </w:t>
      </w:r>
      <w:r>
        <w:rPr>
          <w:rFonts w:ascii="Arial" w:cs="Arial" w:eastAsia="Arial" w:hAnsi="Arial"/>
          <w:sz w:val="16"/>
          <w:szCs w:val="16"/>
          <w:u w:val="single" w:color="auto"/>
          <w:color w:val="auto"/>
        </w:rPr>
        <w:t>Section 4(q)</w:t>
      </w:r>
      <w:r>
        <w:rPr>
          <w:rFonts w:ascii="Arial" w:cs="Arial" w:eastAsia="Arial" w:hAnsi="Arial"/>
          <w:sz w:val="16"/>
          <w:szCs w:val="16"/>
          <w:color w:val="auto"/>
        </w:rPr>
        <w:t>.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3" w:name="page24"/>
    <w:bookmarkEnd w:id="23"/>
    <w:p>
      <w:pPr>
        <w:jc w:val="both"/>
        <w:ind w:left="-656" w:firstLine="656"/>
        <w:spacing w:after="0" w:line="288" w:lineRule="auto"/>
        <w:tabs>
          <w:tab w:leader="none" w:pos="38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Secretary’s Certificate</w:t>
      </w:r>
      <w:r>
        <w:rPr>
          <w:rFonts w:ascii="Arial" w:cs="Arial" w:eastAsia="Arial" w:hAnsi="Arial"/>
          <w:sz w:val="16"/>
          <w:szCs w:val="16"/>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37" w:lineRule="exact"/>
        <w:rPr>
          <w:rFonts w:ascii="Arial" w:cs="Arial" w:eastAsia="Arial" w:hAnsi="Arial"/>
          <w:sz w:val="16"/>
          <w:szCs w:val="16"/>
          <w:color w:val="auto"/>
        </w:rPr>
      </w:pPr>
    </w:p>
    <w:p>
      <w:pPr>
        <w:ind w:left="-656" w:firstLine="656"/>
        <w:spacing w:after="0" w:line="331" w:lineRule="auto"/>
        <w:tabs>
          <w:tab w:leader="none" w:pos="406"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00" w:lineRule="exact"/>
        <w:rPr>
          <w:rFonts w:ascii="Arial" w:cs="Arial" w:eastAsia="Arial" w:hAnsi="Arial"/>
          <w:sz w:val="16"/>
          <w:szCs w:val="16"/>
          <w:color w:val="auto"/>
        </w:rPr>
      </w:pPr>
    </w:p>
    <w:p>
      <w:pPr>
        <w:ind w:left="-656" w:firstLine="656"/>
        <w:spacing w:after="0" w:line="331" w:lineRule="auto"/>
        <w:tabs>
          <w:tab w:leader="none" w:pos="374"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00" w:lineRule="exact"/>
        <w:rPr>
          <w:rFonts w:ascii="Arial" w:cs="Arial" w:eastAsia="Arial" w:hAnsi="Arial"/>
          <w:sz w:val="16"/>
          <w:szCs w:val="16"/>
          <w:color w:val="auto"/>
        </w:rPr>
      </w:pPr>
    </w:p>
    <w:p>
      <w:pPr>
        <w:jc w:val="both"/>
        <w:ind w:left="-656" w:firstLine="656"/>
        <w:spacing w:after="0" w:line="290" w:lineRule="auto"/>
        <w:tabs>
          <w:tab w:leader="none" w:pos="41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16"/>
          <w:szCs w:val="16"/>
          <w:b w:val="1"/>
          <w:bCs w:val="1"/>
          <w:color w:val="auto"/>
        </w:rPr>
        <w:t>Rule 102</w:t>
      </w:r>
      <w:r>
        <w:rPr>
          <w:rFonts w:ascii="Arial" w:cs="Arial" w:eastAsia="Arial" w:hAnsi="Arial"/>
          <w:sz w:val="16"/>
          <w:szCs w:val="16"/>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31" w:lineRule="exact"/>
        <w:rPr>
          <w:rFonts w:ascii="Arial" w:cs="Arial" w:eastAsia="Arial" w:hAnsi="Arial"/>
          <w:sz w:val="16"/>
          <w:szCs w:val="16"/>
          <w:color w:val="auto"/>
        </w:rPr>
      </w:pPr>
    </w:p>
    <w:p>
      <w:pPr>
        <w:jc w:val="both"/>
        <w:ind w:left="-656" w:firstLine="656"/>
        <w:spacing w:after="0" w:line="284" w:lineRule="auto"/>
        <w:tabs>
          <w:tab w:leader="none" w:pos="41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 hereunder and ending on the third Trading Day immediately following the earlier of (x) the Settlement Date with respect to Shares sold pursuant to such Issuance Notice and (y) the termination or suspension by the Company of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or disclosed in filings by the Company available on EDGAR or otherwise in writing to the Agent, (iii) issuance or sale of Common Shares or securities convertible into or exchangeable for Common Shares as consideration for mergers, acquisitions, other business combinations or strategic alliances, joint ventures, marketing or distribution arrangements, collaboration agreements, co-promotion agreements, or intellectual property license agreements occurring after the date of this Agreement, which are not used for capital raising purposes and which aggregate number of Common Shares issued or sold under this subsection (iii), on an as-converted basis, if applicable, shall not exceed 7.5% of the number of Common Shares outstanding immediately prior to giving effect to such sale or issuance and (iv) modification of any outstanding options, warrants of any rights to purchase or acquire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352425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24" w:name="page25"/>
    <w:bookmarkEnd w:id="24"/>
    <w:p>
      <w:pPr>
        <w:ind w:left="4"/>
        <w:spacing w:after="0"/>
        <w:tabs>
          <w:tab w:leader="none" w:pos="924"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CONDITIONS TO DELIVERY OF ISSUANCE NOTICES AND TO SETTLEMENT</w:t>
      </w:r>
    </w:p>
    <w:p>
      <w:pPr>
        <w:spacing w:after="0" w:line="191" w:lineRule="exact"/>
        <w:rPr>
          <w:sz w:val="20"/>
          <w:szCs w:val="20"/>
          <w:color w:val="auto"/>
        </w:rPr>
      </w:pPr>
    </w:p>
    <w:p>
      <w:pPr>
        <w:jc w:val="both"/>
        <w:ind w:left="-656" w:firstLine="656"/>
        <w:spacing w:after="0" w:line="298" w:lineRule="auto"/>
        <w:tabs>
          <w:tab w:leader="none" w:pos="403"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Conditions </w:t>
      </w:r>
      <w:r>
        <w:rPr>
          <w:rFonts w:ascii="Arial" w:cs="Arial" w:eastAsia="Arial" w:hAnsi="Arial"/>
          <w:sz w:val="16"/>
          <w:szCs w:val="16"/>
          <w:u w:val="single" w:color="auto"/>
          <w:color w:val="auto"/>
        </w:rPr>
        <w:t>Precedent to the Right of the Company to Deliver an Issuance Notice and the Obligation of the Agent to Sell Shares</w:t>
      </w:r>
      <w:r>
        <w:rPr>
          <w:rFonts w:ascii="Arial" w:cs="Arial" w:eastAsia="Arial" w:hAnsi="Arial"/>
          <w:sz w:val="16"/>
          <w:szCs w:val="16"/>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98" w:lineRule="exact"/>
        <w:rPr>
          <w:rFonts w:ascii="Arial" w:cs="Arial" w:eastAsia="Arial" w:hAnsi="Arial"/>
          <w:sz w:val="16"/>
          <w:szCs w:val="16"/>
          <w:color w:val="auto"/>
        </w:rPr>
      </w:pPr>
    </w:p>
    <w:p>
      <w:pPr>
        <w:jc w:val="both"/>
        <w:ind w:left="1304" w:hanging="656"/>
        <w:spacing w:after="0" w:line="294" w:lineRule="auto"/>
        <w:tabs>
          <w:tab w:leader="none" w:pos="1304"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Accuracy of the Company’s Representations and Warranties; Performance by the Company</w:t>
      </w:r>
      <w:r>
        <w:rPr>
          <w:rFonts w:ascii="Arial" w:cs="Arial" w:eastAsia="Arial" w:hAnsi="Arial"/>
          <w:sz w:val="16"/>
          <w:szCs w:val="16"/>
          <w:color w:val="auto"/>
        </w:rPr>
        <w:t xml:space="preserve">. The Company shall have delivered the certificate required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on or before the date on which delivery of such certificate is required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6"/>
          <w:szCs w:val="16"/>
          <w:u w:val="single" w:color="auto"/>
          <w:color w:val="auto"/>
        </w:rPr>
        <w:t>Section 4(p)</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4(q)</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4(r)</w:t>
      </w:r>
      <w:r>
        <w:rPr>
          <w:rFonts w:ascii="Arial" w:cs="Arial" w:eastAsia="Arial" w:hAnsi="Arial"/>
          <w:sz w:val="16"/>
          <w:szCs w:val="16"/>
          <w:color w:val="auto"/>
        </w:rPr>
        <w:t>.</w:t>
      </w:r>
    </w:p>
    <w:p>
      <w:pPr>
        <w:spacing w:after="0" w:line="101" w:lineRule="exact"/>
        <w:rPr>
          <w:rFonts w:ascii="Arial" w:cs="Arial" w:eastAsia="Arial" w:hAnsi="Arial"/>
          <w:sz w:val="16"/>
          <w:szCs w:val="16"/>
          <w:color w:val="auto"/>
        </w:rPr>
      </w:pPr>
    </w:p>
    <w:p>
      <w:pPr>
        <w:jc w:val="both"/>
        <w:ind w:left="1304" w:hanging="656"/>
        <w:spacing w:after="0" w:line="294" w:lineRule="auto"/>
        <w:tabs>
          <w:tab w:leader="none" w:pos="1304"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No Injunction</w:t>
      </w:r>
      <w:r>
        <w:rPr>
          <w:rFonts w:ascii="Arial" w:cs="Arial" w:eastAsia="Arial" w:hAnsi="Arial"/>
          <w:sz w:val="16"/>
          <w:szCs w:val="16"/>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01" w:lineRule="exact"/>
        <w:rPr>
          <w:rFonts w:ascii="Arial" w:cs="Arial" w:eastAsia="Arial" w:hAnsi="Arial"/>
          <w:sz w:val="16"/>
          <w:szCs w:val="16"/>
          <w:color w:val="auto"/>
        </w:rPr>
      </w:pPr>
    </w:p>
    <w:p>
      <w:pPr>
        <w:jc w:val="both"/>
        <w:ind w:left="1304" w:hanging="656"/>
        <w:spacing w:after="0" w:line="294" w:lineRule="auto"/>
        <w:tabs>
          <w:tab w:leader="none" w:pos="1304"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Material Adverse Changes</w:t>
      </w:r>
      <w:r>
        <w:rPr>
          <w:rFonts w:ascii="Arial" w:cs="Arial" w:eastAsia="Arial" w:hAnsi="Arial"/>
          <w:sz w:val="16"/>
          <w:szCs w:val="16"/>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01" w:lineRule="exact"/>
        <w:rPr>
          <w:rFonts w:ascii="Arial" w:cs="Arial" w:eastAsia="Arial" w:hAnsi="Arial"/>
          <w:sz w:val="16"/>
          <w:szCs w:val="16"/>
          <w:color w:val="auto"/>
        </w:rPr>
      </w:pPr>
    </w:p>
    <w:p>
      <w:pPr>
        <w:jc w:val="both"/>
        <w:ind w:left="1304" w:hanging="656"/>
        <w:spacing w:after="0" w:line="285" w:lineRule="auto"/>
        <w:tabs>
          <w:tab w:leader="none" w:pos="1304"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No Suspension of Trading in or Delisting of Common Shares; Other Events</w:t>
      </w:r>
      <w:r>
        <w:rPr>
          <w:rFonts w:ascii="Arial" w:cs="Arial" w:eastAsia="Arial" w:hAnsi="Arial"/>
          <w:sz w:val="16"/>
          <w:szCs w:val="16"/>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43" w:lineRule="exact"/>
        <w:rPr>
          <w:rFonts w:ascii="Arial" w:cs="Arial" w:eastAsia="Arial" w:hAnsi="Arial"/>
          <w:sz w:val="16"/>
          <w:szCs w:val="16"/>
          <w:color w:val="auto"/>
        </w:rPr>
      </w:pPr>
    </w:p>
    <w:p>
      <w:pPr>
        <w:jc w:val="both"/>
        <w:ind w:left="-656" w:firstLine="656"/>
        <w:spacing w:after="0" w:line="294" w:lineRule="auto"/>
        <w:tabs>
          <w:tab w:leader="none" w:pos="41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Documents Required to be Delivered on each Issuance Notice Date</w:t>
      </w:r>
      <w:r>
        <w:rPr>
          <w:rFonts w:ascii="Arial" w:cs="Arial" w:eastAsia="Arial" w:hAnsi="Arial"/>
          <w:sz w:val="16"/>
          <w:szCs w:val="16"/>
          <w:color w:val="auto"/>
        </w:rPr>
        <w:t>. The Agent’s obligation to use its commercially reasonable efforts to place Shares hereunder shall additionally be conditioned upon the delivery to the Agent on or before the applicable Issuance Notice Date, but excluding the date of this Agreement,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28" w:lineRule="exact"/>
        <w:rPr>
          <w:rFonts w:ascii="Arial" w:cs="Arial" w:eastAsia="Arial" w:hAnsi="Arial"/>
          <w:sz w:val="16"/>
          <w:szCs w:val="16"/>
          <w:color w:val="auto"/>
        </w:rPr>
      </w:pPr>
    </w:p>
    <w:p>
      <w:pPr>
        <w:jc w:val="both"/>
        <w:ind w:left="-656" w:firstLine="656"/>
        <w:spacing w:after="0" w:line="256" w:lineRule="auto"/>
        <w:tabs>
          <w:tab w:leader="none" w:pos="40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56" w:lineRule="exact"/>
        <w:rPr>
          <w:rFonts w:ascii="Arial" w:cs="Arial" w:eastAsia="Arial" w:hAnsi="Arial"/>
          <w:sz w:val="18"/>
          <w:szCs w:val="18"/>
          <w:color w:val="auto"/>
        </w:rPr>
      </w:pPr>
    </w:p>
    <w:p>
      <w:pPr>
        <w:jc w:val="both"/>
        <w:ind w:left="-656" w:firstLine="656"/>
        <w:spacing w:after="0" w:line="306" w:lineRule="auto"/>
        <w:tabs>
          <w:tab w:leader="none" w:pos="41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Agent Counsel Legal Opinion</w:t>
      </w:r>
      <w:r>
        <w:rPr>
          <w:rFonts w:ascii="Arial" w:cs="Arial" w:eastAsia="Arial" w:hAnsi="Arial"/>
          <w:sz w:val="16"/>
          <w:szCs w:val="16"/>
          <w:color w:val="auto"/>
        </w:rPr>
        <w:t xml:space="preserve">. Agent shall have received from Cooley LLP, counsel for Agent, such opinion or opinions, on or before the date on which the delivery of the Company counsel legal opinion is required pursuant to </w:t>
      </w:r>
      <w:r>
        <w:rPr>
          <w:rFonts w:ascii="Arial" w:cs="Arial" w:eastAsia="Arial" w:hAnsi="Arial"/>
          <w:sz w:val="16"/>
          <w:szCs w:val="16"/>
          <w:u w:val="single" w:color="auto"/>
          <w:color w:val="auto"/>
        </w:rPr>
        <w:t>Section 4(p)</w:t>
      </w:r>
      <w:r>
        <w:rPr>
          <w:rFonts w:ascii="Arial" w:cs="Arial" w:eastAsia="Arial" w:hAnsi="Arial"/>
          <w:sz w:val="16"/>
          <w:szCs w:val="16"/>
          <w:color w:val="auto"/>
        </w:rPr>
        <w:t>, with respect to such matters as Agent may reasonably require, and the Company shall have furnished to such counsel such documents as they request for enabling them to pass upon such matters.</w:t>
      </w:r>
    </w:p>
    <w:p>
      <w:pPr>
        <w:spacing w:after="0" w:line="114" w:lineRule="exact"/>
        <w:rPr>
          <w:sz w:val="20"/>
          <w:szCs w:val="20"/>
          <w:color w:val="auto"/>
        </w:rPr>
      </w:pPr>
    </w:p>
    <w:p>
      <w:pPr>
        <w:ind w:left="4"/>
        <w:spacing w:after="0"/>
        <w:tabs>
          <w:tab w:leader="none" w:pos="924" w:val="left"/>
        </w:tabs>
        <w:rPr>
          <w:sz w:val="20"/>
          <w:szCs w:val="20"/>
          <w:color w:val="auto"/>
        </w:rPr>
      </w:pPr>
      <w:r>
        <w:rPr>
          <w:rFonts w:ascii="Arial" w:cs="Arial" w:eastAsia="Arial" w:hAnsi="Arial"/>
          <w:sz w:val="18"/>
          <w:szCs w:val="18"/>
          <w:b w:val="1"/>
          <w:bCs w:val="1"/>
          <w:color w:val="auto"/>
        </w:rPr>
        <w:t>Section 6.</w:t>
        <w:tab/>
        <w:t>INDEMNIFICATION AND CONTRIBUTION</w:t>
      </w:r>
    </w:p>
    <w:p>
      <w:pPr>
        <w:spacing w:after="0" w:line="191" w:lineRule="exact"/>
        <w:rPr>
          <w:sz w:val="20"/>
          <w:szCs w:val="20"/>
          <w:color w:val="auto"/>
        </w:rPr>
      </w:pPr>
    </w:p>
    <w:p>
      <w:pPr>
        <w:jc w:val="both"/>
        <w:ind w:left="-656" w:firstLine="656"/>
        <w:spacing w:after="0" w:line="304" w:lineRule="auto"/>
        <w:tabs>
          <w:tab w:leader="none" w:pos="403" w:val="left"/>
        </w:tabs>
        <w:numPr>
          <w:ilvl w:val="0"/>
          <w:numId w:val="30"/>
        </w:numPr>
        <w:rPr>
          <w:rFonts w:ascii="Arial" w:cs="Arial" w:eastAsia="Arial" w:hAnsi="Arial"/>
          <w:sz w:val="15"/>
          <w:szCs w:val="15"/>
          <w:color w:val="auto"/>
        </w:rPr>
      </w:pPr>
      <w:r>
        <w:rPr>
          <w:rFonts w:ascii="Arial" w:cs="Arial" w:eastAsia="Arial" w:hAnsi="Arial"/>
          <w:sz w:val="15"/>
          <w:szCs w:val="15"/>
          <w:u w:val="single" w:color="auto"/>
          <w:color w:val="auto"/>
        </w:rPr>
        <w:t>Indemnification of the Agent</w:t>
      </w:r>
      <w:r>
        <w:rPr>
          <w:rFonts w:ascii="Arial" w:cs="Arial" w:eastAsia="Arial" w:hAnsi="Arial"/>
          <w:sz w:val="15"/>
          <w:szCs w:val="15"/>
          <w:color w:val="auto"/>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reasonable and documented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Arial" w:cs="Arial" w:eastAsia="Arial" w:hAnsi="Arial"/>
          <w:sz w:val="15"/>
          <w:szCs w:val="15"/>
          <w:u w:val="single" w:color="auto"/>
          <w:color w:val="auto"/>
        </w:rPr>
        <w:t>Section 6(a)</w:t>
      </w:r>
      <w:r>
        <w:rPr>
          <w:rFonts w:ascii="Arial" w:cs="Arial" w:eastAsia="Arial" w:hAnsi="Arial"/>
          <w:sz w:val="15"/>
          <w:szCs w:val="15"/>
          <w:color w:val="auto"/>
        </w:rPr>
        <w:t xml:space="preserve"> shall be in addition to any liabilities that the Company may otherwise have.</w:t>
      </w:r>
    </w:p>
    <w:p>
      <w:pPr>
        <w:sectPr>
          <w:pgSz w:w="11900" w:h="16838" w:orient="portrait"/>
          <w:cols w:equalWidth="0" w:num="1">
            <w:col w:w="10584"/>
          </w:cols>
          <w:pgMar w:left="976" w:top="584" w:right="339" w:bottom="168" w:gutter="0" w:footer="0" w:header="0"/>
        </w:sectPr>
      </w:pPr>
    </w:p>
    <w:bookmarkStart w:id="25" w:name="page26"/>
    <w:bookmarkEnd w:id="25"/>
    <w:p>
      <w:pPr>
        <w:jc w:val="both"/>
        <w:spacing w:after="0" w:line="304" w:lineRule="auto"/>
        <w:tabs>
          <w:tab w:leader="none" w:pos="4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both"/>
        <w:ind w:left="-656" w:firstLine="656"/>
        <w:spacing w:after="0" w:line="284"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Indemnification of the Company, its Directors and Officers</w:t>
      </w:r>
      <w:r>
        <w:rPr>
          <w:rFonts w:ascii="Arial" w:cs="Arial" w:eastAsia="Arial" w:hAnsi="Arial"/>
          <w:sz w:val="16"/>
          <w:szCs w:val="16"/>
          <w:color w:val="auto"/>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reasonable and documented expenses (including the reasonable and documented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shall be in addition to any liabilities that the Agent or the Company may otherwise have.</w:t>
      </w:r>
    </w:p>
    <w:p>
      <w:pPr>
        <w:spacing w:after="0" w:line="142" w:lineRule="exact"/>
        <w:rPr>
          <w:rFonts w:ascii="Arial" w:cs="Arial" w:eastAsia="Arial" w:hAnsi="Arial"/>
          <w:sz w:val="16"/>
          <w:szCs w:val="16"/>
          <w:color w:val="auto"/>
        </w:rPr>
      </w:pPr>
    </w:p>
    <w:p>
      <w:pPr>
        <w:jc w:val="both"/>
        <w:ind w:left="-656" w:firstLine="656"/>
        <w:spacing w:after="0" w:line="284" w:lineRule="auto"/>
        <w:tabs>
          <w:tab w:leader="none" w:pos="43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Notifications and Other Indemnification Procedures</w:t>
      </w:r>
      <w:r>
        <w:rPr>
          <w:rFonts w:ascii="Arial" w:cs="Arial" w:eastAsia="Arial" w:hAnsi="Arial"/>
          <w:sz w:val="16"/>
          <w:szCs w:val="16"/>
          <w:color w:val="auto"/>
        </w:rPr>
        <w:t xml:space="preserve">. Promptly after receipt by an indemnified party under this Section 6 of notice of the commencement of any action, such indemnified party will, if a claim in respect thereof is to be made against an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349885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-2924175</wp:posOffset>
            </wp:positionV>
            <wp:extent cx="4349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4975" cy="825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27" w:name="page28"/>
    <w:bookmarkEnd w:id="27"/>
    <w:p>
      <w:pPr>
        <w:jc w:val="both"/>
        <w:ind w:firstLine="656"/>
        <w:spacing w:after="0" w:line="286" w:lineRule="auto"/>
        <w:tabs>
          <w:tab w:leader="none" w:pos="108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Settlements</w:t>
      </w:r>
      <w:r>
        <w:rPr>
          <w:rFonts w:ascii="Arial" w:cs="Arial" w:eastAsia="Arial" w:hAnsi="Arial"/>
          <w:sz w:val="16"/>
          <w:szCs w:val="16"/>
          <w:color w:val="auto"/>
        </w:rPr>
        <w:t xml:space="preserve">.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6(c)</w:t>
      </w:r>
      <w:r>
        <w:rPr>
          <w:rFonts w:ascii="Arial" w:cs="Arial" w:eastAsia="Arial" w:hAnsi="Arial"/>
          <w:sz w:val="16"/>
          <w:szCs w:val="16"/>
          <w:color w:val="auto"/>
        </w:rPr>
        <w:t xml:space="preserve"> hereof,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39" w:lineRule="exact"/>
        <w:rPr>
          <w:rFonts w:ascii="Arial" w:cs="Arial" w:eastAsia="Arial" w:hAnsi="Arial"/>
          <w:sz w:val="16"/>
          <w:szCs w:val="16"/>
          <w:color w:val="auto"/>
        </w:rPr>
      </w:pPr>
    </w:p>
    <w:p>
      <w:pPr>
        <w:jc w:val="both"/>
        <w:ind w:firstLine="656"/>
        <w:spacing w:after="0" w:line="285" w:lineRule="auto"/>
        <w:tabs>
          <w:tab w:leader="none" w:pos="1059"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1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The amount paid or payable by a party as a result of the losses, claims, damages, liabilities and expenses referred to above shall be deemed to include, subject to the limitations set forth in Section 6(c), any reasonable and documented legal or other fees or expenses reasonably incurred by such party in connection with investigating or defending any action or claim. The provisions set forth in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with respect to notice of commencement of any action shall apply if a claim for contribution is to be made under this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provided, however, that no additional notice shall be required with respect to any action for which notice has been given under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for purposes of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-461010</wp:posOffset>
            </wp:positionV>
            <wp:extent cx="558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spacing w:after="0" w:line="82"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 xml:space="preserve">The Company and the Agent agree that it would not be just and equitable if contribution pursuant to this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6(e)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8" w:name="page29"/>
    <w:bookmarkEnd w:id="28"/>
    <w:p>
      <w:pPr>
        <w:jc w:val="both"/>
        <w:ind w:firstLine="648"/>
        <w:spacing w:after="0" w:line="253" w:lineRule="auto"/>
        <w:rPr>
          <w:sz w:val="20"/>
          <w:szCs w:val="20"/>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Section 6(e),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541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1655" cy="8890"/>
                    </a:xfrm>
                    <a:prstGeom prst="rect">
                      <a:avLst/>
                    </a:prstGeom>
                    <a:noFill/>
                  </pic:spPr>
                </pic:pic>
              </a:graphicData>
            </a:graphic>
          </wp:anchor>
        </w:drawing>
      </w:r>
    </w:p>
    <w:p>
      <w:pPr>
        <w:spacing w:after="0" w:line="134"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Section 7.</w:t>
        <w:tab/>
        <w:t>TERMINATION &amp; SURVIVAL</w:t>
      </w:r>
    </w:p>
    <w:p>
      <w:pPr>
        <w:spacing w:after="0" w:line="191" w:lineRule="exact"/>
        <w:rPr>
          <w:sz w:val="20"/>
          <w:szCs w:val="20"/>
          <w:color w:val="auto"/>
        </w:rPr>
      </w:pPr>
    </w:p>
    <w:p>
      <w:pPr>
        <w:ind w:firstLine="656"/>
        <w:spacing w:after="0" w:line="268" w:lineRule="auto"/>
        <w:tabs>
          <w:tab w:leader="none" w:pos="1059"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4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1304"/>
        <w:spacing w:after="0" w:line="291" w:lineRule="auto"/>
        <w:tabs>
          <w:tab w:leader="none" w:pos="1705"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(B)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survive termination of this Agreement. If termination shall occur prior to the Settlement Date for any sale of Shares, such sale shall nevertheless settle in accordance with the terms of this Agreement. Upon termination of this Agreement, the Company shall not have any liability to the Agent for any discount, commission or other compensation with respect to any Shares not otherwise sold by the Agent under this Agreement.</w:t>
      </w:r>
    </w:p>
    <w:p>
      <w:pPr>
        <w:spacing w:after="0" w:line="133" w:lineRule="exact"/>
        <w:rPr>
          <w:rFonts w:ascii="Arial" w:cs="Arial" w:eastAsia="Arial" w:hAnsi="Arial"/>
          <w:sz w:val="16"/>
          <w:szCs w:val="16"/>
          <w:color w:val="auto"/>
        </w:rPr>
      </w:pPr>
    </w:p>
    <w:p>
      <w:pPr>
        <w:jc w:val="both"/>
        <w:ind w:firstLine="1304"/>
        <w:spacing w:after="0" w:line="254" w:lineRule="auto"/>
        <w:tabs>
          <w:tab w:leader="none" w:pos="1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54"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MISCELLANEOUS</w:t>
      </w:r>
    </w:p>
    <w:p>
      <w:pPr>
        <w:spacing w:after="0" w:line="191" w:lineRule="exact"/>
        <w:rPr>
          <w:sz w:val="20"/>
          <w:szCs w:val="20"/>
          <w:color w:val="auto"/>
        </w:rPr>
      </w:pPr>
    </w:p>
    <w:p>
      <w:pPr>
        <w:jc w:val="both"/>
        <w:ind w:firstLine="656"/>
        <w:spacing w:after="0" w:line="307" w:lineRule="auto"/>
        <w:tabs>
          <w:tab w:leader="none" w:pos="1059" w:val="left"/>
        </w:tabs>
        <w:numPr>
          <w:ilvl w:val="0"/>
          <w:numId w:val="34"/>
        </w:numPr>
        <w:rPr>
          <w:rFonts w:ascii="Arial" w:cs="Arial" w:eastAsia="Arial" w:hAnsi="Arial"/>
          <w:sz w:val="15"/>
          <w:szCs w:val="15"/>
          <w:color w:val="auto"/>
        </w:rPr>
      </w:pPr>
      <w:r>
        <w:rPr>
          <w:rFonts w:ascii="Arial" w:cs="Arial" w:eastAsia="Arial" w:hAnsi="Arial"/>
          <w:sz w:val="15"/>
          <w:szCs w:val="15"/>
          <w:u w:val="single" w:color="auto"/>
          <w:color w:val="auto"/>
        </w:rPr>
        <w:t>Press Releases and Disclosure</w:t>
      </w:r>
      <w:r>
        <w:rPr>
          <w:rFonts w:ascii="Arial" w:cs="Arial" w:eastAsia="Arial" w:hAnsi="Arial"/>
          <w:sz w:val="15"/>
          <w:szCs w:val="15"/>
          <w:color w:val="auto"/>
        </w:rPr>
        <w:t>. The Company may issue a press release describing the material terms of the transactions contemplated hereby as soon as practicable following the date of this Agreement, and may file with the Commission a Current Report on Form 8 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(other than disclosure related to periodic sales pursuant to this Agreement as required to be included in any reports filed with the Commission pursuant to the Securities Act or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9" w:name="page30"/>
    <w:bookmarkEnd w:id="29"/>
    <w:p>
      <w:pPr>
        <w:jc w:val="both"/>
        <w:ind w:firstLine="656"/>
        <w:spacing w:after="0" w:line="282" w:lineRule="auto"/>
        <w:tabs>
          <w:tab w:leader="none" w:pos="1082"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w:t>
      </w:r>
    </w:p>
    <w:p>
      <w:pPr>
        <w:spacing w:after="0" w:line="5" w:lineRule="exact"/>
        <w:rPr>
          <w:rFonts w:ascii="Arial" w:cs="Arial" w:eastAsia="Arial" w:hAnsi="Arial"/>
          <w:sz w:val="16"/>
          <w:szCs w:val="16"/>
          <w:color w:val="auto"/>
        </w:rPr>
      </w:pPr>
    </w:p>
    <w:p>
      <w:pPr>
        <w:ind w:firstLine="8"/>
        <w:spacing w:after="0" w:line="260"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52" w:lineRule="exact"/>
        <w:rPr>
          <w:rFonts w:ascii="Arial" w:cs="Arial" w:eastAsia="Arial" w:hAnsi="Arial"/>
          <w:sz w:val="18"/>
          <w:szCs w:val="18"/>
          <w:color w:val="auto"/>
        </w:rPr>
      </w:pPr>
    </w:p>
    <w:p>
      <w:pPr>
        <w:jc w:val="both"/>
        <w:ind w:firstLine="656"/>
        <w:spacing w:after="0" w:line="291" w:lineRule="auto"/>
        <w:tabs>
          <w:tab w:leader="none" w:pos="1059"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Research Analyst Independence</w:t>
      </w:r>
      <w:r>
        <w:rPr>
          <w:rFonts w:ascii="Arial" w:cs="Arial" w:eastAsia="Arial" w:hAnsi="Arial"/>
          <w:sz w:val="16"/>
          <w:szCs w:val="16"/>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33" w:lineRule="exact"/>
        <w:rPr>
          <w:rFonts w:ascii="Arial" w:cs="Arial" w:eastAsia="Arial" w:hAnsi="Arial"/>
          <w:sz w:val="16"/>
          <w:szCs w:val="16"/>
          <w:color w:val="auto"/>
        </w:rPr>
      </w:pPr>
    </w:p>
    <w:p>
      <w:pPr>
        <w:ind w:left="1080" w:hanging="424"/>
        <w:spacing w:after="0"/>
        <w:tabs>
          <w:tab w:leader="none" w:pos="1080"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shall be in writing and shall be mailed, hand delivered or telecopied and confirmed to the parties hereto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Agent: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Jefferies LLC</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(646) 786-5719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Cooley LLP</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Daniel I. Goldberg,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(212) 479-6275</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343 Allerton Ave.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San Francisco, California 94090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Shawn K. Singh,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330 North Wabash Avenue, Suite 2800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Chicago, IL 60611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(312) 993-9767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Christopher Lueking.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party hereto may change the address for receipt of communications by giving written notice to the others in accordance with this </w:t>
      </w:r>
      <w:r>
        <w:rPr>
          <w:rFonts w:ascii="Arial" w:cs="Arial" w:eastAsia="Arial" w:hAnsi="Arial"/>
          <w:sz w:val="16"/>
          <w:szCs w:val="16"/>
          <w:u w:val="single" w:color="auto"/>
          <w:color w:val="auto"/>
        </w:rPr>
        <w:t>Section 8(d)</w:t>
      </w:r>
      <w:r>
        <w:rPr>
          <w:rFonts w:ascii="Arial" w:cs="Arial" w:eastAsia="Arial" w:hAnsi="Arial"/>
          <w:sz w:val="16"/>
          <w:szCs w:val="16"/>
          <w:color w:val="auto"/>
        </w:rPr>
        <w:t>.</w:t>
      </w:r>
    </w:p>
    <w:p>
      <w:pPr>
        <w:spacing w:after="0" w:line="208" w:lineRule="exact"/>
        <w:rPr>
          <w:sz w:val="20"/>
          <w:szCs w:val="20"/>
          <w:color w:val="auto"/>
        </w:rPr>
      </w:pPr>
    </w:p>
    <w:p>
      <w:pPr>
        <w:jc w:val="both"/>
        <w:ind w:firstLine="656"/>
        <w:spacing w:after="0" w:line="306" w:lineRule="auto"/>
        <w:tabs>
          <w:tab w:leader="none" w:pos="1059"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19" w:lineRule="exact"/>
        <w:rPr>
          <w:rFonts w:ascii="Arial" w:cs="Arial" w:eastAsia="Arial" w:hAnsi="Arial"/>
          <w:sz w:val="16"/>
          <w:szCs w:val="16"/>
          <w:color w:val="auto"/>
        </w:rPr>
      </w:pPr>
    </w:p>
    <w:p>
      <w:pPr>
        <w:jc w:val="both"/>
        <w:ind w:firstLine="656"/>
        <w:spacing w:after="0" w:line="256"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56" w:lineRule="exact"/>
        <w:rPr>
          <w:rFonts w:ascii="Arial" w:cs="Arial" w:eastAsia="Arial" w:hAnsi="Arial"/>
          <w:sz w:val="18"/>
          <w:szCs w:val="18"/>
          <w:color w:val="auto"/>
        </w:rPr>
      </w:pPr>
    </w:p>
    <w:p>
      <w:pPr>
        <w:jc w:val="both"/>
        <w:ind w:firstLine="656"/>
        <w:spacing w:after="0" w:line="287" w:lineRule="auto"/>
        <w:tabs>
          <w:tab w:leader="none" w:pos="1069"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Governing Law Provisions</w:t>
      </w:r>
      <w:r>
        <w:rPr>
          <w:rFonts w:ascii="Arial" w:cs="Arial" w:eastAsia="Arial" w:hAnsi="Arial"/>
          <w:sz w:val="16"/>
          <w:szCs w:val="16"/>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w:t>
      </w:r>
      <w:r>
        <w:rPr>
          <w:rFonts w:ascii="Arial" w:cs="Arial" w:eastAsia="Arial" w:hAnsi="Arial"/>
          <w:sz w:val="16"/>
          <w:szCs w:val="16"/>
          <w:color w:val="auto"/>
        </w:rPr>
        <w:t xml:space="preserve"> </w:t>
      </w:r>
      <w:r>
        <w:rPr>
          <w:rFonts w:ascii="Arial" w:cs="Arial" w:eastAsia="Arial" w:hAnsi="Arial"/>
          <w:sz w:val="16"/>
          <w:szCs w:val="16"/>
          <w:b w:val="1"/>
          <w:bCs w:val="1"/>
          <w:color w:val="auto"/>
        </w:rPr>
        <w:t>Courts</w:t>
      </w:r>
      <w:r>
        <w:rPr>
          <w:rFonts w:ascii="Arial" w:cs="Arial" w:eastAsia="Arial" w:hAnsi="Arial"/>
          <w:sz w:val="16"/>
          <w:szCs w:val="16"/>
          <w:color w:val="auto"/>
        </w:rPr>
        <w:t>”), and each party irrevocably submits to the exclusive jurisdiction (except for proceedings instituted in regard to the enforcement of a judgment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35" w:lineRule="exact"/>
        <w:rPr>
          <w:rFonts w:ascii="Arial" w:cs="Arial" w:eastAsia="Arial" w:hAnsi="Arial"/>
          <w:sz w:val="16"/>
          <w:szCs w:val="16"/>
          <w:color w:val="auto"/>
        </w:rPr>
      </w:pPr>
    </w:p>
    <w:p>
      <w:pPr>
        <w:jc w:val="both"/>
        <w:ind w:firstLine="656"/>
        <w:spacing w:after="0" w:line="288" w:lineRule="auto"/>
        <w:tabs>
          <w:tab w:leader="none" w:pos="1069"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Immediately Follows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32" w:name="page33"/>
    <w:bookmarkEnd w:id="32"/>
    <w:p>
      <w:pPr>
        <w:ind w:firstLine="648"/>
        <w:spacing w:after="0" w:line="268" w:lineRule="auto"/>
        <w:rPr>
          <w:sz w:val="20"/>
          <w:szCs w:val="20"/>
          <w:color w:val="auto"/>
        </w:rPr>
      </w:pPr>
      <w:r>
        <w:rPr>
          <w:rFonts w:ascii="Arial" w:cs="Arial" w:eastAsia="Arial" w:hAnsi="Arial"/>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1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15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 JD</w:t>
      </w:r>
    </w:p>
    <w:p>
      <w:pPr>
        <w:spacing w:after="0" w:line="1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Shawn K. Singh, JD</w:t>
      </w:r>
    </w:p>
    <w:p>
      <w:pPr>
        <w:spacing w:after="0" w:line="30" w:lineRule="exact"/>
        <w:rPr>
          <w:sz w:val="20"/>
          <w:szCs w:val="20"/>
          <w:color w:val="auto"/>
        </w:rPr>
      </w:pPr>
    </w:p>
    <w:p>
      <w:pPr>
        <w:ind w:left="4320"/>
        <w:spacing w:after="0"/>
        <w:tabs>
          <w:tab w:leader="none" w:pos="4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Agreement is hereby confirmed and accepted by the Agent in New York, New York as of the date first above written.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Magarro</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Michael Magarro</w:t>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EXHIBIT 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ISSUANCE NOTICE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152"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Reference is made to the Open Market Sale Agreement</w:t>
      </w:r>
      <w:r>
        <w:rPr>
          <w:rFonts w:ascii="Arial" w:cs="Arial" w:eastAsia="Arial" w:hAnsi="Arial"/>
          <w:sz w:val="23"/>
          <w:szCs w:val="23"/>
          <w:color w:val="auto"/>
          <w:vertAlign w:val="superscript"/>
        </w:rPr>
        <w:t>SM</w:t>
      </w:r>
      <w:r>
        <w:rPr>
          <w:rFonts w:ascii="Arial" w:cs="Arial" w:eastAsia="Arial" w:hAnsi="Arial"/>
          <w:sz w:val="17"/>
          <w:szCs w:val="17"/>
          <w:color w:val="auto"/>
        </w:rPr>
        <w:t xml:space="preserve"> between VistaGen Therapeutics, Inc. (the “</w:t>
      </w:r>
      <w:r>
        <w:rPr>
          <w:rFonts w:ascii="Arial" w:cs="Arial" w:eastAsia="Arial" w:hAnsi="Arial"/>
          <w:sz w:val="17"/>
          <w:szCs w:val="17"/>
          <w:b w:val="1"/>
          <w:bCs w:val="1"/>
          <w:color w:val="auto"/>
        </w:rPr>
        <w:t>Company</w:t>
      </w:r>
      <w:r>
        <w:rPr>
          <w:rFonts w:ascii="Arial" w:cs="Arial" w:eastAsia="Arial" w:hAnsi="Arial"/>
          <w:sz w:val="17"/>
          <w:szCs w:val="17"/>
          <w:color w:val="auto"/>
        </w:rPr>
        <w:t>”) and Jefferies LLC (the “</w:t>
      </w:r>
      <w:r>
        <w:rPr>
          <w:rFonts w:ascii="Arial" w:cs="Arial" w:eastAsia="Arial" w:hAnsi="Arial"/>
          <w:sz w:val="17"/>
          <w:szCs w:val="17"/>
          <w:b w:val="1"/>
          <w:bCs w:val="1"/>
          <w:color w:val="auto"/>
        </w:rPr>
        <w:t>Agent</w:t>
      </w:r>
      <w:r>
        <w:rPr>
          <w:rFonts w:ascii="Arial" w:cs="Arial" w:eastAsia="Arial" w:hAnsi="Arial"/>
          <w:sz w:val="17"/>
          <w:szCs w:val="17"/>
          <w:color w:val="auto"/>
        </w:rPr>
        <w:t>”) dated as of May 14, 2021. The Company confirms that all conditions to the delivery of this Issuance Notice are satisfied as of the date hereof.</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w:t>
      </w:r>
    </w:p>
    <w:p>
      <w:pPr>
        <w:spacing w:after="0" w:line="200" w:lineRule="exact"/>
        <w:rPr>
          <w:sz w:val="20"/>
          <w:szCs w:val="20"/>
          <w:color w:val="auto"/>
        </w:rPr>
      </w:pPr>
    </w:p>
    <w:p>
      <w:pPr>
        <w:spacing w:after="0" w:line="32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EXHIBIT B</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 d/b/a VistaStem, a California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Artemis Neuroscience, Inc., a Maryland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VistaStem Canada, Inc., a corporation organized under the laws of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Form of Officer’s Certificate Pursuant to Section 4(o)</w:t>
      </w:r>
    </w:p>
    <w:p>
      <w:pPr>
        <w:spacing w:after="0" w:line="15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The undersigned, the duly qualified and elected [●] of VistaGen Therapeutics, Inc.,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does hereby certify in such capacity and on behalf of the Company,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of the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dated May 14, 2021, between the Company and Jefferies LLC (the “</w:t>
      </w:r>
      <w:r>
        <w:rPr>
          <w:rFonts w:ascii="Arial" w:cs="Arial" w:eastAsia="Arial" w:hAnsi="Arial"/>
          <w:sz w:val="18"/>
          <w:szCs w:val="18"/>
          <w:b w:val="1"/>
          <w:bCs w:val="1"/>
          <w:color w:val="auto"/>
        </w:rPr>
        <w:t>Sale Agreement</w:t>
      </w:r>
      <w:r>
        <w:rPr>
          <w:rFonts w:ascii="Arial" w:cs="Arial" w:eastAsia="Arial" w:hAnsi="Arial"/>
          <w:sz w:val="18"/>
          <w:szCs w:val="18"/>
          <w:color w:val="auto"/>
        </w:rPr>
        <w:t>”), that to the knowledge of the undersigned:</w:t>
      </w:r>
    </w:p>
    <w:p>
      <w:pPr>
        <w:spacing w:after="0" w:line="144" w:lineRule="exact"/>
        <w:rPr>
          <w:sz w:val="20"/>
          <w:szCs w:val="20"/>
          <w:color w:val="auto"/>
        </w:rPr>
      </w:pPr>
    </w:p>
    <w:p>
      <w:pPr>
        <w:jc w:val="both"/>
        <w:ind w:firstLine="656"/>
        <w:spacing w:after="0" w:line="256" w:lineRule="auto"/>
        <w:tabs>
          <w:tab w:leader="none" w:pos="13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the Sale Agreement are true and correct on and as of the date hereof with the same force and effect as if expressly made on and as of the date hereof; provided, however that such representations and warranties are qualified by the disclosure included or incorporated by reference in the Registration Statement and Prospectus (including any documents incorporated by reference therein and any supplements thereto); and</w:t>
      </w:r>
    </w:p>
    <w:p>
      <w:pPr>
        <w:spacing w:after="0" w:line="129" w:lineRule="exact"/>
        <w:rPr>
          <w:rFonts w:ascii="Arial" w:cs="Arial" w:eastAsia="Arial" w:hAnsi="Arial"/>
          <w:sz w:val="18"/>
          <w:szCs w:val="18"/>
          <w:color w:val="auto"/>
        </w:rPr>
      </w:pPr>
    </w:p>
    <w:p>
      <w:pPr>
        <w:ind w:firstLine="656"/>
        <w:spacing w:after="0" w:line="268" w:lineRule="auto"/>
        <w:tabs>
          <w:tab w:leader="none" w:pos="9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has complied with all agreements and satisfied all conditions on its part to be performed or satisfied pursuant to the Sale Agreement at or prior to the date hereof.</w:t>
      </w:r>
    </w:p>
    <w:p>
      <w:pPr>
        <w:spacing w:after="0" w:line="118" w:lineRule="exact"/>
        <w:rPr>
          <w:sz w:val="20"/>
          <w:szCs w:val="20"/>
          <w:color w:val="auto"/>
        </w:rPr>
      </w:pPr>
    </w:p>
    <w:p>
      <w:pPr>
        <w:ind w:firstLine="648"/>
        <w:spacing w:after="0" w:line="331" w:lineRule="auto"/>
        <w:rPr>
          <w:sz w:val="20"/>
          <w:szCs w:val="20"/>
          <w:color w:val="auto"/>
        </w:rPr>
      </w:pPr>
      <w:r>
        <w:rPr>
          <w:rFonts w:ascii="Arial" w:cs="Arial" w:eastAsia="Arial" w:hAnsi="Arial"/>
          <w:sz w:val="16"/>
          <w:szCs w:val="16"/>
          <w:color w:val="auto"/>
        </w:rPr>
        <w:t>Latham &amp; Watkins LLP and Cooley LLP are entitled to rely on this certificate in connection with the respective opinions such firms are rendering pursuant to the Sale Agreement. Capitalized terms used herein without definition shall have the meanings given to such terms in the Sale Agreement.</w:t>
      </w:r>
    </w:p>
    <w:p>
      <w:pPr>
        <w:spacing w:after="0" w:line="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VISTAGEN THERAPEUTICS, INC.</w:t>
      </w:r>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Schedule 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Parties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Shawn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Jerry Dotson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Michael Magarro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Donald Lynaugh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Matthew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14,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We have acted as special Nevada counsel to VistaGen Therapeutics, Inc.,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an Open Market Sale Agreement</w:t>
      </w:r>
      <w:r>
        <w:rPr>
          <w:rFonts w:ascii="Arial" w:cs="Arial" w:eastAsia="Arial" w:hAnsi="Arial"/>
          <w:sz w:val="22"/>
          <w:szCs w:val="22"/>
          <w:color w:val="auto"/>
          <w:vertAlign w:val="superscript"/>
        </w:rPr>
        <w:t>SM</w:t>
      </w:r>
      <w:r>
        <w:rPr>
          <w:rFonts w:ascii="Arial" w:cs="Arial" w:eastAsia="Arial" w:hAnsi="Arial"/>
          <w:sz w:val="16"/>
          <w:szCs w:val="16"/>
          <w:color w:val="auto"/>
        </w:rPr>
        <w:t>, dated the date hereof (the “</w:t>
      </w:r>
      <w:r>
        <w:rPr>
          <w:rFonts w:ascii="Arial" w:cs="Arial" w:eastAsia="Arial" w:hAnsi="Arial"/>
          <w:sz w:val="16"/>
          <w:szCs w:val="16"/>
          <w:u w:val="single" w:color="auto"/>
          <w:color w:val="auto"/>
        </w:rPr>
        <w:t>Sales Agreement</w:t>
      </w:r>
      <w:r>
        <w:rPr>
          <w:rFonts w:ascii="Arial" w:cs="Arial" w:eastAsia="Arial" w:hAnsi="Arial"/>
          <w:sz w:val="16"/>
          <w:szCs w:val="16"/>
          <w:color w:val="auto"/>
        </w:rPr>
        <w:t>”), by and between the Company and Jefferies LLC (“</w:t>
      </w:r>
      <w:r>
        <w:rPr>
          <w:rFonts w:ascii="Arial" w:cs="Arial" w:eastAsia="Arial" w:hAnsi="Arial"/>
          <w:sz w:val="16"/>
          <w:szCs w:val="16"/>
          <w:u w:val="single" w:color="auto"/>
          <w:color w:val="auto"/>
        </w:rPr>
        <w:t>Jefferies</w:t>
      </w:r>
      <w:r>
        <w:rPr>
          <w:rFonts w:ascii="Arial" w:cs="Arial" w:eastAsia="Arial" w:hAnsi="Arial"/>
          <w:sz w:val="16"/>
          <w:szCs w:val="16"/>
          <w:color w:val="auto"/>
        </w:rPr>
        <w:t>”), relating to the offer and sale by the Company from time to time of shares (the “</w:t>
      </w:r>
      <w:r>
        <w:rPr>
          <w:rFonts w:ascii="Arial" w:cs="Arial" w:eastAsia="Arial" w:hAnsi="Arial"/>
          <w:sz w:val="16"/>
          <w:szCs w:val="16"/>
          <w:u w:val="single" w:color="auto"/>
          <w:color w:val="auto"/>
        </w:rPr>
        <w:t>ATM Shares</w:t>
      </w:r>
      <w:r>
        <w:rPr>
          <w:rFonts w:ascii="Arial" w:cs="Arial" w:eastAsia="Arial" w:hAnsi="Arial"/>
          <w:sz w:val="16"/>
          <w:szCs w:val="16"/>
          <w:color w:val="auto"/>
        </w:rPr>
        <w:t>”) of common stock of the Company, $0.001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having an aggregate gross sales price of up to $75,000,000 to or through Jefferies as sales agent. Any ATM Shares to be offered and sold have been registered pursuant to a Registration Statement on Form S-3 (Registration No. 333-254299) filed by the Company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(as so filed and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including a base prospectus dated March 26, 2021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as supplemented by a Prospectus Supplement dated May 14, 2021, relating to the ATM Shares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The Base Prospectus and the Prospectus Supplement form a part of and are included in the Registration Statement.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w:t>
      </w:r>
    </w:p>
    <w:p>
      <w:pPr>
        <w:spacing w:after="0" w:line="225" w:lineRule="exact"/>
        <w:rPr>
          <w:sz w:val="20"/>
          <w:szCs w:val="20"/>
          <w:color w:val="auto"/>
        </w:rPr>
      </w:pPr>
    </w:p>
    <w:p>
      <w:pPr>
        <w:ind w:left="1300" w:hanging="644"/>
        <w:spacing w:after="0" w:line="25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Certificate of Designation designating 500,000 shares of the Company’s authorized preferred stock, par value $0.001 per share, as Series A Convertible Preferred Stock, as filed with the Nevada Secretary of State on December 22, 2011;</w:t>
      </w:r>
    </w:p>
    <w:p>
      <w:pPr>
        <w:ind w:left="1300" w:hanging="644"/>
        <w:spacing w:after="0" w:line="250"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Certificate of Designation designating 4,000,000 shares of the Company’s authorized preferred stock, par value $0.001 per share, as Series B 10% Convertible Preferred Stock, as filed with the Nevada Secretary of State on May 7, 2015;</w:t>
      </w:r>
    </w:p>
    <w:p>
      <w:pPr>
        <w:ind w:left="1300" w:hanging="644"/>
        <w:spacing w:after="0" w:line="250"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Certificate of Designation designating 3,000,000 shares of the Company’s authorized preferred stock, par value $0.001 per share, as Series C Convertible Preferred Stock, as filed with the Nevada Secretary of State on January 22, 2016;</w:t>
      </w: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Restated Articles of Incorporation of the Company, as filed with the Nevada Secretary of State on August 11, 2016;</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Certificate of Amendment to Articles of Incorporation of the Company, as filed with the Nevada Secretary of State on September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35"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Certificate of Amendment to Articles of Incorporation of the Company, as filed with the Nevada Secretary of State on September 6, 2019;</w:t>
      </w:r>
    </w:p>
    <w:p>
      <w:pPr>
        <w:spacing w:after="0" w:line="38" w:lineRule="exact"/>
        <w:rPr>
          <w:rFonts w:ascii="Arial" w:cs="Arial" w:eastAsia="Arial" w:hAnsi="Arial"/>
          <w:sz w:val="16"/>
          <w:szCs w:val="16"/>
          <w:color w:val="auto"/>
        </w:rPr>
      </w:pPr>
    </w:p>
    <w:p>
      <w:pPr>
        <w:ind w:left="1300" w:hanging="644"/>
        <w:spacing w:after="0" w:line="281"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Certificate of Designation designating 2,000,000 shares of the Company’s authorized preferred stock, par value $0.001 per share, as Series D Convertible Preferred Stock, as filed with the Nevada Secretary of State on December 21, 2020 (the “</w:t>
      </w:r>
      <w:r>
        <w:rPr>
          <w:rFonts w:ascii="Arial" w:cs="Arial" w:eastAsia="Arial" w:hAnsi="Arial"/>
          <w:sz w:val="16"/>
          <w:szCs w:val="16"/>
          <w:u w:val="single" w:color="auto"/>
          <w:color w:val="auto"/>
        </w:rPr>
        <w:t>Series D Certificate of Designation</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1300" w:hanging="644"/>
        <w:spacing w:after="0" w:line="250"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Certificate of Amendment to the Restated Articles of Incorporation of the Company, as filed with the Nevada Secretary of State on March 5, 2021;</w:t>
      </w:r>
    </w:p>
    <w:p>
      <w:pPr>
        <w:ind w:left="1300" w:hanging="644"/>
        <w:spacing w:after="0"/>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Second Amended and Restated Bylaws of the Company, adopted August 16, 2016, and certified to us to be currently in effect;</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Certificate of Good Standing for the Company issued by the Nevada Secretary of State on May 13, 2021;</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Base Prospectus;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Prospectus Supplement;</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Resolutions adopted by the Board of Directors of the Company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dated March 12, 2021, authorizing and approving the Registration Statement, the issuance and sale of the securities described in the Registration Statement;</w:t>
      </w:r>
    </w:p>
    <w:p>
      <w:pPr>
        <w:ind w:left="1300" w:right="20" w:hanging="644"/>
        <w:spacing w:after="0" w:line="281"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Resolutions of the board of directors of the Company adopted as of May 11, 2021, authorizing and approving the Sales Agreement, the Prospectus Supplement, and the issuance and sale of the ATM Shares described in the Prospectus Supplement; and</w:t>
      </w:r>
    </w:p>
    <w:p>
      <w:pPr>
        <w:spacing w:after="0" w:line="1" w:lineRule="exact"/>
        <w:rPr>
          <w:rFonts w:ascii="Arial" w:cs="Arial" w:eastAsia="Arial" w:hAnsi="Arial"/>
          <w:sz w:val="16"/>
          <w:szCs w:val="16"/>
          <w:color w:val="auto"/>
        </w:rPr>
      </w:pPr>
    </w:p>
    <w:p>
      <w:pPr>
        <w:ind w:left="1300" w:hanging="644"/>
        <w:spacing w:after="0" w:line="260"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certificate, dated May 14, 2021, from an Officer of the Company as to certain factual matters, including, the incumbency of the officers of the Company (the “</w:t>
      </w:r>
      <w:r>
        <w:rPr>
          <w:rFonts w:ascii="Arial" w:cs="Arial" w:eastAsia="Arial" w:hAnsi="Arial"/>
          <w:sz w:val="18"/>
          <w:szCs w:val="18"/>
          <w:u w:val="single" w:color="auto"/>
          <w:color w:val="auto"/>
        </w:rPr>
        <w:t>Officer's Certificate</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5"/>
          <w:szCs w:val="15"/>
          <w:color w:val="252525"/>
        </w:rPr>
        <w:t>In addition to the foregoing, we have examined such other instruments, documents and records that we deemed relevant and necessary for the basis of our opinion hereinafter expressed. We have assumed the authenticity of all records, documents and instruments submitted to us as originals, the genuineness of all signatures, the legal capacity of natural persons and the conformity to the originals of all records, documents and instruments submitted to us as copies.</w:t>
      </w:r>
    </w:p>
    <w:p>
      <w:pPr>
        <w:spacing w:after="0" w:line="14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rendering the opinions contained herein, we have, with your permission, made the following assumptions: (i) all documents submitted to or reviewed by us, including all amendments and supplements thereto, are accurate and complete and, if not originals, are true, correct, and complete copies of the originals; (ii) the signatures on each of such documents by the parties thereto are genuine; (iii) each individual who signed such documents had the legal capacity to do so; (iv) all persons who signed such documents on behalf of a business entity were duly authorized to do so; (v) all statements in certificates of public officials and officers of the Company that we reviewed were and are accurate, and (vi) all representations made by the Company as to matters of fact in the documents that we reviewed were and are accurate. We have assumed that there are no amendments, modifications, or supplements to such documents other than those amendments, modifications, and supplements that are known to us.</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52525"/>
        </w:rPr>
        <w:t>This opinion is limited to the Nevada Revised Statutes (the “</w:t>
      </w:r>
      <w:r>
        <w:rPr>
          <w:rFonts w:ascii="Arial" w:cs="Arial" w:eastAsia="Arial" w:hAnsi="Arial"/>
          <w:sz w:val="18"/>
          <w:szCs w:val="18"/>
          <w:u w:val="single" w:color="auto"/>
          <w:color w:val="252525"/>
        </w:rPr>
        <w:t>NRS</w:t>
      </w:r>
      <w:r>
        <w:rPr>
          <w:rFonts w:ascii="Arial" w:cs="Arial" w:eastAsia="Arial" w:hAnsi="Arial"/>
          <w:sz w:val="18"/>
          <w:szCs w:val="18"/>
          <w:color w:val="252525"/>
        </w:rPr>
        <w:t>”), and we disclaim any opinion as to the laws of any other jurisdiction. We further disclaim any opinion as to any other statute, rule, regulation, ordinance, order or other promulgation of any other jurisdiction or any regional or local governmental body or as to any related judicial or administrative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3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252525"/>
        </w:rPr>
        <w:t>Based upon the foregoing and our examination of such questions of law as we have deemed necessary or appropriate for the purpose of this opinion, it is our opinion that</w:t>
      </w:r>
    </w:p>
    <w:p>
      <w:pPr>
        <w:spacing w:after="0" w:line="186" w:lineRule="exact"/>
        <w:rPr>
          <w:sz w:val="20"/>
          <w:szCs w:val="20"/>
          <w:color w:val="auto"/>
        </w:rPr>
      </w:pPr>
    </w:p>
    <w:p>
      <w:pPr>
        <w:jc w:val="both"/>
        <w:ind w:left="980" w:hanging="324"/>
        <w:spacing w:after="0" w:line="294" w:lineRule="auto"/>
        <w:tabs>
          <w:tab w:leader="none" w:pos="980" w:val="left"/>
        </w:tabs>
        <w:numPr>
          <w:ilvl w:val="0"/>
          <w:numId w:val="41"/>
        </w:numPr>
        <w:rPr>
          <w:rFonts w:ascii="Arial" w:cs="Arial" w:eastAsia="Arial" w:hAnsi="Arial"/>
          <w:sz w:val="16"/>
          <w:szCs w:val="16"/>
          <w:color w:val="252525"/>
        </w:rPr>
      </w:pPr>
      <w:r>
        <w:rPr>
          <w:rFonts w:ascii="Arial" w:cs="Arial" w:eastAsia="Arial" w:hAnsi="Arial"/>
          <w:sz w:val="16"/>
          <w:szCs w:val="16"/>
          <w:color w:val="252525"/>
        </w:rPr>
        <w:t>When (a) if the ATM Shares are to be certificated, certificates in the form required under the NRS representing the ATM Shares are duly executed and countersigned, and (b) the ATM Shares are registered in the Company’s share registry and delivered upon payment of the agreed upon consideration therefor, the ATM Shares will be duly authorized by all necessary corporate action of the Company, and when issued and sold in accordance with the provisions of the Sales Agreement, will be validly issued, fully paid and nonassessable, provided that the consideration therefor is not less than $0.001 per share of Common Stock.</w:t>
      </w:r>
    </w:p>
    <w:p>
      <w:pPr>
        <w:spacing w:after="0" w:line="169" w:lineRule="exact"/>
        <w:rPr>
          <w:sz w:val="20"/>
          <w:szCs w:val="20"/>
          <w:color w:val="auto"/>
        </w:rPr>
      </w:pPr>
    </w:p>
    <w:p>
      <w:pPr>
        <w:ind w:firstLine="648"/>
        <w:spacing w:after="0" w:line="331" w:lineRule="auto"/>
        <w:rPr>
          <w:sz w:val="20"/>
          <w:szCs w:val="20"/>
          <w:color w:val="auto"/>
        </w:rPr>
      </w:pPr>
      <w:r>
        <w:rPr>
          <w:rFonts w:ascii="Arial" w:cs="Arial" w:eastAsia="Arial" w:hAnsi="Arial"/>
          <w:sz w:val="16"/>
          <w:szCs w:val="16"/>
          <w:color w:val="252525"/>
        </w:rPr>
        <w:t>This opinion is rendered to you in connection with the Registration Statement and is not to be relied upon for any other purpose. We disclaim any obligation to advise you of any change of law that occurs, or any facts of which we may become aware, after the date of this opinion.</w:t>
      </w:r>
    </w:p>
    <w:p>
      <w:pPr>
        <w:spacing w:after="0" w:line="141"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This opinion is based upon our knowledge of the law and facts relevant to the transactions herein referenced as of the date hereof. We assume no duty to update or supplement this opinion to reflect any facts or circumstances that may hereafter come to our attention or to reflect any changes in any law that may hereafter occur or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252525"/>
        </w:rPr>
        <w:t xml:space="preserve">We hereby consent to the filing of this opinion as an exhibit to the Company’s Form 8-K dated May 14, 2021 and to the reference to our firm in the Prospectus under the heading “Legal Matters.” </w:t>
      </w:r>
      <w:r>
        <w:rPr>
          <w:rFonts w:ascii="Arial" w:cs="Arial" w:eastAsia="Arial" w:hAnsi="Arial"/>
          <w:sz w:val="16"/>
          <w:szCs w:val="16"/>
          <w:color w:val="000000"/>
        </w:rPr>
        <w:t>In giving this consent, we do not thereby admit that we are included in the category of persons whose consent is</w:t>
      </w:r>
      <w:r>
        <w:rPr>
          <w:rFonts w:ascii="Arial" w:cs="Arial" w:eastAsia="Arial" w:hAnsi="Arial"/>
          <w:sz w:val="16"/>
          <w:szCs w:val="16"/>
          <w:color w:val="252525"/>
        </w:rPr>
        <w:t xml:space="preserve"> </w:t>
      </w:r>
      <w:r>
        <w:rPr>
          <w:rFonts w:ascii="Arial" w:cs="Arial" w:eastAsia="Arial" w:hAnsi="Arial"/>
          <w:sz w:val="16"/>
          <w:szCs w:val="16"/>
          <w:color w:val="000000"/>
        </w:rPr>
        <w:t>required under Section 7 of the Securities Act or the rules and regulations of the Securities and Exchange Commission.</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WOODBURN AND WEDGE</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G. Pearson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Shawn G.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lowerLetter"/>
      <w:start w:val="1"/>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2"/>
    </w:lvl>
  </w:abstractNum>
  <w:abstractNum w:abstractNumId="4">
    <w:nsid w:val="2D1D5AE9"/>
    <w:multiLevelType w:val="hybridMultilevel"/>
    <w:lvl w:ilvl="0">
      <w:lvlJc w:val="left"/>
      <w:lvlText w:val="(%1)"/>
      <w:numFmt w:val="lowerLetter"/>
      <w:start w:val="3"/>
    </w:lvl>
  </w:abstractNum>
  <w:abstractNum w:abstractNumId="5">
    <w:nsid w:val="6763845E"/>
    <w:multiLevelType w:val="hybridMultilevel"/>
    <w:lvl w:ilvl="0">
      <w:lvlJc w:val="left"/>
      <w:lvlText w:val="(%1)"/>
      <w:numFmt w:val="lowerLetter"/>
      <w:start w:val="5"/>
    </w:lvl>
  </w:abstractNum>
  <w:abstractNum w:abstractNumId="6">
    <w:nsid w:val="75A2A8D4"/>
    <w:multiLevelType w:val="hybridMultilevel"/>
    <w:lvl w:ilvl="0">
      <w:lvlJc w:val="left"/>
      <w:lvlText w:val="(%1)"/>
      <w:numFmt w:val="lowerLetter"/>
      <w:start w:val="11"/>
    </w:lvl>
  </w:abstractNum>
  <w:abstractNum w:abstractNumId="7">
    <w:nsid w:val="8EDBDAB"/>
    <w:multiLevelType w:val="hybridMultilevel"/>
    <w:lvl w:ilvl="0">
      <w:lvlJc w:val="left"/>
      <w:lvlText w:val="(%1)"/>
      <w:numFmt w:val="lowerLetter"/>
      <w:start w:val="14"/>
    </w:lvl>
  </w:abstractNum>
  <w:abstractNum w:abstractNumId="8">
    <w:nsid w:val="79838CB2"/>
    <w:multiLevelType w:val="hybridMultilevel"/>
    <w:lvl w:ilvl="0">
      <w:lvlJc w:val="left"/>
      <w:lvlText w:val="(%1)"/>
      <w:numFmt w:val="lowerLetter"/>
      <w:start w:val="17"/>
    </w:lvl>
  </w:abstractNum>
  <w:abstractNum w:abstractNumId="9">
    <w:nsid w:val="4353D0CD"/>
    <w:multiLevelType w:val="hybridMultilevel"/>
    <w:lvl w:ilvl="0">
      <w:lvlJc w:val="left"/>
      <w:lvlText w:val="(%1)"/>
      <w:numFmt w:val="lowerLetter"/>
      <w:start w:val="20"/>
    </w:lvl>
  </w:abstractNum>
  <w:abstractNum w:abstractNumId="10">
    <w:nsid w:val="B03E0C6"/>
    <w:multiLevelType w:val="hybridMultilevel"/>
    <w:lvl w:ilvl="0">
      <w:lvlJc w:val="left"/>
      <w:lvlText w:val="(%1)"/>
      <w:numFmt w:val="lowerLetter"/>
      <w:start w:val="22"/>
    </w:lvl>
  </w:abstractNum>
  <w:abstractNum w:abstractNumId="11">
    <w:nsid w:val="189A769B"/>
    <w:multiLevelType w:val="hybridMultilevel"/>
    <w:lvl w:ilvl="0">
      <w:lvlJc w:val="left"/>
      <w:lvlText w:val="(%1)"/>
      <w:numFmt w:val="lowerLetter"/>
      <w:start w:val="27"/>
    </w:lvl>
  </w:abstractNum>
  <w:abstractNum w:abstractNumId="12">
    <w:nsid w:val="54E49EB4"/>
    <w:multiLevelType w:val="hybridMultilevel"/>
    <w:lvl w:ilvl="0">
      <w:lvlJc w:val="left"/>
      <w:lvlText w:val="(%1)"/>
      <w:numFmt w:val="lowerLetter"/>
      <w:start w:val="33"/>
    </w:lvl>
  </w:abstractNum>
  <w:abstractNum w:abstractNumId="13">
    <w:nsid w:val="71F32454"/>
    <w:multiLevelType w:val="hybridMultilevel"/>
    <w:lvl w:ilvl="0">
      <w:lvlJc w:val="left"/>
      <w:lvlText w:val="(%1)"/>
      <w:numFmt w:val="lowerLetter"/>
      <w:start w:val="38"/>
    </w:lvl>
  </w:abstractNum>
  <w:abstractNum w:abstractNumId="14">
    <w:nsid w:val="2CA88611"/>
    <w:multiLevelType w:val="hybridMultilevel"/>
    <w:lvl w:ilvl="0">
      <w:lvlJc w:val="left"/>
      <w:lvlText w:val="(%1)"/>
      <w:numFmt w:val="lowerLetter"/>
      <w:start w:val="43"/>
    </w:lvl>
  </w:abstractNum>
  <w:abstractNum w:abstractNumId="15">
    <w:nsid w:val="836C40E"/>
    <w:multiLevelType w:val="hybridMultilevel"/>
    <w:lvl w:ilvl="0">
      <w:lvlJc w:val="left"/>
      <w:lvlText w:val="(%1)"/>
      <w:numFmt w:val="lowerLetter"/>
      <w:start w:val="45"/>
    </w:lvl>
  </w:abstractNum>
  <w:abstractNum w:abstractNumId="16">
    <w:nsid w:val="2901D82"/>
    <w:multiLevelType w:val="hybridMultilevel"/>
    <w:lvl w:ilvl="0">
      <w:lvlJc w:val="left"/>
      <w:lvlText w:val="(%1)"/>
      <w:numFmt w:val="lowerLetter"/>
      <w:start w:val="1"/>
    </w:lvl>
    <w:lvl w:ilvl="1">
      <w:lvlJc w:val="left"/>
      <w:lvlText w:val="(%2)"/>
      <w:numFmt w:val="lowerLetter"/>
      <w:start w:val="9"/>
    </w:lvl>
  </w:abstractNum>
  <w:abstractNum w:abstractNumId="17">
    <w:nsid w:val="3A95F874"/>
    <w:multiLevelType w:val="hybridMultilevel"/>
    <w:lvl w:ilvl="0">
      <w:lvlJc w:val="left"/>
      <w:lvlText w:val="(%1)"/>
      <w:numFmt w:val="lowerRoman"/>
      <w:start w:val="2"/>
    </w:lvl>
  </w:abstractNum>
  <w:abstractNum w:abstractNumId="18">
    <w:nsid w:val="8138641"/>
    <w:multiLevelType w:val="hybridMultilevel"/>
    <w:lvl w:ilvl="0">
      <w:lvlJc w:val="left"/>
      <w:lvlText w:val="%1"/>
      <w:numFmt w:val="lowerLetter"/>
      <w:start w:val="1"/>
    </w:lvl>
    <w:lvl w:ilvl="1">
      <w:lvlJc w:val="left"/>
      <w:lvlText w:val="(%2)"/>
      <w:numFmt w:val="lowerRoman"/>
      <w:start w:val="7"/>
    </w:lvl>
  </w:abstractNum>
  <w:abstractNum w:abstractNumId="19">
    <w:nsid w:val="1E7FF521"/>
    <w:multiLevelType w:val="hybridMultilevel"/>
    <w:lvl w:ilvl="0">
      <w:lvlJc w:val="left"/>
      <w:lvlText w:val="(%1)"/>
      <w:numFmt w:val="lowerLetter"/>
      <w:start w:val="3"/>
    </w:lvl>
    <w:lvl w:ilvl="1">
      <w:lvlJc w:val="left"/>
      <w:lvlText w:val="%2"/>
      <w:numFmt w:val="lowerRoman"/>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2"/>
    </w:lvl>
  </w:abstractNum>
  <w:abstractNum w:abstractNumId="22">
    <w:nsid w:val="6CEAF087"/>
    <w:multiLevelType w:val="hybridMultilevel"/>
    <w:lvl w:ilvl="0">
      <w:lvlJc w:val="left"/>
      <w:lvlText w:val="(%1)"/>
      <w:numFmt w:val="lowerLetter"/>
      <w:start w:val="6"/>
    </w:lvl>
  </w:abstractNum>
  <w:abstractNum w:abstractNumId="23">
    <w:nsid w:val="22221A70"/>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24">
    <w:nsid w:val="4516DDE9"/>
    <w:multiLevelType w:val="hybridMultilevel"/>
    <w:lvl w:ilvl="0">
      <w:lvlJc w:val="left"/>
      <w:lvlText w:val="(%1)"/>
      <w:numFmt w:val="lowerLetter"/>
      <w:start w:val="2"/>
    </w:lvl>
    <w:lvl w:ilvl="1">
      <w:lvlJc w:val="left"/>
      <w:lvlText w:val="(%2)"/>
      <w:numFmt w:val="lowerLetter"/>
      <w:start w:val="12"/>
    </w:lvl>
    <w:lvl w:ilvl="2">
      <w:lvlJc w:val="left"/>
      <w:lvlText w:val="(%3)"/>
      <w:numFmt w:val="upperLetter"/>
      <w:start w:val="1"/>
    </w:lvl>
  </w:abstractNum>
  <w:abstractNum w:abstractNumId="25">
    <w:nsid w:val="3006C83E"/>
    <w:multiLevelType w:val="hybridMultilevel"/>
    <w:lvl w:ilvl="0">
      <w:lvlJc w:val="left"/>
      <w:lvlText w:val="(%1)"/>
      <w:numFmt w:val="upperLetter"/>
      <w:start w:val="2"/>
    </w:lvl>
  </w:abstractNum>
  <w:abstractNum w:abstractNumId="26">
    <w:nsid w:val="614FD4A1"/>
    <w:multiLevelType w:val="hybridMultilevel"/>
    <w:lvl w:ilvl="0">
      <w:lvlJc w:val="left"/>
      <w:lvlText w:val="(%1)"/>
      <w:numFmt w:val="lowerLetter"/>
      <w:start w:val="16"/>
    </w:lvl>
  </w:abstractNum>
  <w:abstractNum w:abstractNumId="27">
    <w:nsid w:val="419AC241"/>
    <w:multiLevelType w:val="hybridMultilevel"/>
    <w:lvl w:ilvl="0">
      <w:lvlJc w:val="left"/>
      <w:lvlText w:val="(%1)"/>
      <w:numFmt w:val="lowerLetter"/>
      <w:start w:val="18"/>
    </w:lvl>
  </w:abstractNum>
  <w:abstractNum w:abstractNumId="28">
    <w:nsid w:val="5577F8E1"/>
    <w:multiLevelType w:val="hybridMultilevel"/>
    <w:lvl w:ilvl="0">
      <w:lvlJc w:val="left"/>
      <w:lvlText w:val="(%1)"/>
      <w:numFmt w:val="lowerLetter"/>
      <w:start w:val="1"/>
    </w:lvl>
    <w:lvl w:ilvl="1">
      <w:lvlJc w:val="left"/>
      <w:lvlText w:val="(%2)"/>
      <w:numFmt w:val="lowerRoman"/>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2"/>
    </w:lvl>
  </w:abstractNum>
  <w:abstractNum w:abstractNumId="31">
    <w:nsid w:val="3804823E"/>
    <w:multiLevelType w:val="hybridMultilevel"/>
    <w:lvl w:ilvl="0">
      <w:lvlJc w:val="left"/>
      <w:lvlText w:val="(%1)"/>
      <w:numFmt w:val="lowerLetter"/>
      <w:start w:val="4"/>
    </w:lvl>
  </w:abstractNum>
  <w:abstractNum w:abstractNumId="32">
    <w:nsid w:val="77465F01"/>
    <w:multiLevelType w:val="hybridMultilevel"/>
    <w:lvl w:ilvl="0">
      <w:lvlJc w:val="left"/>
      <w:lvlText w:val="(%1)"/>
      <w:numFmt w:val="lowerLetter"/>
      <w:start w:val="1"/>
    </w:lvl>
    <w:lvl w:ilvl="1">
      <w:lvlJc w:val="left"/>
      <w:lvlText w:val="(%2)"/>
      <w:numFmt w:val="lowerRoman"/>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lvl w:ilvl="1">
      <w:lvlJc w:val="left"/>
      <w:lvlText w:val="(%2)"/>
      <w:numFmt w:val="lowerLetter"/>
      <w:start w:val="2"/>
    </w:lvl>
  </w:abstractNum>
  <w:abstractNum w:abstractNumId="35">
    <w:nsid w:val="2463B9EA"/>
    <w:multiLevelType w:val="hybridMultilevel"/>
    <w:lvl w:ilvl="0">
      <w:lvlJc w:val="left"/>
      <w:lvlText w:val="(%1)"/>
      <w:numFmt w:val="lowerLetter"/>
      <w:start w:val="22"/>
    </w:lvl>
    <w:lvl w:ilvl="1">
      <w:lvlJc w:val="left"/>
      <w:lvlText w:val="(%2)"/>
      <w:numFmt w:val="lowerLetter"/>
      <w:start w:val="3"/>
    </w:lvl>
  </w:abstractNum>
  <w:abstractNum w:abstractNumId="36">
    <w:nsid w:val="5E884ADC"/>
    <w:multiLevelType w:val="hybridMultilevel"/>
    <w:lvl w:ilvl="0">
      <w:lvlJc w:val="left"/>
      <w:lvlText w:val="(%1)"/>
      <w:numFmt w:val="lowerLetter"/>
      <w:start w:val="5"/>
    </w:lvl>
  </w:abstractNum>
  <w:abstractNum w:abstractNumId="37">
    <w:nsid w:val="51EAD36B"/>
    <w:multiLevelType w:val="hybridMultilevel"/>
    <w:lvl w:ilvl="0">
      <w:lvlJc w:val="left"/>
      <w:lvlText w:val="(%1)"/>
      <w:numFmt w:val="lowerRoman"/>
      <w:start w:val="1"/>
    </w:lvl>
  </w:abstractNum>
  <w:abstractNum w:abstractNumId="38">
    <w:nsid w:val="2D517796"/>
    <w:multiLevelType w:val="hybridMultilevel"/>
    <w:lvl w:ilvl="0">
      <w:lvlJc w:val="left"/>
      <w:lvlText w:val="(%1)"/>
      <w:numFmt w:val="lowerRoman"/>
      <w:start w:val="1"/>
    </w:lvl>
  </w:abstractNum>
  <w:abstractNum w:abstractNumId="39">
    <w:nsid w:val="580BD78F"/>
    <w:multiLevelType w:val="hybridMultilevel"/>
    <w:lvl w:ilvl="0">
      <w:lvlJc w:val="left"/>
      <w:lvlText w:val="(%1)"/>
      <w:numFmt w:val="lowerRoman"/>
      <w:start w:val="6"/>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2021-05-14T15:21:12Z</dcterms:created>
  <dcterms:modified xsi:type="dcterms:W3CDTF">2021-05-14T15:21:12Z</dcterms:modified>
</cp:coreProperties>
</file>