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2"/>
          <w:szCs w:val="12"/>
          <w:b w:val="1"/>
          <w:bCs w:val="1"/>
          <w:color w:val="auto"/>
        </w:rPr>
        <w:t>As filed with the Securities and Exchange Commission on July 3, 2014</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333-195901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-27305</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S-1/A</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(Amendment No. 2)</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REGISTRATION STATEMENT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UNDER</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THE SECURITIES ACT OF 1933</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80"/>
          </w:cols>
          <w:pgMar w:left="220" w:top="199" w:right="199" w:bottom="1440" w:gutter="0" w:footer="0" w:header="0"/>
        </w:sectPr>
      </w:pPr>
    </w:p>
    <w:p>
      <w:pPr>
        <w:spacing w:after="0" w:line="154" w:lineRule="exact"/>
        <w:rPr>
          <w:sz w:val="24"/>
          <w:szCs w:val="24"/>
          <w:color w:val="auto"/>
        </w:rPr>
      </w:pPr>
    </w:p>
    <w:p>
      <w:pPr>
        <w:ind w:left="1540"/>
        <w:spacing w:after="0"/>
        <w:rPr>
          <w:sz w:val="20"/>
          <w:szCs w:val="20"/>
          <w:color w:val="auto"/>
        </w:rPr>
      </w:pPr>
      <w:r>
        <w:rPr>
          <w:rFonts w:ascii="Arial" w:cs="Arial" w:eastAsia="Arial" w:hAnsi="Arial"/>
          <w:sz w:val="12"/>
          <w:szCs w:val="12"/>
          <w:b w:val="1"/>
          <w:bCs w:val="1"/>
          <w:color w:val="auto"/>
        </w:rPr>
        <w:t>Nevada</w:t>
      </w:r>
    </w:p>
    <w:p>
      <w:pPr>
        <w:spacing w:after="0" w:line="19" w:lineRule="exact"/>
        <w:rPr>
          <w:sz w:val="24"/>
          <w:szCs w:val="24"/>
          <w:color w:val="auto"/>
        </w:rPr>
      </w:pPr>
    </w:p>
    <w:p>
      <w:pPr>
        <w:ind w:left="1020"/>
        <w:spacing w:after="0"/>
        <w:rPr>
          <w:sz w:val="20"/>
          <w:szCs w:val="20"/>
          <w:color w:val="auto"/>
        </w:rPr>
      </w:pPr>
      <w:r>
        <w:rPr>
          <w:rFonts w:ascii="Arial" w:cs="Arial" w:eastAsia="Arial" w:hAnsi="Arial"/>
          <w:sz w:val="11"/>
          <w:szCs w:val="11"/>
          <w:color w:val="auto"/>
        </w:rPr>
        <w:t>(State or other jurisdiction of</w:t>
      </w:r>
    </w:p>
    <w:p>
      <w:pPr>
        <w:spacing w:after="0" w:line="18" w:lineRule="exact"/>
        <w:rPr>
          <w:sz w:val="24"/>
          <w:szCs w:val="24"/>
          <w:color w:val="auto"/>
        </w:rPr>
      </w:pPr>
    </w:p>
    <w:p>
      <w:pPr>
        <w:ind w:left="1000"/>
        <w:spacing w:after="0"/>
        <w:rPr>
          <w:sz w:val="20"/>
          <w:szCs w:val="20"/>
          <w:color w:val="auto"/>
        </w:rPr>
      </w:pPr>
      <w:r>
        <w:rPr>
          <w:rFonts w:ascii="Arial" w:cs="Arial" w:eastAsia="Arial" w:hAnsi="Arial"/>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2040"/>
        <w:spacing w:after="0"/>
        <w:rPr>
          <w:sz w:val="20"/>
          <w:szCs w:val="20"/>
          <w:color w:val="auto"/>
        </w:rPr>
      </w:pPr>
      <w:r>
        <w:rPr>
          <w:rFonts w:ascii="Arial" w:cs="Arial" w:eastAsia="Arial" w:hAnsi="Arial"/>
          <w:sz w:val="12"/>
          <w:szCs w:val="12"/>
          <w:b w:val="1"/>
          <w:bCs w:val="1"/>
          <w:color w:val="auto"/>
        </w:rPr>
        <w:t>3841</w:t>
      </w:r>
    </w:p>
    <w:p>
      <w:pPr>
        <w:spacing w:after="0" w:line="19" w:lineRule="exact"/>
        <w:rPr>
          <w:sz w:val="24"/>
          <w:szCs w:val="24"/>
          <w:color w:val="auto"/>
        </w:rPr>
      </w:pPr>
    </w:p>
    <w:p>
      <w:pPr>
        <w:jc w:val="center"/>
        <w:ind w:right="2040"/>
        <w:spacing w:after="0"/>
        <w:rPr>
          <w:sz w:val="20"/>
          <w:szCs w:val="20"/>
          <w:color w:val="auto"/>
        </w:rPr>
      </w:pPr>
      <w:r>
        <w:rPr>
          <w:rFonts w:ascii="Arial" w:cs="Arial" w:eastAsia="Arial" w:hAnsi="Arial"/>
          <w:sz w:val="11"/>
          <w:szCs w:val="11"/>
          <w:color w:val="auto"/>
        </w:rPr>
        <w:t>(Primary Standard Industrial</w:t>
      </w:r>
    </w:p>
    <w:p>
      <w:pPr>
        <w:spacing w:after="0" w:line="18" w:lineRule="exact"/>
        <w:rPr>
          <w:sz w:val="24"/>
          <w:szCs w:val="24"/>
          <w:color w:val="auto"/>
        </w:rPr>
      </w:pPr>
    </w:p>
    <w:p>
      <w:pPr>
        <w:jc w:val="center"/>
        <w:ind w:right="2040"/>
        <w:spacing w:after="0"/>
        <w:rPr>
          <w:sz w:val="20"/>
          <w:szCs w:val="20"/>
          <w:color w:val="auto"/>
        </w:rPr>
      </w:pPr>
      <w:r>
        <w:rPr>
          <w:rFonts w:ascii="Arial" w:cs="Arial" w:eastAsia="Arial" w:hAnsi="Arial"/>
          <w:sz w:val="10"/>
          <w:szCs w:val="10"/>
          <w:color w:val="auto"/>
        </w:rPr>
        <w:t>Classification Code Number)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1120"/>
        <w:spacing w:after="0"/>
        <w:rPr>
          <w:sz w:val="20"/>
          <w:szCs w:val="20"/>
          <w:color w:val="auto"/>
        </w:rPr>
      </w:pPr>
      <w:r>
        <w:rPr>
          <w:rFonts w:ascii="Arial" w:cs="Arial" w:eastAsia="Arial" w:hAnsi="Arial"/>
          <w:sz w:val="12"/>
          <w:szCs w:val="12"/>
          <w:b w:val="1"/>
          <w:bCs w:val="1"/>
          <w:color w:val="auto"/>
        </w:rPr>
        <w:t>20-5093315</w:t>
      </w:r>
    </w:p>
    <w:p>
      <w:pPr>
        <w:spacing w:after="0" w:line="19" w:lineRule="exact"/>
        <w:rPr>
          <w:sz w:val="24"/>
          <w:szCs w:val="24"/>
          <w:color w:val="auto"/>
        </w:rPr>
      </w:pPr>
    </w:p>
    <w:p>
      <w:pPr>
        <w:jc w:val="center"/>
        <w:ind w:right="1120"/>
        <w:spacing w:after="0"/>
        <w:rPr>
          <w:sz w:val="20"/>
          <w:szCs w:val="20"/>
          <w:color w:val="auto"/>
        </w:rPr>
      </w:pPr>
      <w:r>
        <w:rPr>
          <w:rFonts w:ascii="Arial" w:cs="Arial" w:eastAsia="Arial" w:hAnsi="Arial"/>
          <w:sz w:val="12"/>
          <w:szCs w:val="12"/>
          <w:color w:val="auto"/>
        </w:rPr>
        <w:t>(I.R.S. Employer</w:t>
      </w:r>
    </w:p>
    <w:p>
      <w:pPr>
        <w:spacing w:after="0" w:line="6" w:lineRule="exact"/>
        <w:rPr>
          <w:sz w:val="24"/>
          <w:szCs w:val="24"/>
          <w:color w:val="auto"/>
        </w:rPr>
      </w:pPr>
    </w:p>
    <w:p>
      <w:pPr>
        <w:jc w:val="center"/>
        <w:ind w:right="1120"/>
        <w:spacing w:after="0"/>
        <w:rPr>
          <w:sz w:val="20"/>
          <w:szCs w:val="20"/>
          <w:color w:val="auto"/>
        </w:rPr>
      </w:pPr>
      <w:r>
        <w:rPr>
          <w:rFonts w:ascii="Arial" w:cs="Arial" w:eastAsia="Arial" w:hAnsi="Arial"/>
          <w:sz w:val="11"/>
          <w:szCs w:val="11"/>
          <w:color w:val="auto"/>
        </w:rPr>
        <w:t>Identification Number)</w:t>
      </w:r>
    </w:p>
    <w:p>
      <w:pPr>
        <w:spacing w:after="0" w:line="167" w:lineRule="exact"/>
        <w:rPr>
          <w:sz w:val="24"/>
          <w:szCs w:val="24"/>
          <w:color w:val="auto"/>
        </w:rPr>
      </w:pPr>
    </w:p>
    <w:p>
      <w:pPr>
        <w:sectPr>
          <w:pgSz w:w="11900" w:h="16838" w:orient="portrait"/>
          <w:cols w:equalWidth="0" w:num="3">
            <w:col w:w="4380" w:space="720"/>
            <w:col w:w="3440" w:space="720"/>
            <w:col w:w="2220"/>
          </w:cols>
          <w:pgMar w:left="220" w:top="199" w:right="199" w:bottom="1440" w:gutter="0" w:footer="0" w:header="0"/>
          <w:type w:val="continuous"/>
        </w:sectPr>
      </w:pPr>
    </w:p>
    <w:p>
      <w:pPr>
        <w:ind w:left="5020"/>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4"/>
          <w:szCs w:val="24"/>
          <w:color w:val="auto"/>
        </w:rPr>
      </w:pPr>
    </w:p>
    <w:p>
      <w:pPr>
        <w:ind w:left="5220"/>
        <w:spacing w:after="0"/>
        <w:rPr>
          <w:sz w:val="20"/>
          <w:szCs w:val="20"/>
          <w:color w:val="auto"/>
        </w:rPr>
      </w:pPr>
      <w:r>
        <w:rPr>
          <w:rFonts w:ascii="Arial" w:cs="Arial" w:eastAsia="Arial" w:hAnsi="Arial"/>
          <w:sz w:val="12"/>
          <w:szCs w:val="12"/>
          <w:b w:val="1"/>
          <w:bCs w:val="1"/>
          <w:color w:val="auto"/>
        </w:rPr>
        <w:t>343 Allerton Avenue</w:t>
      </w:r>
    </w:p>
    <w:p>
      <w:pPr>
        <w:spacing w:after="0" w:line="6" w:lineRule="exact"/>
        <w:rPr>
          <w:sz w:val="24"/>
          <w:szCs w:val="24"/>
          <w:color w:val="auto"/>
        </w:rPr>
      </w:pPr>
    </w:p>
    <w:p>
      <w:pPr>
        <w:ind w:left="4920"/>
        <w:spacing w:after="0"/>
        <w:rPr>
          <w:sz w:val="20"/>
          <w:szCs w:val="20"/>
          <w:color w:val="auto"/>
        </w:rPr>
      </w:pPr>
      <w:r>
        <w:rPr>
          <w:rFonts w:ascii="Arial" w:cs="Arial" w:eastAsia="Arial" w:hAnsi="Arial"/>
          <w:sz w:val="12"/>
          <w:szCs w:val="12"/>
          <w:b w:val="1"/>
          <w:bCs w:val="1"/>
          <w:color w:val="auto"/>
        </w:rPr>
        <w:t>South San Francisco, CA 94080</w:t>
      </w:r>
    </w:p>
    <w:p>
      <w:pPr>
        <w:spacing w:after="0" w:line="6" w:lineRule="exact"/>
        <w:rPr>
          <w:sz w:val="24"/>
          <w:szCs w:val="24"/>
          <w:color w:val="auto"/>
        </w:rPr>
      </w:pPr>
    </w:p>
    <w:p>
      <w:pPr>
        <w:ind w:left="5360"/>
        <w:spacing w:after="0"/>
        <w:rPr>
          <w:sz w:val="20"/>
          <w:szCs w:val="20"/>
          <w:color w:val="auto"/>
        </w:rPr>
      </w:pPr>
      <w:r>
        <w:rPr>
          <w:rFonts w:ascii="Arial" w:cs="Arial" w:eastAsia="Arial" w:hAnsi="Arial"/>
          <w:sz w:val="12"/>
          <w:szCs w:val="12"/>
          <w:b w:val="1"/>
          <w:bCs w:val="1"/>
          <w:color w:val="auto"/>
        </w:rPr>
        <w:t>(650) 577-3600</w:t>
      </w:r>
    </w:p>
    <w:p>
      <w:pPr>
        <w:spacing w:after="0" w:line="6" w:lineRule="exact"/>
        <w:rPr>
          <w:sz w:val="24"/>
          <w:szCs w:val="24"/>
          <w:color w:val="auto"/>
        </w:rPr>
      </w:pPr>
    </w:p>
    <w:p>
      <w:pPr>
        <w:ind w:left="2960"/>
        <w:spacing w:after="0"/>
        <w:rPr>
          <w:sz w:val="20"/>
          <w:szCs w:val="20"/>
          <w:color w:val="auto"/>
        </w:rPr>
      </w:pPr>
      <w:r>
        <w:rPr>
          <w:rFonts w:ascii="Arial" w:cs="Arial" w:eastAsia="Arial" w:hAnsi="Arial"/>
          <w:sz w:val="10"/>
          <w:szCs w:val="10"/>
          <w:color w:val="auto"/>
        </w:rPr>
        <w:t>(Address, including zip code, and telephone number, including area code, of registrant’s principal executive offices)</w:t>
      </w:r>
    </w:p>
    <w:p>
      <w:pPr>
        <w:spacing w:after="0" w:line="178" w:lineRule="exact"/>
        <w:rPr>
          <w:sz w:val="24"/>
          <w:szCs w:val="24"/>
          <w:color w:val="auto"/>
        </w:rPr>
      </w:pPr>
    </w:p>
    <w:p>
      <w:pPr>
        <w:ind w:left="5180"/>
        <w:spacing w:after="0"/>
        <w:rPr>
          <w:sz w:val="20"/>
          <w:szCs w:val="20"/>
          <w:color w:val="auto"/>
        </w:rPr>
      </w:pPr>
      <w:r>
        <w:rPr>
          <w:rFonts w:ascii="Arial" w:cs="Arial" w:eastAsia="Arial" w:hAnsi="Arial"/>
          <w:sz w:val="12"/>
          <w:szCs w:val="12"/>
          <w:b w:val="1"/>
          <w:bCs w:val="1"/>
          <w:color w:val="auto"/>
        </w:rPr>
        <w:t>Shawn K. Singh, J.D.</w:t>
      </w:r>
    </w:p>
    <w:p>
      <w:pPr>
        <w:spacing w:after="0" w:line="19" w:lineRule="exact"/>
        <w:rPr>
          <w:sz w:val="24"/>
          <w:szCs w:val="24"/>
          <w:color w:val="auto"/>
        </w:rPr>
      </w:pPr>
    </w:p>
    <w:p>
      <w:pPr>
        <w:ind w:left="5140"/>
        <w:spacing w:after="0"/>
        <w:rPr>
          <w:sz w:val="20"/>
          <w:szCs w:val="20"/>
          <w:color w:val="auto"/>
        </w:rPr>
      </w:pPr>
      <w:r>
        <w:rPr>
          <w:rFonts w:ascii="Arial" w:cs="Arial" w:eastAsia="Arial" w:hAnsi="Arial"/>
          <w:sz w:val="12"/>
          <w:szCs w:val="12"/>
          <w:b w:val="1"/>
          <w:bCs w:val="1"/>
          <w:color w:val="auto"/>
        </w:rPr>
        <w:t>Chief Executive Officer</w:t>
      </w:r>
    </w:p>
    <w:p>
      <w:pPr>
        <w:spacing w:after="0" w:line="6" w:lineRule="exact"/>
        <w:rPr>
          <w:sz w:val="24"/>
          <w:szCs w:val="24"/>
          <w:color w:val="auto"/>
        </w:rPr>
      </w:pPr>
    </w:p>
    <w:p>
      <w:pPr>
        <w:ind w:left="5020"/>
        <w:spacing w:after="0"/>
        <w:rPr>
          <w:sz w:val="20"/>
          <w:szCs w:val="20"/>
          <w:color w:val="auto"/>
        </w:rPr>
      </w:pPr>
      <w:r>
        <w:rPr>
          <w:rFonts w:ascii="Arial" w:cs="Arial" w:eastAsia="Arial" w:hAnsi="Arial"/>
          <w:sz w:val="12"/>
          <w:szCs w:val="12"/>
          <w:b w:val="1"/>
          <w:bCs w:val="1"/>
          <w:color w:val="auto"/>
        </w:rPr>
        <w:t>VistaGen Therapeutics, Inc.</w:t>
      </w:r>
    </w:p>
    <w:p>
      <w:pPr>
        <w:spacing w:after="0" w:line="6" w:lineRule="exact"/>
        <w:rPr>
          <w:sz w:val="24"/>
          <w:szCs w:val="24"/>
          <w:color w:val="auto"/>
        </w:rPr>
      </w:pPr>
    </w:p>
    <w:p>
      <w:pPr>
        <w:ind w:left="5220"/>
        <w:spacing w:after="0"/>
        <w:rPr>
          <w:sz w:val="20"/>
          <w:szCs w:val="20"/>
          <w:color w:val="auto"/>
        </w:rPr>
      </w:pPr>
      <w:r>
        <w:rPr>
          <w:rFonts w:ascii="Arial" w:cs="Arial" w:eastAsia="Arial" w:hAnsi="Arial"/>
          <w:sz w:val="12"/>
          <w:szCs w:val="12"/>
          <w:b w:val="1"/>
          <w:bCs w:val="1"/>
          <w:color w:val="auto"/>
        </w:rPr>
        <w:t>343 Allerton Avenue</w:t>
      </w:r>
    </w:p>
    <w:p>
      <w:pPr>
        <w:spacing w:after="0" w:line="6" w:lineRule="exact"/>
        <w:rPr>
          <w:sz w:val="24"/>
          <w:szCs w:val="24"/>
          <w:color w:val="auto"/>
        </w:rPr>
      </w:pPr>
    </w:p>
    <w:p>
      <w:pPr>
        <w:ind w:left="4920"/>
        <w:spacing w:after="0"/>
        <w:rPr>
          <w:sz w:val="20"/>
          <w:szCs w:val="20"/>
          <w:color w:val="auto"/>
        </w:rPr>
      </w:pPr>
      <w:r>
        <w:rPr>
          <w:rFonts w:ascii="Arial" w:cs="Arial" w:eastAsia="Arial" w:hAnsi="Arial"/>
          <w:sz w:val="12"/>
          <w:szCs w:val="12"/>
          <w:b w:val="1"/>
          <w:bCs w:val="1"/>
          <w:color w:val="auto"/>
        </w:rPr>
        <w:t>South San Francisco, CA 94080</w:t>
      </w:r>
    </w:p>
    <w:p>
      <w:pPr>
        <w:spacing w:after="0" w:line="6" w:lineRule="exact"/>
        <w:rPr>
          <w:sz w:val="24"/>
          <w:szCs w:val="24"/>
          <w:color w:val="auto"/>
        </w:rPr>
      </w:pPr>
    </w:p>
    <w:p>
      <w:pPr>
        <w:ind w:left="5360"/>
        <w:spacing w:after="0"/>
        <w:rPr>
          <w:sz w:val="20"/>
          <w:szCs w:val="20"/>
          <w:color w:val="auto"/>
        </w:rPr>
      </w:pPr>
      <w:r>
        <w:rPr>
          <w:rFonts w:ascii="Arial" w:cs="Arial" w:eastAsia="Arial" w:hAnsi="Arial"/>
          <w:sz w:val="12"/>
          <w:szCs w:val="12"/>
          <w:b w:val="1"/>
          <w:bCs w:val="1"/>
          <w:color w:val="auto"/>
        </w:rPr>
        <w:t>(650) 577-3600</w:t>
      </w:r>
    </w:p>
    <w:p>
      <w:pPr>
        <w:spacing w:after="0" w:line="6" w:lineRule="exact"/>
        <w:rPr>
          <w:sz w:val="24"/>
          <w:szCs w:val="24"/>
          <w:color w:val="auto"/>
        </w:rPr>
      </w:pPr>
    </w:p>
    <w:p>
      <w:pPr>
        <w:ind w:left="3320"/>
        <w:spacing w:after="0"/>
        <w:rPr>
          <w:sz w:val="20"/>
          <w:szCs w:val="20"/>
          <w:color w:val="auto"/>
        </w:rPr>
      </w:pPr>
      <w:r>
        <w:rPr>
          <w:rFonts w:ascii="Arial" w:cs="Arial" w:eastAsia="Arial" w:hAnsi="Arial"/>
          <w:sz w:val="11"/>
          <w:szCs w:val="11"/>
          <w:color w:val="auto"/>
        </w:rPr>
        <w:t>(Name, address, including zip code, and telephone number, including area code, of agent for service)</w:t>
      </w:r>
    </w:p>
    <w:p>
      <w:pPr>
        <w:spacing w:after="0" w:line="171" w:lineRule="exact"/>
        <w:rPr>
          <w:sz w:val="24"/>
          <w:szCs w:val="24"/>
          <w:color w:val="auto"/>
        </w:rPr>
      </w:pPr>
    </w:p>
    <w:p>
      <w:pPr>
        <w:ind w:left="4940"/>
        <w:spacing w:after="0"/>
        <w:rPr>
          <w:sz w:val="20"/>
          <w:szCs w:val="20"/>
          <w:color w:val="auto"/>
        </w:rPr>
      </w:pPr>
      <w:r>
        <w:rPr>
          <w:rFonts w:ascii="Arial" w:cs="Arial" w:eastAsia="Arial" w:hAnsi="Arial"/>
          <w:sz w:val="12"/>
          <w:szCs w:val="12"/>
          <w:i w:val="1"/>
          <w:iCs w:val="1"/>
          <w:color w:val="auto"/>
        </w:rPr>
        <w:t>Copies of all communications to:</w:t>
      </w:r>
    </w:p>
    <w:p>
      <w:pPr>
        <w:sectPr>
          <w:pgSz w:w="11900" w:h="16838" w:orient="portrait"/>
          <w:cols w:equalWidth="0" w:num="1">
            <w:col w:w="11480"/>
          </w:cols>
          <w:pgMar w:left="220" w:top="199" w:right="199" w:bottom="1440" w:gutter="0" w:footer="0" w:header="0"/>
          <w:type w:val="continuous"/>
        </w:sectPr>
      </w:pPr>
    </w:p>
    <w:p>
      <w:pPr>
        <w:spacing w:after="0" w:line="164" w:lineRule="exact"/>
        <w:rPr>
          <w:sz w:val="24"/>
          <w:szCs w:val="24"/>
          <w:color w:val="auto"/>
        </w:rPr>
      </w:pPr>
    </w:p>
    <w:p>
      <w:pPr>
        <w:jc w:val="center"/>
        <w:ind w:right="1540"/>
        <w:spacing w:after="0"/>
        <w:rPr>
          <w:sz w:val="20"/>
          <w:szCs w:val="20"/>
          <w:color w:val="auto"/>
        </w:rPr>
      </w:pPr>
      <w:r>
        <w:rPr>
          <w:rFonts w:ascii="Arial" w:cs="Arial" w:eastAsia="Arial" w:hAnsi="Arial"/>
          <w:sz w:val="12"/>
          <w:szCs w:val="12"/>
          <w:b w:val="1"/>
          <w:bCs w:val="1"/>
          <w:color w:val="auto"/>
        </w:rPr>
        <w:t>Daniel W. Rumsey, Esq.</w:t>
      </w:r>
    </w:p>
    <w:p>
      <w:pPr>
        <w:spacing w:after="0" w:line="19" w:lineRule="exact"/>
        <w:rPr>
          <w:sz w:val="24"/>
          <w:szCs w:val="24"/>
          <w:color w:val="auto"/>
        </w:rPr>
      </w:pPr>
    </w:p>
    <w:p>
      <w:pPr>
        <w:jc w:val="center"/>
        <w:ind w:right="1540"/>
        <w:spacing w:after="0"/>
        <w:rPr>
          <w:sz w:val="20"/>
          <w:szCs w:val="20"/>
          <w:color w:val="auto"/>
        </w:rPr>
      </w:pPr>
      <w:r>
        <w:rPr>
          <w:rFonts w:ascii="Arial" w:cs="Arial" w:eastAsia="Arial" w:hAnsi="Arial"/>
          <w:sz w:val="12"/>
          <w:szCs w:val="12"/>
          <w:b w:val="1"/>
          <w:bCs w:val="1"/>
          <w:color w:val="auto"/>
        </w:rPr>
        <w:t>Jessica R. Sudweeks, Esq.</w:t>
      </w:r>
    </w:p>
    <w:p>
      <w:pPr>
        <w:spacing w:after="0" w:line="6" w:lineRule="exact"/>
        <w:rPr>
          <w:sz w:val="24"/>
          <w:szCs w:val="24"/>
          <w:color w:val="auto"/>
        </w:rPr>
      </w:pPr>
    </w:p>
    <w:p>
      <w:pPr>
        <w:jc w:val="center"/>
        <w:ind w:right="1540"/>
        <w:spacing w:after="0"/>
        <w:rPr>
          <w:sz w:val="20"/>
          <w:szCs w:val="20"/>
          <w:color w:val="auto"/>
        </w:rPr>
      </w:pPr>
      <w:r>
        <w:rPr>
          <w:rFonts w:ascii="Arial" w:cs="Arial" w:eastAsia="Arial" w:hAnsi="Arial"/>
          <w:sz w:val="11"/>
          <w:szCs w:val="11"/>
          <w:b w:val="1"/>
          <w:bCs w:val="1"/>
          <w:color w:val="auto"/>
        </w:rPr>
        <w:t>Disclosure Law Group, LLP</w:t>
      </w:r>
    </w:p>
    <w:p>
      <w:pPr>
        <w:spacing w:after="0" w:line="18" w:lineRule="exact"/>
        <w:rPr>
          <w:sz w:val="24"/>
          <w:szCs w:val="24"/>
          <w:color w:val="auto"/>
        </w:rPr>
      </w:pPr>
    </w:p>
    <w:p>
      <w:pPr>
        <w:jc w:val="center"/>
        <w:ind w:right="1540"/>
        <w:spacing w:after="0"/>
        <w:rPr>
          <w:sz w:val="20"/>
          <w:szCs w:val="20"/>
          <w:color w:val="auto"/>
        </w:rPr>
      </w:pPr>
      <w:r>
        <w:rPr>
          <w:rFonts w:ascii="Arial" w:cs="Arial" w:eastAsia="Arial" w:hAnsi="Arial"/>
          <w:sz w:val="10"/>
          <w:szCs w:val="10"/>
          <w:b w:val="1"/>
          <w:bCs w:val="1"/>
          <w:color w:val="auto"/>
        </w:rPr>
        <w:t>600 West Broadway, Suite 700</w:t>
      </w:r>
    </w:p>
    <w:p>
      <w:pPr>
        <w:spacing w:after="0" w:line="29" w:lineRule="exact"/>
        <w:rPr>
          <w:sz w:val="24"/>
          <w:szCs w:val="24"/>
          <w:color w:val="auto"/>
        </w:rPr>
      </w:pPr>
    </w:p>
    <w:p>
      <w:pPr>
        <w:jc w:val="center"/>
        <w:ind w:right="1540"/>
        <w:spacing w:after="0"/>
        <w:rPr>
          <w:sz w:val="20"/>
          <w:szCs w:val="20"/>
          <w:color w:val="auto"/>
        </w:rPr>
      </w:pPr>
      <w:r>
        <w:rPr>
          <w:rFonts w:ascii="Arial" w:cs="Arial" w:eastAsia="Arial" w:hAnsi="Arial"/>
          <w:sz w:val="11"/>
          <w:szCs w:val="11"/>
          <w:b w:val="1"/>
          <w:bCs w:val="1"/>
          <w:color w:val="auto"/>
        </w:rPr>
        <w:t>San Diego, California 92101</w:t>
      </w:r>
    </w:p>
    <w:p>
      <w:pPr>
        <w:spacing w:after="0" w:line="18" w:lineRule="exact"/>
        <w:rPr>
          <w:sz w:val="24"/>
          <w:szCs w:val="24"/>
          <w:color w:val="auto"/>
        </w:rPr>
      </w:pPr>
    </w:p>
    <w:p>
      <w:pPr>
        <w:jc w:val="center"/>
        <w:ind w:right="1540"/>
        <w:spacing w:after="0"/>
        <w:rPr>
          <w:sz w:val="20"/>
          <w:szCs w:val="20"/>
          <w:color w:val="auto"/>
        </w:rPr>
      </w:pPr>
      <w:r>
        <w:rPr>
          <w:rFonts w:ascii="Arial" w:cs="Arial" w:eastAsia="Arial" w:hAnsi="Arial"/>
          <w:sz w:val="12"/>
          <w:szCs w:val="12"/>
          <w:b w:val="1"/>
          <w:bCs w:val="1"/>
          <w:color w:val="auto"/>
        </w:rPr>
        <w:t>Tel: (619) 795-1134</w:t>
      </w:r>
    </w:p>
    <w:p>
      <w:pPr>
        <w:spacing w:after="0" w:line="6" w:lineRule="exact"/>
        <w:rPr>
          <w:sz w:val="24"/>
          <w:szCs w:val="24"/>
          <w:color w:val="auto"/>
        </w:rPr>
      </w:pPr>
    </w:p>
    <w:p>
      <w:pPr>
        <w:jc w:val="center"/>
        <w:ind w:right="1540"/>
        <w:spacing w:after="0"/>
        <w:rPr>
          <w:sz w:val="20"/>
          <w:szCs w:val="20"/>
          <w:color w:val="auto"/>
        </w:rPr>
      </w:pPr>
      <w:r>
        <w:rPr>
          <w:rFonts w:ascii="Arial" w:cs="Arial" w:eastAsia="Arial" w:hAnsi="Arial"/>
          <w:sz w:val="12"/>
          <w:szCs w:val="12"/>
          <w:b w:val="1"/>
          <w:bCs w:val="1"/>
          <w:color w:val="auto"/>
        </w:rPr>
        <w:t>Fax: (619) 330-2101</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2480"/>
        <w:spacing w:after="0"/>
        <w:rPr>
          <w:sz w:val="20"/>
          <w:szCs w:val="20"/>
          <w:color w:val="auto"/>
        </w:rPr>
      </w:pPr>
      <w:r>
        <w:rPr>
          <w:rFonts w:ascii="Arial" w:cs="Arial" w:eastAsia="Arial" w:hAnsi="Arial"/>
          <w:sz w:val="12"/>
          <w:szCs w:val="12"/>
          <w:b w:val="1"/>
          <w:bCs w:val="1"/>
          <w:color w:val="auto"/>
        </w:rPr>
        <w:t>Harvey Kesner, Esq.</w:t>
      </w:r>
    </w:p>
    <w:p>
      <w:pPr>
        <w:spacing w:after="0" w:line="19" w:lineRule="exact"/>
        <w:rPr>
          <w:sz w:val="24"/>
          <w:szCs w:val="24"/>
          <w:color w:val="auto"/>
        </w:rPr>
      </w:pPr>
    </w:p>
    <w:p>
      <w:pPr>
        <w:jc w:val="center"/>
        <w:ind w:right="2480"/>
        <w:spacing w:after="0"/>
        <w:rPr>
          <w:sz w:val="20"/>
          <w:szCs w:val="20"/>
          <w:color w:val="auto"/>
        </w:rPr>
      </w:pPr>
      <w:r>
        <w:rPr>
          <w:rFonts w:ascii="Arial" w:cs="Arial" w:eastAsia="Arial" w:hAnsi="Arial"/>
          <w:sz w:val="12"/>
          <w:szCs w:val="12"/>
          <w:b w:val="1"/>
          <w:bCs w:val="1"/>
          <w:color w:val="auto"/>
        </w:rPr>
        <w:t>Tara Guarneri-Ferrara, Esq.</w:t>
      </w:r>
    </w:p>
    <w:p>
      <w:pPr>
        <w:spacing w:after="0" w:line="6" w:lineRule="exact"/>
        <w:rPr>
          <w:sz w:val="24"/>
          <w:szCs w:val="24"/>
          <w:color w:val="auto"/>
        </w:rPr>
      </w:pPr>
    </w:p>
    <w:p>
      <w:pPr>
        <w:jc w:val="center"/>
        <w:ind w:right="2480"/>
        <w:spacing w:after="0"/>
        <w:rPr>
          <w:sz w:val="20"/>
          <w:szCs w:val="20"/>
          <w:color w:val="auto"/>
        </w:rPr>
      </w:pPr>
      <w:r>
        <w:rPr>
          <w:rFonts w:ascii="Arial" w:cs="Arial" w:eastAsia="Arial" w:hAnsi="Arial"/>
          <w:sz w:val="10"/>
          <w:szCs w:val="10"/>
          <w:b w:val="1"/>
          <w:bCs w:val="1"/>
          <w:color w:val="auto"/>
        </w:rPr>
        <w:t>Sichenzia Ross Friedman Ference LLP</w:t>
      </w:r>
    </w:p>
    <w:p>
      <w:pPr>
        <w:spacing w:after="0" w:line="29" w:lineRule="exact"/>
        <w:rPr>
          <w:sz w:val="24"/>
          <w:szCs w:val="24"/>
          <w:color w:val="auto"/>
        </w:rPr>
      </w:pPr>
    </w:p>
    <w:p>
      <w:pPr>
        <w:jc w:val="center"/>
        <w:ind w:right="2480"/>
        <w:spacing w:after="0"/>
        <w:rPr>
          <w:sz w:val="20"/>
          <w:szCs w:val="20"/>
          <w:color w:val="auto"/>
        </w:rPr>
      </w:pPr>
      <w:r>
        <w:rPr>
          <w:rFonts w:ascii="Arial" w:cs="Arial" w:eastAsia="Arial" w:hAnsi="Arial"/>
          <w:sz w:val="12"/>
          <w:szCs w:val="12"/>
          <w:b w:val="1"/>
          <w:bCs w:val="1"/>
          <w:color w:val="auto"/>
        </w:rPr>
        <w:t>61 Broadway, 32</w:t>
      </w:r>
      <w:r>
        <w:rPr>
          <w:rFonts w:ascii="Arial" w:cs="Arial" w:eastAsia="Arial" w:hAnsi="Arial"/>
          <w:sz w:val="8"/>
          <w:szCs w:val="8"/>
          <w:b w:val="1"/>
          <w:bCs w:val="1"/>
          <w:color w:val="auto"/>
        </w:rPr>
        <w:t>nd</w:t>
      </w:r>
      <w:r>
        <w:rPr>
          <w:rFonts w:ascii="Arial" w:cs="Arial" w:eastAsia="Arial" w:hAnsi="Arial"/>
          <w:sz w:val="12"/>
          <w:szCs w:val="12"/>
          <w:b w:val="1"/>
          <w:bCs w:val="1"/>
          <w:color w:val="auto"/>
        </w:rPr>
        <w:t xml:space="preserve"> Floor</w:t>
      </w:r>
    </w:p>
    <w:p>
      <w:pPr>
        <w:spacing w:after="0" w:line="6" w:lineRule="exact"/>
        <w:rPr>
          <w:sz w:val="24"/>
          <w:szCs w:val="24"/>
          <w:color w:val="auto"/>
        </w:rPr>
      </w:pPr>
    </w:p>
    <w:p>
      <w:pPr>
        <w:jc w:val="center"/>
        <w:ind w:right="2480"/>
        <w:spacing w:after="0"/>
        <w:rPr>
          <w:sz w:val="20"/>
          <w:szCs w:val="20"/>
          <w:color w:val="auto"/>
        </w:rPr>
      </w:pPr>
      <w:r>
        <w:rPr>
          <w:rFonts w:ascii="Arial" w:cs="Arial" w:eastAsia="Arial" w:hAnsi="Arial"/>
          <w:sz w:val="12"/>
          <w:szCs w:val="12"/>
          <w:b w:val="1"/>
          <w:bCs w:val="1"/>
          <w:color w:val="auto"/>
        </w:rPr>
        <w:t>New York, New York 10006</w:t>
      </w:r>
    </w:p>
    <w:p>
      <w:pPr>
        <w:spacing w:after="0" w:line="6" w:lineRule="exact"/>
        <w:rPr>
          <w:sz w:val="24"/>
          <w:szCs w:val="24"/>
          <w:color w:val="auto"/>
        </w:rPr>
      </w:pPr>
    </w:p>
    <w:p>
      <w:pPr>
        <w:jc w:val="center"/>
        <w:ind w:right="2480"/>
        <w:spacing w:after="0"/>
        <w:rPr>
          <w:sz w:val="20"/>
          <w:szCs w:val="20"/>
          <w:color w:val="auto"/>
        </w:rPr>
      </w:pPr>
      <w:r>
        <w:rPr>
          <w:rFonts w:ascii="Arial" w:cs="Arial" w:eastAsia="Arial" w:hAnsi="Arial"/>
          <w:sz w:val="12"/>
          <w:szCs w:val="12"/>
          <w:b w:val="1"/>
          <w:bCs w:val="1"/>
          <w:color w:val="auto"/>
        </w:rPr>
        <w:t>Tel: (212) 930-9700</w:t>
      </w:r>
    </w:p>
    <w:p>
      <w:pPr>
        <w:spacing w:after="0" w:line="6" w:lineRule="exact"/>
        <w:rPr>
          <w:sz w:val="24"/>
          <w:szCs w:val="24"/>
          <w:color w:val="auto"/>
        </w:rPr>
      </w:pPr>
    </w:p>
    <w:p>
      <w:pPr>
        <w:jc w:val="center"/>
        <w:ind w:right="2480"/>
        <w:spacing w:after="0"/>
        <w:rPr>
          <w:sz w:val="20"/>
          <w:szCs w:val="20"/>
          <w:color w:val="auto"/>
        </w:rPr>
      </w:pPr>
      <w:r>
        <w:rPr>
          <w:rFonts w:ascii="Arial" w:cs="Arial" w:eastAsia="Arial" w:hAnsi="Arial"/>
          <w:sz w:val="12"/>
          <w:szCs w:val="12"/>
          <w:b w:val="1"/>
          <w:bCs w:val="1"/>
          <w:color w:val="auto"/>
        </w:rPr>
        <w:t>Fax: (212) 930-9725</w:t>
      </w:r>
    </w:p>
    <w:p>
      <w:pPr>
        <w:spacing w:after="0" w:line="155" w:lineRule="exact"/>
        <w:rPr>
          <w:sz w:val="24"/>
          <w:szCs w:val="24"/>
          <w:color w:val="auto"/>
        </w:rPr>
      </w:pPr>
    </w:p>
    <w:p>
      <w:pPr>
        <w:sectPr>
          <w:pgSz w:w="11900" w:h="16838" w:orient="portrait"/>
          <w:cols w:equalWidth="0" w:num="2">
            <w:col w:w="6280" w:space="720"/>
            <w:col w:w="4480"/>
          </w:cols>
          <w:pgMar w:left="220" w:top="199" w:right="199" w:bottom="1440" w:gutter="0" w:footer="0" w:header="0"/>
          <w:type w:val="continuous"/>
        </w:sectPr>
      </w:pPr>
    </w:p>
    <w:p>
      <w:pPr>
        <w:spacing w:after="0"/>
        <w:rPr>
          <w:sz w:val="20"/>
          <w:szCs w:val="20"/>
          <w:color w:val="auto"/>
        </w:rPr>
      </w:pPr>
      <w:r>
        <w:rPr>
          <w:rFonts w:ascii="Arial" w:cs="Arial" w:eastAsia="Arial" w:hAnsi="Arial"/>
          <w:sz w:val="10"/>
          <w:szCs w:val="10"/>
          <w:b w:val="1"/>
          <w:bCs w:val="1"/>
          <w:color w:val="auto"/>
        </w:rPr>
        <w:t xml:space="preserve">Approximate date of commencement of proposed sale to the public: </w:t>
      </w:r>
      <w:r>
        <w:rPr>
          <w:rFonts w:ascii="Arial" w:cs="Arial" w:eastAsia="Arial" w:hAnsi="Arial"/>
          <w:sz w:val="10"/>
          <w:szCs w:val="10"/>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297815</wp:posOffset>
            </wp:positionV>
            <wp:extent cx="729932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99" w:right="19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check the following box. [X]</w:t>
      </w:r>
    </w:p>
    <w:p>
      <w:pPr>
        <w:spacing w:after="0" w:line="168" w:lineRule="exact"/>
        <w:rPr>
          <w:sz w:val="20"/>
          <w:szCs w:val="20"/>
          <w:color w:val="auto"/>
        </w:rPr>
      </w:pPr>
    </w:p>
    <w:p>
      <w:pPr>
        <w:ind w:left="20" w:right="20"/>
        <w:spacing w:after="0" w:line="276"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33" w:lineRule="exact"/>
        <w:rPr>
          <w:sz w:val="20"/>
          <w:szCs w:val="20"/>
          <w:color w:val="auto"/>
        </w:rPr>
      </w:pPr>
    </w:p>
    <w:p>
      <w:pPr>
        <w:ind w:left="20"/>
        <w:spacing w:after="0" w:line="276"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33" w:lineRule="exact"/>
        <w:rPr>
          <w:sz w:val="20"/>
          <w:szCs w:val="20"/>
          <w:color w:val="auto"/>
        </w:rPr>
      </w:pPr>
    </w:p>
    <w:p>
      <w:pPr>
        <w:ind w:left="20" w:right="20"/>
        <w:spacing w:after="0" w:line="276" w:lineRule="auto"/>
        <w:rPr>
          <w:sz w:val="20"/>
          <w:szCs w:val="20"/>
          <w:color w:val="auto"/>
        </w:rPr>
      </w:pPr>
      <w:r>
        <w:rPr>
          <w:rFonts w:ascii="Arial" w:cs="Arial" w:eastAsia="Arial" w:hAnsi="Arial"/>
          <w:sz w:val="12"/>
          <w:szCs w:val="12"/>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33" w:lineRule="exact"/>
        <w:rPr>
          <w:sz w:val="20"/>
          <w:szCs w:val="20"/>
          <w:color w:val="auto"/>
        </w:rPr>
      </w:pPr>
    </w:p>
    <w:p>
      <w:pPr>
        <w:ind w:left="20"/>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60" w:type="dxa"/>
            <w:vAlign w:val="bottom"/>
            <w:gridSpan w:val="2"/>
          </w:tcPr>
          <w:p>
            <w:pPr>
              <w:ind w:left="20"/>
              <w:spacing w:after="0"/>
              <w:rPr>
                <w:sz w:val="20"/>
                <w:szCs w:val="20"/>
                <w:color w:val="auto"/>
              </w:rPr>
            </w:pPr>
            <w:r>
              <w:rPr>
                <w:rFonts w:ascii="Arial" w:cs="Arial" w:eastAsia="Arial" w:hAnsi="Arial"/>
                <w:sz w:val="12"/>
                <w:szCs w:val="12"/>
                <w:color w:val="auto"/>
              </w:rPr>
              <w:t>Large accelerated filer</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160"/>
              <w:spacing w:after="0"/>
              <w:rPr>
                <w:sz w:val="20"/>
                <w:szCs w:val="20"/>
                <w:color w:val="auto"/>
              </w:rPr>
            </w:pPr>
            <w:r>
              <w:rPr>
                <w:rFonts w:ascii="Arial" w:cs="Arial" w:eastAsia="Arial" w:hAnsi="Arial"/>
                <w:sz w:val="12"/>
                <w:szCs w:val="12"/>
                <w:color w:val="auto"/>
              </w:rPr>
              <w:t>]</w:t>
            </w:r>
          </w:p>
        </w:tc>
        <w:tc>
          <w:tcPr>
            <w:tcW w:w="3960" w:type="dxa"/>
            <w:vAlign w:val="bottom"/>
          </w:tcPr>
          <w:p>
            <w:pPr>
              <w:ind w:left="1240"/>
              <w:spacing w:after="0"/>
              <w:rPr>
                <w:sz w:val="20"/>
                <w:szCs w:val="20"/>
                <w:color w:val="auto"/>
              </w:rPr>
            </w:pPr>
            <w:r>
              <w:rPr>
                <w:rFonts w:ascii="Arial" w:cs="Arial" w:eastAsia="Arial" w:hAnsi="Arial"/>
                <w:sz w:val="12"/>
                <w:szCs w:val="12"/>
                <w:color w:val="auto"/>
              </w:rPr>
              <w:t>Accelerated filer</w:t>
            </w:r>
          </w:p>
        </w:tc>
        <w:tc>
          <w:tcPr>
            <w:tcW w:w="2680" w:type="dxa"/>
            <w:vAlign w:val="bottom"/>
          </w:tcPr>
          <w:p>
            <w:pPr>
              <w:ind w:left="1420"/>
              <w:spacing w:after="0"/>
              <w:rPr>
                <w:sz w:val="20"/>
                <w:szCs w:val="20"/>
                <w:color w:val="auto"/>
              </w:rPr>
            </w:pPr>
            <w:r>
              <w:rPr>
                <w:rFonts w:ascii="Arial" w:cs="Arial" w:eastAsia="Arial" w:hAnsi="Arial"/>
                <w:sz w:val="12"/>
                <w:szCs w:val="12"/>
                <w:color w:val="auto"/>
              </w:rPr>
              <w:t>[  ]</w:t>
            </w: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2"/>
                <w:szCs w:val="12"/>
                <w:color w:val="auto"/>
              </w:rPr>
              <w:t>Non-accelerated filer</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160"/>
              <w:spacing w:after="0"/>
              <w:rPr>
                <w:sz w:val="20"/>
                <w:szCs w:val="20"/>
                <w:color w:val="auto"/>
              </w:rPr>
            </w:pPr>
            <w:r>
              <w:rPr>
                <w:rFonts w:ascii="Arial" w:cs="Arial" w:eastAsia="Arial" w:hAnsi="Arial"/>
                <w:sz w:val="12"/>
                <w:szCs w:val="12"/>
                <w:color w:val="auto"/>
              </w:rPr>
              <w:t>]</w:t>
            </w:r>
          </w:p>
        </w:tc>
        <w:tc>
          <w:tcPr>
            <w:tcW w:w="3960" w:type="dxa"/>
            <w:vAlign w:val="bottom"/>
          </w:tcPr>
          <w:p>
            <w:pPr>
              <w:ind w:left="1240"/>
              <w:spacing w:after="0"/>
              <w:rPr>
                <w:sz w:val="20"/>
                <w:szCs w:val="20"/>
                <w:color w:val="auto"/>
              </w:rPr>
            </w:pPr>
            <w:r>
              <w:rPr>
                <w:rFonts w:ascii="Arial" w:cs="Arial" w:eastAsia="Arial" w:hAnsi="Arial"/>
                <w:sz w:val="12"/>
                <w:szCs w:val="12"/>
                <w:color w:val="auto"/>
              </w:rPr>
              <w:t>Smaller reporting company</w:t>
            </w:r>
          </w:p>
        </w:tc>
        <w:tc>
          <w:tcPr>
            <w:tcW w:w="2680" w:type="dxa"/>
            <w:vAlign w:val="bottom"/>
          </w:tcPr>
          <w:p>
            <w:pPr>
              <w:ind w:left="1420"/>
              <w:spacing w:after="0"/>
              <w:rPr>
                <w:sz w:val="20"/>
                <w:szCs w:val="20"/>
                <w:color w:val="auto"/>
              </w:rPr>
            </w:pPr>
            <w:r>
              <w:rPr>
                <w:rFonts w:ascii="Arial" w:cs="Arial" w:eastAsia="Arial" w:hAnsi="Arial"/>
                <w:sz w:val="12"/>
                <w:szCs w:val="12"/>
                <w:color w:val="auto"/>
              </w:rPr>
              <w:t>[X]</w:t>
            </w:r>
          </w:p>
        </w:tc>
      </w:tr>
      <w:tr>
        <w:trPr>
          <w:trHeight w:val="153"/>
        </w:trPr>
        <w:tc>
          <w:tcPr>
            <w:tcW w:w="2860" w:type="dxa"/>
            <w:vAlign w:val="bottom"/>
            <w:gridSpan w:val="2"/>
          </w:tcPr>
          <w:p>
            <w:pPr>
              <w:ind w:left="20"/>
              <w:spacing w:after="0"/>
              <w:rPr>
                <w:sz w:val="20"/>
                <w:szCs w:val="20"/>
                <w:color w:val="auto"/>
              </w:rPr>
            </w:pPr>
            <w:r>
              <w:rPr>
                <w:rFonts w:ascii="Arial" w:cs="Arial" w:eastAsia="Arial" w:hAnsi="Arial"/>
                <w:sz w:val="12"/>
                <w:szCs w:val="12"/>
                <w:color w:val="auto"/>
              </w:rPr>
              <w:t>(Do not check if a smaller reporting company)</w:t>
            </w: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680" w:type="dxa"/>
            <w:vAlign w:val="bottom"/>
          </w:tcPr>
          <w:p>
            <w:pPr>
              <w:spacing w:after="0"/>
              <w:rPr>
                <w:sz w:val="13"/>
                <w:szCs w:val="13"/>
                <w:color w:val="auto"/>
              </w:rPr>
            </w:pPr>
          </w:p>
        </w:tc>
      </w:tr>
      <w:tr>
        <w:trPr>
          <w:trHeight w:val="205"/>
        </w:trPr>
        <w:tc>
          <w:tcPr>
            <w:tcW w:w="20" w:type="dxa"/>
            <w:vAlign w:val="bottom"/>
            <w:tcBorders>
              <w:bottom w:val="single" w:sz="8" w:color="808080"/>
            </w:tcBorders>
          </w:tcPr>
          <w:p>
            <w:pPr>
              <w:spacing w:after="0"/>
              <w:rPr>
                <w:sz w:val="17"/>
                <w:szCs w:val="17"/>
                <w:color w:val="auto"/>
              </w:rPr>
            </w:pPr>
          </w:p>
        </w:tc>
        <w:tc>
          <w:tcPr>
            <w:tcW w:w="28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1320" w:type="dxa"/>
            <w:vAlign w:val="bottom"/>
            <w:tcBorders>
              <w:bottom w:val="single" w:sz="8" w:color="808080"/>
            </w:tcBorders>
          </w:tcPr>
          <w:p>
            <w:pPr>
              <w:spacing w:after="0"/>
              <w:rPr>
                <w:sz w:val="17"/>
                <w:szCs w:val="17"/>
                <w:color w:val="auto"/>
              </w:rPr>
            </w:pPr>
          </w:p>
        </w:tc>
        <w:tc>
          <w:tcPr>
            <w:tcW w:w="3960" w:type="dxa"/>
            <w:vAlign w:val="bottom"/>
            <w:tcBorders>
              <w:bottom w:val="single" w:sz="8" w:color="808080"/>
            </w:tcBorders>
          </w:tcPr>
          <w:p>
            <w:pPr>
              <w:spacing w:after="0"/>
              <w:rPr>
                <w:sz w:val="17"/>
                <w:szCs w:val="17"/>
                <w:color w:val="auto"/>
              </w:rPr>
            </w:pPr>
          </w:p>
        </w:tc>
        <w:tc>
          <w:tcPr>
            <w:tcW w:w="2680" w:type="dxa"/>
            <w:vAlign w:val="bottom"/>
            <w:tcBorders>
              <w:bottom w:val="single" w:sz="8" w:color="808080"/>
            </w:tcBorders>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2840" w:type="dxa"/>
            <w:vAlign w:val="bottom"/>
            <w:tcBorders>
              <w:bottom w:val="single" w:sz="8" w:color="808080"/>
            </w:tcBorders>
          </w:tcPr>
          <w:p>
            <w:pPr>
              <w:spacing w:after="0"/>
              <w:rPr>
                <w:sz w:val="20"/>
                <w:szCs w:val="20"/>
                <w:color w:val="auto"/>
              </w:rPr>
            </w:pPr>
          </w:p>
        </w:tc>
        <w:tc>
          <w:tcPr>
            <w:tcW w:w="680" w:type="dxa"/>
            <w:vAlign w:val="bottom"/>
            <w:tcBorders>
              <w:bottom w:val="single" w:sz="8" w:color="808080"/>
            </w:tcBorders>
          </w:tcPr>
          <w:p>
            <w:pPr>
              <w:spacing w:after="0"/>
              <w:rPr>
                <w:sz w:val="20"/>
                <w:szCs w:val="20"/>
                <w:color w:val="auto"/>
              </w:rPr>
            </w:pPr>
          </w:p>
        </w:tc>
        <w:tc>
          <w:tcPr>
            <w:tcW w:w="1320" w:type="dxa"/>
            <w:vAlign w:val="bottom"/>
            <w:tcBorders>
              <w:bottom w:val="single" w:sz="8" w:color="808080"/>
            </w:tcBorders>
          </w:tcPr>
          <w:p>
            <w:pPr>
              <w:spacing w:after="0"/>
              <w:rPr>
                <w:sz w:val="20"/>
                <w:szCs w:val="20"/>
                <w:color w:val="auto"/>
              </w:rPr>
            </w:pPr>
          </w:p>
        </w:tc>
        <w:tc>
          <w:tcPr>
            <w:tcW w:w="3960" w:type="dxa"/>
            <w:vAlign w:val="bottom"/>
            <w:tcBorders>
              <w:bottom w:val="single" w:sz="8" w:color="808080"/>
            </w:tcBorders>
          </w:tcPr>
          <w:p>
            <w:pPr>
              <w:spacing w:after="0"/>
              <w:rPr>
                <w:sz w:val="20"/>
                <w:szCs w:val="20"/>
                <w:color w:val="auto"/>
              </w:rPr>
            </w:pPr>
          </w:p>
        </w:tc>
        <w:tc>
          <w:tcPr>
            <w:tcW w:w="268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-194945</wp:posOffset>
            </wp:positionV>
            <wp:extent cx="12700" cy="32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323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-194945</wp:posOffset>
            </wp:positionV>
            <wp:extent cx="12700"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32385"/>
                    </a:xfrm>
                    <a:prstGeom prst="rect">
                      <a:avLst/>
                    </a:prstGeom>
                    <a:noFill/>
                  </pic:spPr>
                </pic:pic>
              </a:graphicData>
            </a:graphic>
          </wp:anchor>
        </w:drawing>
        <w:drawing>
          <wp:anchor simplePos="0" relativeHeight="251657728" behindDoc="1" locked="0" layoutInCell="0" allowOverlap="1">
            <wp:simplePos x="0" y="0"/>
            <wp:positionH relativeFrom="column">
              <wp:posOffset>7290435</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-11430</wp:posOffset>
            </wp:positionV>
            <wp:extent cx="12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00"/>
          </w:cols>
          <w:pgMar w:left="200" w:top="392" w:right="199" w:bottom="1440" w:gutter="0" w:footer="0" w:header="0"/>
        </w:sectPr>
      </w:pPr>
    </w:p>
    <w:bookmarkStart w:id="2" w:name="page3"/>
    <w:bookmarkEnd w:id="2"/>
    <w:tbl>
      <w:tblPr>
        <w:tblLayout w:type="fixed"/>
        <w:tblInd w:w="8" w:type="dxa"/>
        <w:tblCellMar>
          <w:top w:w="0" w:type="dxa"/>
          <w:left w:w="0" w:type="dxa"/>
          <w:bottom w:w="0" w:type="dxa"/>
          <w:right w:w="0" w:type="dxa"/>
        </w:tblCellMar>
      </w:tblPr>
      <w:tr>
        <w:trPr>
          <w:trHeight w:val="157"/>
        </w:trPr>
        <w:tc>
          <w:tcPr>
            <w:tcW w:w="8960" w:type="dxa"/>
            <w:vAlign w:val="bottom"/>
          </w:tcPr>
          <w:p>
            <w:pPr>
              <w:ind w:left="4580"/>
              <w:spacing w:after="0"/>
              <w:rPr>
                <w:sz w:val="20"/>
                <w:szCs w:val="20"/>
                <w:color w:val="auto"/>
              </w:rPr>
            </w:pPr>
            <w:r>
              <w:rPr>
                <w:rFonts w:ascii="Arial" w:cs="Arial" w:eastAsia="Arial" w:hAnsi="Arial"/>
                <w:sz w:val="12"/>
                <w:szCs w:val="12"/>
                <w:b w:val="1"/>
                <w:bCs w:val="1"/>
                <w:color w:val="auto"/>
              </w:rPr>
              <w:t>CALCULATION OF REGISTRATION FEE</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3"/>
        </w:trPr>
        <w:tc>
          <w:tcPr>
            <w:tcW w:w="89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2"/>
              </w:rPr>
              <w:t>Proposed Maximum</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960" w:type="dxa"/>
            <w:vAlign w:val="bottom"/>
          </w:tcPr>
          <w:p>
            <w:pPr>
              <w:jc w:val="center"/>
              <w:spacing w:after="0"/>
              <w:rPr>
                <w:sz w:val="20"/>
                <w:szCs w:val="20"/>
                <w:color w:val="auto"/>
              </w:rPr>
            </w:pPr>
            <w:r>
              <w:rPr>
                <w:rFonts w:ascii="Arial" w:cs="Arial" w:eastAsia="Arial" w:hAnsi="Arial"/>
                <w:sz w:val="12"/>
                <w:szCs w:val="12"/>
                <w:b w:val="1"/>
                <w:bCs w:val="1"/>
                <w:color w:val="auto"/>
                <w:w w:val="92"/>
              </w:rPr>
              <w:t>Title Of Each Class Of</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89"/>
              </w:rPr>
              <w:t>Aggregate Offering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Amount Of</w:t>
            </w:r>
          </w:p>
        </w:tc>
      </w:tr>
      <w:tr>
        <w:trPr>
          <w:trHeight w:val="157"/>
        </w:trPr>
        <w:tc>
          <w:tcPr>
            <w:tcW w:w="8960" w:type="dxa"/>
            <w:vAlign w:val="bottom"/>
          </w:tcPr>
          <w:p>
            <w:pPr>
              <w:jc w:val="center"/>
              <w:spacing w:after="0"/>
              <w:rPr>
                <w:sz w:val="20"/>
                <w:szCs w:val="20"/>
                <w:color w:val="auto"/>
              </w:rPr>
            </w:pPr>
            <w:r>
              <w:rPr>
                <w:rFonts w:ascii="Arial" w:cs="Arial" w:eastAsia="Arial" w:hAnsi="Arial"/>
                <w:sz w:val="12"/>
                <w:szCs w:val="12"/>
                <w:b w:val="1"/>
                <w:bCs w:val="1"/>
                <w:color w:val="auto"/>
                <w:w w:val="87"/>
              </w:rPr>
              <w:t>Securities To Be Registered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Price</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86"/>
              </w:rPr>
              <w:t xml:space="preserve">Registration Fee </w:t>
            </w:r>
            <w:r>
              <w:rPr>
                <w:rFonts w:ascii="Arial" w:cs="Arial" w:eastAsia="Arial" w:hAnsi="Arial"/>
                <w:sz w:val="16"/>
                <w:szCs w:val="16"/>
                <w:b w:val="1"/>
                <w:bCs w:val="1"/>
                <w:color w:val="auto"/>
                <w:w w:val="86"/>
                <w:vertAlign w:val="superscript"/>
              </w:rPr>
              <w:t>(2)</w:t>
            </w:r>
          </w:p>
        </w:tc>
        <w:tc>
          <w:tcPr>
            <w:tcW w:w="120" w:type="dxa"/>
            <w:vAlign w:val="bottom"/>
          </w:tcPr>
          <w:p>
            <w:pPr>
              <w:spacing w:after="0"/>
              <w:rPr>
                <w:sz w:val="13"/>
                <w:szCs w:val="13"/>
                <w:color w:val="auto"/>
              </w:rPr>
            </w:pPr>
          </w:p>
        </w:tc>
      </w:tr>
      <w:tr>
        <w:trPr>
          <w:trHeight w:val="142"/>
        </w:trPr>
        <w:tc>
          <w:tcPr>
            <w:tcW w:w="8960" w:type="dxa"/>
            <w:vAlign w:val="bottom"/>
            <w:shd w:val="clear" w:color="auto" w:fill="CCEEFF"/>
          </w:tcPr>
          <w:p>
            <w:pPr>
              <w:spacing w:after="0" w:line="142" w:lineRule="exact"/>
              <w:rPr>
                <w:sz w:val="20"/>
                <w:szCs w:val="20"/>
                <w:color w:val="auto"/>
              </w:rPr>
            </w:pPr>
            <w:r>
              <w:rPr>
                <w:rFonts w:ascii="Arial" w:cs="Arial" w:eastAsia="Arial" w:hAnsi="Arial"/>
                <w:sz w:val="12"/>
                <w:szCs w:val="12"/>
                <w:color w:val="auto"/>
              </w:rPr>
              <w:t xml:space="preserve">Up to ______ shares of common stock, $0.001 par value </w:t>
            </w:r>
            <w:r>
              <w:rPr>
                <w:rFonts w:ascii="Arial" w:cs="Arial" w:eastAsia="Arial" w:hAnsi="Arial"/>
                <w:sz w:val="16"/>
                <w:szCs w:val="16"/>
                <w:color w:val="auto"/>
                <w:vertAlign w:val="superscript"/>
              </w:rPr>
              <w:t>(2)</w:t>
            </w:r>
          </w:p>
        </w:tc>
        <w:tc>
          <w:tcPr>
            <w:tcW w:w="1140" w:type="dxa"/>
            <w:vAlign w:val="bottom"/>
            <w:shd w:val="clear" w:color="auto" w:fill="CCEEFF"/>
          </w:tcPr>
          <w:p>
            <w:pPr>
              <w:jc w:val="right"/>
              <w:ind w:right="1022"/>
              <w:spacing w:after="0"/>
              <w:rPr>
                <w:sz w:val="20"/>
                <w:szCs w:val="20"/>
                <w:color w:val="auto"/>
              </w:rPr>
            </w:pPr>
            <w:r>
              <w:rPr>
                <w:rFonts w:ascii="Arial" w:cs="Arial" w:eastAsia="Arial" w:hAnsi="Arial"/>
                <w:sz w:val="10"/>
                <w:szCs w:val="10"/>
                <w:b w:val="1"/>
                <w:bCs w:val="1"/>
                <w:color w:val="auto"/>
                <w:w w:val="71"/>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2,447.20</w:t>
            </w:r>
            <w:r>
              <w:rPr>
                <w:rFonts w:ascii="Arial" w:cs="Arial" w:eastAsia="Arial" w:hAnsi="Arial"/>
                <w:sz w:val="8"/>
                <w:szCs w:val="8"/>
                <w:color w:val="auto"/>
              </w:rPr>
              <w:t>(3)</w:t>
            </w:r>
          </w:p>
        </w:tc>
      </w:tr>
    </w:tbl>
    <w:p>
      <w:pPr>
        <w:spacing w:after="0" w:line="153" w:lineRule="exact"/>
        <w:rPr>
          <w:sz w:val="20"/>
          <w:szCs w:val="20"/>
          <w:color w:val="auto"/>
        </w:rPr>
      </w:pPr>
    </w:p>
    <w:p>
      <w:pPr>
        <w:ind w:left="448" w:hanging="448"/>
        <w:spacing w:after="0" w:line="213" w:lineRule="auto"/>
        <w:tabs>
          <w:tab w:leader="none" w:pos="44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The Registration Statement shall also cover any additional shares of common stock that become issuable by reason of any stock dividend, stock split or other similar transaction effected without the receipt of consideration that results in an increase in the number of the outstanding shares of common stock of the Registrant.</w:t>
      </w:r>
    </w:p>
    <w:p>
      <w:pPr>
        <w:spacing w:after="0" w:line="111" w:lineRule="exact"/>
        <w:rPr>
          <w:rFonts w:ascii="Arial" w:cs="Arial" w:eastAsia="Arial" w:hAnsi="Arial"/>
          <w:sz w:val="17"/>
          <w:szCs w:val="17"/>
          <w:color w:val="auto"/>
          <w:vertAlign w:val="superscript"/>
        </w:rPr>
      </w:pPr>
    </w:p>
    <w:p>
      <w:pPr>
        <w:ind w:left="448" w:hanging="448"/>
        <w:spacing w:after="0"/>
        <w:tabs>
          <w:tab w:leader="none" w:pos="44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Calculated pursuant to Rule 457(o) of the rules and regulations under the Securities Act of 1933, as amended.</w:t>
      </w:r>
    </w:p>
    <w:p>
      <w:pPr>
        <w:spacing w:after="0" w:line="92" w:lineRule="exact"/>
        <w:rPr>
          <w:rFonts w:ascii="Arial" w:cs="Arial" w:eastAsia="Arial" w:hAnsi="Arial"/>
          <w:sz w:val="17"/>
          <w:szCs w:val="17"/>
          <w:color w:val="auto"/>
          <w:vertAlign w:val="superscript"/>
        </w:rPr>
      </w:pPr>
    </w:p>
    <w:p>
      <w:pPr>
        <w:ind w:left="428" w:hanging="428"/>
        <w:spacing w:after="0"/>
        <w:tabs>
          <w:tab w:leader="none" w:pos="42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$1,288 was previously paid.</w:t>
      </w:r>
    </w:p>
    <w:p>
      <w:pPr>
        <w:spacing w:after="0" w:line="131" w:lineRule="exact"/>
        <w:rPr>
          <w:sz w:val="20"/>
          <w:szCs w:val="20"/>
          <w:color w:val="auto"/>
        </w:rPr>
      </w:pPr>
    </w:p>
    <w:p>
      <w:pPr>
        <w:jc w:val="both"/>
        <w:ind w:left="8"/>
        <w:spacing w:after="0" w:line="267"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99325"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323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232410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3" w:name="page4"/>
    <w:bookmarkEnd w:id="3"/>
    <w:p>
      <w:pPr>
        <w:jc w:val="center"/>
        <w:ind w:right="-7"/>
        <w:spacing w:after="0"/>
        <w:rPr>
          <w:sz w:val="20"/>
          <w:szCs w:val="20"/>
          <w:color w:val="auto"/>
        </w:rPr>
      </w:pPr>
      <w:r>
        <w:rPr>
          <w:rFonts w:ascii="Arial" w:cs="Arial" w:eastAsia="Arial" w:hAnsi="Arial"/>
          <w:sz w:val="12"/>
          <w:szCs w:val="12"/>
          <w:b w:val="1"/>
          <w:bCs w:val="1"/>
          <w:color w:val="auto"/>
        </w:rPr>
        <w:t>Subject to Completion, dated July___, 2014</w:t>
      </w:r>
    </w:p>
    <w:p>
      <w:pPr>
        <w:spacing w:after="0" w:line="168" w:lineRule="exact"/>
        <w:rPr>
          <w:sz w:val="20"/>
          <w:szCs w:val="20"/>
          <w:color w:val="auto"/>
        </w:rPr>
      </w:pPr>
    </w:p>
    <w:p>
      <w:pPr>
        <w:ind w:left="8"/>
        <w:spacing w:after="0" w:line="283" w:lineRule="auto"/>
        <w:rPr>
          <w:sz w:val="20"/>
          <w:szCs w:val="20"/>
          <w:color w:val="auto"/>
        </w:rPr>
      </w:pPr>
      <w:r>
        <w:rPr>
          <w:rFonts w:ascii="Arial" w:cs="Arial" w:eastAsia="Arial" w:hAnsi="Arial"/>
          <w:sz w:val="12"/>
          <w:szCs w:val="12"/>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an offer to buy these securities in any state where the offer or sale is not permitted.</w:t>
      </w:r>
    </w:p>
    <w:p>
      <w:pPr>
        <w:spacing w:after="0" w:line="12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Preliminary Prospectus</w:t>
      </w:r>
    </w:p>
    <w:p>
      <w:pPr>
        <w:spacing w:after="0" w:line="168" w:lineRule="exact"/>
        <w:rPr>
          <w:sz w:val="20"/>
          <w:szCs w:val="20"/>
          <w:color w:val="auto"/>
        </w:rPr>
      </w:pPr>
    </w:p>
    <w:p>
      <w:pPr>
        <w:ind w:left="5168"/>
        <w:spacing w:after="0"/>
        <w:rPr>
          <w:sz w:val="20"/>
          <w:szCs w:val="20"/>
          <w:color w:val="auto"/>
        </w:rPr>
      </w:pPr>
      <w:r>
        <w:rPr>
          <w:rFonts w:ascii="Arial" w:cs="Arial" w:eastAsia="Arial" w:hAnsi="Arial"/>
          <w:sz w:val="12"/>
          <w:szCs w:val="12"/>
          <w:b w:val="1"/>
          <w:bCs w:val="1"/>
          <w:color w:val="auto"/>
        </w:rPr>
        <w:t>_____________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206375</wp:posOffset>
            </wp:positionV>
            <wp:extent cx="1401445" cy="669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1445" cy="66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We are offering up to ________ shares of our common stock pursuant to this prospectus (the </w:t>
      </w:r>
      <w:r>
        <w:rPr>
          <w:rFonts w:ascii="Arial" w:cs="Arial" w:eastAsia="Arial" w:hAnsi="Arial"/>
          <w:sz w:val="12"/>
          <w:szCs w:val="12"/>
          <w:i w:val="1"/>
          <w:iCs w:val="1"/>
          <w:color w:val="auto"/>
        </w:rPr>
        <w:t>Offering</w:t>
      </w:r>
      <w:r>
        <w:rPr>
          <w:rFonts w:ascii="Arial" w:cs="Arial" w:eastAsia="Arial" w:hAnsi="Arial"/>
          <w:sz w:val="12"/>
          <w:szCs w:val="12"/>
          <w:color w:val="auto"/>
        </w:rPr>
        <w:t>).</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securities are not listed on a national securities exchange. Our common stock is quoted on the OTC Markets (</w:t>
      </w:r>
      <w:r>
        <w:rPr>
          <w:rFonts w:ascii="Arial" w:cs="Arial" w:eastAsia="Arial" w:hAnsi="Arial"/>
          <w:sz w:val="11"/>
          <w:szCs w:val="11"/>
          <w:i w:val="1"/>
          <w:iCs w:val="1"/>
          <w:color w:val="auto"/>
        </w:rPr>
        <w:t>OTCQB</w:t>
      </w:r>
      <w:r>
        <w:rPr>
          <w:rFonts w:ascii="Arial" w:cs="Arial" w:eastAsia="Arial" w:hAnsi="Arial"/>
          <w:sz w:val="11"/>
          <w:szCs w:val="11"/>
          <w:color w:val="auto"/>
        </w:rPr>
        <w:t>) under the symbol “VSTA”. On July __, 2014 the closing price for our common stock was $0.__ per share.</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300" w:type="dxa"/>
            <w:vAlign w:val="bottom"/>
          </w:tcPr>
          <w:p>
            <w:pPr>
              <w:spacing w:after="0"/>
              <w:rPr>
                <w:sz w:val="13"/>
                <w:szCs w:val="13"/>
                <w:color w:val="auto"/>
              </w:rPr>
            </w:pPr>
          </w:p>
        </w:tc>
        <w:tc>
          <w:tcPr>
            <w:tcW w:w="4640" w:type="dxa"/>
            <w:vAlign w:val="bottom"/>
          </w:tcPr>
          <w:p>
            <w:pPr>
              <w:jc w:val="right"/>
              <w:ind w:right="240"/>
              <w:spacing w:after="0"/>
              <w:rPr>
                <w:sz w:val="20"/>
                <w:szCs w:val="20"/>
                <w:color w:val="auto"/>
              </w:rPr>
            </w:pPr>
            <w:r>
              <w:rPr>
                <w:rFonts w:ascii="Arial" w:cs="Arial" w:eastAsia="Arial" w:hAnsi="Arial"/>
                <w:sz w:val="12"/>
                <w:szCs w:val="12"/>
                <w:color w:val="auto"/>
              </w:rPr>
              <w:t>Per share</w:t>
            </w:r>
          </w:p>
        </w:tc>
        <w:tc>
          <w:tcPr>
            <w:tcW w:w="1540" w:type="dxa"/>
            <w:vAlign w:val="bottom"/>
          </w:tcPr>
          <w:p>
            <w:pPr>
              <w:jc w:val="right"/>
              <w:ind w:right="500"/>
              <w:spacing w:after="0"/>
              <w:rPr>
                <w:sz w:val="20"/>
                <w:szCs w:val="20"/>
                <w:color w:val="auto"/>
              </w:rPr>
            </w:pPr>
            <w:r>
              <w:rPr>
                <w:rFonts w:ascii="Arial" w:cs="Arial" w:eastAsia="Arial" w:hAnsi="Arial"/>
                <w:sz w:val="12"/>
                <w:szCs w:val="12"/>
                <w:color w:val="auto"/>
              </w:rPr>
              <w:t>Total</w:t>
            </w:r>
          </w:p>
        </w:tc>
      </w:tr>
      <w:tr>
        <w:trPr>
          <w:trHeight w:val="144"/>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Price to the public</w:t>
            </w:r>
          </w:p>
        </w:tc>
        <w:tc>
          <w:tcPr>
            <w:tcW w:w="4640" w:type="dxa"/>
            <w:vAlign w:val="bottom"/>
            <w:shd w:val="clear" w:color="auto" w:fill="CCEEFF"/>
          </w:tcPr>
          <w:p>
            <w:pPr>
              <w:jc w:val="right"/>
              <w:ind w:right="980"/>
              <w:spacing w:after="0"/>
              <w:rPr>
                <w:sz w:val="20"/>
                <w:szCs w:val="20"/>
                <w:color w:val="auto"/>
              </w:rPr>
            </w:pPr>
            <w:r>
              <w:rPr>
                <w:rFonts w:ascii="Arial" w:cs="Arial" w:eastAsia="Arial" w:hAnsi="Arial"/>
                <w:sz w:val="12"/>
                <w:szCs w:val="12"/>
                <w:color w:val="auto"/>
              </w:rPr>
              <w:t>$</w:t>
            </w:r>
          </w:p>
        </w:tc>
        <w:tc>
          <w:tcPr>
            <w:tcW w:w="1540" w:type="dxa"/>
            <w:vAlign w:val="bottom"/>
            <w:shd w:val="clear" w:color="auto" w:fill="CCEEFF"/>
          </w:tcPr>
          <w:p>
            <w:pPr>
              <w:jc w:val="right"/>
              <w:ind w:right="1120"/>
              <w:spacing w:after="0"/>
              <w:rPr>
                <w:sz w:val="20"/>
                <w:szCs w:val="20"/>
                <w:color w:val="auto"/>
              </w:rPr>
            </w:pPr>
            <w:r>
              <w:rPr>
                <w:rFonts w:ascii="Arial" w:cs="Arial" w:eastAsia="Arial" w:hAnsi="Arial"/>
                <w:sz w:val="12"/>
                <w:szCs w:val="12"/>
                <w:color w:val="auto"/>
              </w:rPr>
              <w:t>$</w:t>
            </w:r>
          </w:p>
        </w:tc>
      </w:tr>
      <w:tr>
        <w:trPr>
          <w:trHeight w:val="144"/>
        </w:trPr>
        <w:tc>
          <w:tcPr>
            <w:tcW w:w="5300" w:type="dxa"/>
            <w:vAlign w:val="bottom"/>
          </w:tcPr>
          <w:p>
            <w:pPr>
              <w:spacing w:after="0" w:line="144" w:lineRule="exact"/>
              <w:rPr>
                <w:sz w:val="20"/>
                <w:szCs w:val="20"/>
                <w:color w:val="auto"/>
              </w:rPr>
            </w:pPr>
            <w:r>
              <w:rPr>
                <w:rFonts w:ascii="Arial" w:cs="Arial" w:eastAsia="Arial" w:hAnsi="Arial"/>
                <w:sz w:val="12"/>
                <w:szCs w:val="12"/>
                <w:color w:val="auto"/>
              </w:rPr>
              <w:t>Placement agent commission</w:t>
            </w:r>
            <w:r>
              <w:rPr>
                <w:rFonts w:ascii="Arial" w:cs="Arial" w:eastAsia="Arial" w:hAnsi="Arial"/>
                <w:sz w:val="16"/>
                <w:szCs w:val="16"/>
                <w:color w:val="auto"/>
                <w:vertAlign w:val="superscript"/>
              </w:rPr>
              <w:t>(1)(3)</w:t>
            </w:r>
          </w:p>
        </w:tc>
        <w:tc>
          <w:tcPr>
            <w:tcW w:w="4640" w:type="dxa"/>
            <w:vAlign w:val="bottom"/>
          </w:tcPr>
          <w:p>
            <w:pPr>
              <w:jc w:val="right"/>
              <w:ind w:right="980"/>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1120"/>
              <w:spacing w:after="0"/>
              <w:rPr>
                <w:sz w:val="20"/>
                <w:szCs w:val="20"/>
                <w:color w:val="auto"/>
              </w:rPr>
            </w:pPr>
            <w:r>
              <w:rPr>
                <w:rFonts w:ascii="Arial" w:cs="Arial" w:eastAsia="Arial" w:hAnsi="Arial"/>
                <w:sz w:val="12"/>
                <w:szCs w:val="12"/>
                <w:color w:val="auto"/>
              </w:rPr>
              <w:t>$</w:t>
            </w:r>
          </w:p>
        </w:tc>
      </w:tr>
      <w:tr>
        <w:trPr>
          <w:trHeight w:val="144"/>
        </w:trPr>
        <w:tc>
          <w:tcPr>
            <w:tcW w:w="530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Proceeds, before expenses, to us</w:t>
            </w:r>
            <w:r>
              <w:rPr>
                <w:rFonts w:ascii="Arial" w:cs="Arial" w:eastAsia="Arial" w:hAnsi="Arial"/>
                <w:sz w:val="16"/>
                <w:szCs w:val="16"/>
                <w:color w:val="auto"/>
                <w:vertAlign w:val="superscript"/>
              </w:rPr>
              <w:t>(2)(3)</w:t>
            </w:r>
          </w:p>
        </w:tc>
        <w:tc>
          <w:tcPr>
            <w:tcW w:w="4640" w:type="dxa"/>
            <w:vAlign w:val="bottom"/>
            <w:shd w:val="clear" w:color="auto" w:fill="CCEEFF"/>
          </w:tcPr>
          <w:p>
            <w:pPr>
              <w:jc w:val="right"/>
              <w:ind w:right="980"/>
              <w:spacing w:after="0"/>
              <w:rPr>
                <w:sz w:val="20"/>
                <w:szCs w:val="20"/>
                <w:color w:val="auto"/>
              </w:rPr>
            </w:pPr>
            <w:r>
              <w:rPr>
                <w:rFonts w:ascii="Arial" w:cs="Arial" w:eastAsia="Arial" w:hAnsi="Arial"/>
                <w:sz w:val="12"/>
                <w:szCs w:val="12"/>
                <w:color w:val="auto"/>
              </w:rPr>
              <w:t>$</w:t>
            </w:r>
          </w:p>
        </w:tc>
        <w:tc>
          <w:tcPr>
            <w:tcW w:w="1540" w:type="dxa"/>
            <w:vAlign w:val="bottom"/>
            <w:shd w:val="clear" w:color="auto" w:fill="CCEEFF"/>
          </w:tcPr>
          <w:p>
            <w:pPr>
              <w:jc w:val="right"/>
              <w:ind w:right="1120"/>
              <w:spacing w:after="0"/>
              <w:rPr>
                <w:sz w:val="20"/>
                <w:szCs w:val="20"/>
                <w:color w:val="auto"/>
              </w:rPr>
            </w:pPr>
            <w:r>
              <w:rPr>
                <w:rFonts w:ascii="Arial" w:cs="Arial" w:eastAsia="Arial" w:hAnsi="Arial"/>
                <w:sz w:val="12"/>
                <w:szCs w:val="12"/>
                <w:color w:val="auto"/>
              </w:rPr>
              <w:t>$</w:t>
            </w:r>
          </w:p>
        </w:tc>
      </w:tr>
    </w:tbl>
    <w:p>
      <w:pPr>
        <w:spacing w:after="0" w:line="153" w:lineRule="exact"/>
        <w:rPr>
          <w:sz w:val="20"/>
          <w:szCs w:val="20"/>
          <w:color w:val="auto"/>
        </w:rPr>
      </w:pPr>
    </w:p>
    <w:p>
      <w:pPr>
        <w:ind w:left="8" w:hanging="8"/>
        <w:spacing w:after="0" w:line="229" w:lineRule="auto"/>
        <w:tabs>
          <w:tab w:leader="none" w:pos="138" w:val="left"/>
        </w:tabs>
        <w:numPr>
          <w:ilvl w:val="0"/>
          <w:numId w:val="2"/>
        </w:numPr>
        <w:rPr>
          <w:rFonts w:ascii="Arial" w:cs="Arial" w:eastAsia="Arial" w:hAnsi="Arial"/>
          <w:sz w:val="16"/>
          <w:szCs w:val="16"/>
          <w:color w:val="auto"/>
          <w:vertAlign w:val="superscript"/>
        </w:rPr>
      </w:pPr>
      <w:r>
        <w:rPr>
          <w:rFonts w:ascii="Arial" w:cs="Arial" w:eastAsia="Arial" w:hAnsi="Arial"/>
          <w:sz w:val="11"/>
          <w:szCs w:val="11"/>
          <w:color w:val="auto"/>
        </w:rPr>
        <w:t>For the purpose of estimating the placement agent’s commissions, we have assumed they will receive their maximum commission on all sales made in the Offering. The placement agent will also be entitled to reimbursement of certain expenses related to this Offering, including blue-sky fees and expenses.</w:t>
      </w:r>
    </w:p>
    <w:p>
      <w:pPr>
        <w:spacing w:after="0" w:line="154" w:lineRule="exact"/>
        <w:rPr>
          <w:rFonts w:ascii="Arial" w:cs="Arial" w:eastAsia="Arial" w:hAnsi="Arial"/>
          <w:sz w:val="16"/>
          <w:szCs w:val="16"/>
          <w:color w:val="auto"/>
          <w:vertAlign w:val="superscript"/>
        </w:rPr>
      </w:pPr>
    </w:p>
    <w:p>
      <w:pPr>
        <w:jc w:val="both"/>
        <w:ind w:left="8" w:hanging="8"/>
        <w:spacing w:after="0" w:line="243" w:lineRule="auto"/>
        <w:tabs>
          <w:tab w:leader="none" w:pos="139" w:val="left"/>
        </w:tabs>
        <w:numPr>
          <w:ilvl w:val="0"/>
          <w:numId w:val="2"/>
        </w:numPr>
        <w:rPr>
          <w:rFonts w:ascii="Arial" w:cs="Arial" w:eastAsia="Arial" w:hAnsi="Arial"/>
          <w:sz w:val="16"/>
          <w:szCs w:val="16"/>
          <w:color w:val="auto"/>
          <w:vertAlign w:val="superscript"/>
        </w:rPr>
      </w:pPr>
      <w:r>
        <w:rPr>
          <w:rFonts w:ascii="Arial" w:cs="Arial" w:eastAsia="Arial" w:hAnsi="Arial"/>
          <w:sz w:val="11"/>
          <w:szCs w:val="11"/>
          <w:color w:val="auto"/>
        </w:rPr>
        <w:t>We estimate the total expenses of this Offering, excluding the placement agent commissions, will be approximately $_______. Because there is no minimum offering amount required as a condition to closing in this Offering, the actual public offering amount, placement agent commissions, and proceeds to us, if any, are not presently determinable and may be substantially less than the total Offering price set forth above. Once the Offering price has been determined, the common stock offering price will remain fixed for the duration of the Offering. See “Plan of Distribution” beginning on page 40 of this prospectus for more information on this Offering and the placement agent arrangements.</w:t>
      </w:r>
    </w:p>
    <w:p>
      <w:pPr>
        <w:spacing w:after="0" w:line="152" w:lineRule="exact"/>
        <w:rPr>
          <w:rFonts w:ascii="Arial" w:cs="Arial" w:eastAsia="Arial" w:hAnsi="Arial"/>
          <w:sz w:val="16"/>
          <w:szCs w:val="16"/>
          <w:color w:val="auto"/>
          <w:vertAlign w:val="superscript"/>
        </w:rPr>
      </w:pPr>
    </w:p>
    <w:p>
      <w:pPr>
        <w:jc w:val="both"/>
        <w:ind w:left="8" w:hanging="8"/>
        <w:spacing w:after="0" w:line="243" w:lineRule="auto"/>
        <w:tabs>
          <w:tab w:leader="none" w:pos="148" w:val="left"/>
        </w:tabs>
        <w:numPr>
          <w:ilvl w:val="0"/>
          <w:numId w:val="2"/>
        </w:numPr>
        <w:rPr>
          <w:rFonts w:ascii="Arial" w:cs="Arial" w:eastAsia="Arial" w:hAnsi="Arial"/>
          <w:sz w:val="16"/>
          <w:szCs w:val="16"/>
          <w:color w:val="auto"/>
          <w:vertAlign w:val="superscript"/>
        </w:rPr>
      </w:pPr>
      <w:r>
        <w:rPr>
          <w:rFonts w:ascii="Arial" w:cs="Arial" w:eastAsia="Arial" w:hAnsi="Arial"/>
          <w:sz w:val="11"/>
          <w:szCs w:val="11"/>
          <w:color w:val="auto"/>
        </w:rPr>
        <w:t>Of the total number of shares of common stock that may be issued in connection with this Offering, assuming the Offering results in minimum gross proceeds of $10.0 million, up to _______ shares may be issued in exchange for certain promissory notes of the Company that automatically convert into shares of Common Stock issued in connection with the Offering, unless the holders of such notes elect to receive cash in lieu of such shares. See “Use of Proceeds” and “Note Conversions”. The placement agent will not be paid a commission in connection with the issuance of such shares, nor will the Company receive any proceeds from the issuance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2"/>
          <w:szCs w:val="12"/>
          <w:color w:val="auto"/>
        </w:rPr>
        <w:t>Geller Biopharm (</w:t>
      </w:r>
      <w:r>
        <w:rPr>
          <w:rFonts w:ascii="Arial" w:cs="Arial" w:eastAsia="Arial" w:hAnsi="Arial"/>
          <w:sz w:val="12"/>
          <w:szCs w:val="12"/>
          <w:i w:val="1"/>
          <w:iCs w:val="1"/>
          <w:color w:val="auto"/>
        </w:rPr>
        <w:t>Geller Biopharm</w:t>
      </w:r>
      <w:r>
        <w:rPr>
          <w:rFonts w:ascii="Arial" w:cs="Arial" w:eastAsia="Arial" w:hAnsi="Arial"/>
          <w:sz w:val="12"/>
          <w:szCs w:val="12"/>
          <w:color w:val="auto"/>
        </w:rPr>
        <w:t xml:space="preserve"> or </w:t>
      </w:r>
      <w:r>
        <w:rPr>
          <w:rFonts w:ascii="Arial" w:cs="Arial" w:eastAsia="Arial" w:hAnsi="Arial"/>
          <w:sz w:val="12"/>
          <w:szCs w:val="12"/>
          <w:i w:val="1"/>
          <w:iCs w:val="1"/>
          <w:color w:val="auto"/>
        </w:rPr>
        <w:t>Agent</w:t>
      </w:r>
      <w:r>
        <w:rPr>
          <w:rFonts w:ascii="Arial" w:cs="Arial" w:eastAsia="Arial" w:hAnsi="Arial"/>
          <w:sz w:val="12"/>
          <w:szCs w:val="12"/>
          <w:color w:val="auto"/>
        </w:rPr>
        <w:t>), a healthcare investment banking division of Financial West Group, has agreed to act as our placement agent in connection with this Offering. The placement agent is not purchasing the securities offered by us, and is not required to sell any specific number or dollar amount of securities. However, Geller Biopharm will use their best efforts to arrange for the sale of the securities offered by us in this Offering. We have agreed to pay the placement agent a cash fee equal to 8% of the gross proceeds of the securities sold by us in this Offering, as well as certain expenses.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This Offering will terminate on August 31, 2014, unless the maximum number of shares offered is fully subscribed before that date or we decide to terminate the Offering prior to that date. In either event, the Offering may be closed and we may conduct multiple closings without further notice to you. All costs associated with the registration will be borne by us. As there is no minimum purchase requirement, no funds are required to be escrowed and all net proceeds will be available to us at closing for use as set forth in “Use of Proceeds” beginning on page 37.</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Investing in our common stock involves a high degree of risk. You should review carefully the risks and uncertainties described under the heading “Risk Factors” beginning on page 7 of this prospectus, and under similar headings in any amendments or supplements to this prospectus.</w:t>
      </w:r>
    </w:p>
    <w:p>
      <w:pPr>
        <w:spacing w:after="0" w:line="129"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29" w:lineRule="exact"/>
        <w:rPr>
          <w:sz w:val="20"/>
          <w:szCs w:val="20"/>
          <w:color w:val="auto"/>
        </w:rPr>
      </w:pPr>
    </w:p>
    <w:p>
      <w:pPr>
        <w:ind w:left="4620"/>
        <w:spacing w:after="0"/>
        <w:rPr>
          <w:sz w:val="20"/>
          <w:szCs w:val="20"/>
          <w:color w:val="auto"/>
        </w:rPr>
      </w:pPr>
      <w:r>
        <w:rPr>
          <w:rFonts w:ascii="Arial" w:cs="Arial" w:eastAsia="Arial" w:hAnsi="Arial"/>
          <w:sz w:val="12"/>
          <w:szCs w:val="12"/>
          <w:color w:val="auto"/>
        </w:rPr>
        <w:t>The date of this prospectus is July_____, 2014</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Sole Placement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824230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112395</wp:posOffset>
            </wp:positionV>
            <wp:extent cx="960755" cy="234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0755" cy="2343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780" w:type="dxa"/>
            <w:vAlign w:val="bottom"/>
            <w:gridSpan w:val="2"/>
          </w:tcPr>
          <w:p>
            <w:pPr>
              <w:ind w:left="400"/>
              <w:spacing w:after="0"/>
              <w:rPr>
                <w:sz w:val="20"/>
                <w:szCs w:val="20"/>
                <w:color w:val="auto"/>
              </w:rPr>
            </w:pPr>
            <w:r>
              <w:rPr>
                <w:rFonts w:ascii="Arial" w:cs="Arial" w:eastAsia="Arial" w:hAnsi="Arial"/>
                <w:sz w:val="12"/>
                <w:szCs w:val="12"/>
                <w:b w:val="1"/>
                <w:bCs w:val="1"/>
                <w:color w:val="auto"/>
              </w:rPr>
              <w:t>TABLE OF CONTENTS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4680" w:type="dxa"/>
            <w:vAlign w:val="bottom"/>
            <w:gridSpan w:val="15"/>
            <w:shd w:val="clear" w:color="auto" w:fill="CCEEFF"/>
          </w:tcPr>
          <w:p>
            <w:pPr>
              <w:spacing w:after="0" w:line="117" w:lineRule="exact"/>
              <w:rPr>
                <w:sz w:val="20"/>
                <w:szCs w:val="20"/>
                <w:color w:val="auto"/>
              </w:rPr>
            </w:pPr>
            <w:r>
              <w:rPr>
                <w:rFonts w:ascii="Arial" w:cs="Arial" w:eastAsia="Arial" w:hAnsi="Arial"/>
                <w:sz w:val="12"/>
                <w:szCs w:val="12"/>
                <w:color w:val="0000EE"/>
              </w:rPr>
              <w:t>Prospectus Summary</w:t>
            </w:r>
          </w:p>
        </w:tc>
        <w:tc>
          <w:tcPr>
            <w:tcW w:w="6780" w:type="dxa"/>
            <w:vAlign w:val="bottom"/>
            <w:gridSpan w:val="2"/>
            <w:shd w:val="clear" w:color="auto" w:fill="CCEEFF"/>
          </w:tcPr>
          <w:p>
            <w:pPr>
              <w:jc w:val="center"/>
              <w:ind w:left="5220"/>
              <w:spacing w:after="0" w:line="117" w:lineRule="exact"/>
              <w:rPr>
                <w:sz w:val="20"/>
                <w:szCs w:val="20"/>
                <w:color w:val="auto"/>
              </w:rPr>
            </w:pPr>
            <w:r>
              <w:rPr>
                <w:rFonts w:ascii="Arial" w:cs="Arial" w:eastAsia="Arial" w:hAnsi="Arial"/>
                <w:sz w:val="12"/>
                <w:szCs w:val="12"/>
                <w:color w:val="auto"/>
                <w:w w:val="89"/>
              </w:rPr>
              <w:t>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80" w:type="dxa"/>
            <w:vAlign w:val="bottom"/>
            <w:tcBorders>
              <w:top w:val="single" w:sz="8" w:color="0000EE"/>
              <w:bottom w:val="single" w:sz="8" w:color="0000EE"/>
            </w:tcBorders>
            <w:gridSpan w:val="4"/>
          </w:tcPr>
          <w:p>
            <w:pPr>
              <w:spacing w:after="0" w:line="117" w:lineRule="exact"/>
              <w:rPr>
                <w:rFonts w:ascii="Arial" w:cs="Arial" w:eastAsia="Arial" w:hAnsi="Arial"/>
                <w:sz w:val="12"/>
                <w:szCs w:val="12"/>
                <w:color w:val="0000EE"/>
                <w:w w:val="83"/>
              </w:rPr>
            </w:pPr>
            <w:hyperlink w:anchor="page13">
              <w:r>
                <w:rPr>
                  <w:rFonts w:ascii="Arial" w:cs="Arial" w:eastAsia="Arial" w:hAnsi="Arial"/>
                  <w:sz w:val="12"/>
                  <w:szCs w:val="12"/>
                  <w:color w:val="0000EE"/>
                  <w:w w:val="83"/>
                </w:rPr>
                <w:t>Risk Factors</w:t>
              </w:r>
            </w:hyperlink>
          </w:p>
        </w:tc>
        <w:tc>
          <w:tcPr>
            <w:tcW w:w="400" w:type="dxa"/>
            <w:vAlign w:val="bottom"/>
            <w:tcBorders>
              <w:top w:val="single" w:sz="8" w:color="0000EE"/>
            </w:tcBorders>
            <w:gridSpan w:val="3"/>
          </w:tcPr>
          <w:p>
            <w:pPr>
              <w:spacing w:after="0"/>
              <w:rPr>
                <w:sz w:val="10"/>
                <w:szCs w:val="10"/>
                <w:color w:val="auto"/>
              </w:rPr>
            </w:pPr>
          </w:p>
        </w:tc>
        <w:tc>
          <w:tcPr>
            <w:tcW w:w="3700" w:type="dxa"/>
            <w:vAlign w:val="bottom"/>
            <w:tcBorders>
              <w:top w:val="single" w:sz="8" w:color="CCEEFF"/>
            </w:tcBorders>
            <w:gridSpan w:val="8"/>
          </w:tcPr>
          <w:p>
            <w:pPr>
              <w:spacing w:after="0"/>
              <w:rPr>
                <w:sz w:val="10"/>
                <w:szCs w:val="10"/>
                <w:color w:val="auto"/>
              </w:rPr>
            </w:pPr>
          </w:p>
        </w:tc>
        <w:tc>
          <w:tcPr>
            <w:tcW w:w="6780" w:type="dxa"/>
            <w:vAlign w:val="bottom"/>
            <w:tcBorders>
              <w:top w:val="single" w:sz="8" w:color="CCEEFF"/>
            </w:tcBorders>
            <w:gridSpan w:val="2"/>
          </w:tcPr>
          <w:p>
            <w:pPr>
              <w:jc w:val="center"/>
              <w:ind w:left="5220"/>
              <w:spacing w:after="0" w:line="117" w:lineRule="exact"/>
              <w:rPr>
                <w:sz w:val="20"/>
                <w:szCs w:val="20"/>
                <w:color w:val="auto"/>
              </w:rPr>
            </w:pPr>
            <w:r>
              <w:rPr>
                <w:rFonts w:ascii="Arial" w:cs="Arial" w:eastAsia="Arial" w:hAnsi="Arial"/>
                <w:sz w:val="12"/>
                <w:szCs w:val="12"/>
                <w:color w:val="auto"/>
                <w:w w:val="89"/>
              </w:rPr>
              <w:t>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60" w:type="dxa"/>
            <w:vAlign w:val="bottom"/>
            <w:tcBorders>
              <w:bottom w:val="single" w:sz="8" w:color="0000EE"/>
            </w:tcBorders>
            <w:gridSpan w:val="13"/>
            <w:shd w:val="clear" w:color="auto" w:fill="CCEEFF"/>
          </w:tcPr>
          <w:p>
            <w:pPr>
              <w:spacing w:after="0" w:line="117" w:lineRule="exact"/>
              <w:rPr>
                <w:rFonts w:ascii="Arial" w:cs="Arial" w:eastAsia="Arial" w:hAnsi="Arial"/>
                <w:sz w:val="12"/>
                <w:szCs w:val="12"/>
                <w:color w:val="0000EE"/>
                <w:w w:val="89"/>
              </w:rPr>
            </w:pPr>
            <w:hyperlink w:anchor="page42">
              <w:r>
                <w:rPr>
                  <w:rFonts w:ascii="Arial" w:cs="Arial" w:eastAsia="Arial" w:hAnsi="Arial"/>
                  <w:sz w:val="12"/>
                  <w:szCs w:val="12"/>
                  <w:color w:val="0000EE"/>
                  <w:w w:val="89"/>
                </w:rPr>
                <w:t>Special Note Regarding Forward-Looking Statements</w:t>
              </w:r>
            </w:hyperlink>
          </w:p>
        </w:tc>
        <w:tc>
          <w:tcPr>
            <w:tcW w:w="2120" w:type="dxa"/>
            <w:vAlign w:val="bottom"/>
            <w:tcBorders>
              <w:bottom w:val="single" w:sz="8" w:color="CCEEFF"/>
            </w:tcBorders>
            <w:gridSpan w:val="2"/>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240"/>
              <w:spacing w:after="0" w:line="117" w:lineRule="exact"/>
              <w:rPr>
                <w:sz w:val="20"/>
                <w:szCs w:val="20"/>
                <w:color w:val="auto"/>
              </w:rPr>
            </w:pPr>
            <w:r>
              <w:rPr>
                <w:rFonts w:ascii="Arial" w:cs="Arial" w:eastAsia="Arial" w:hAnsi="Arial"/>
                <w:sz w:val="12"/>
                <w:szCs w:val="12"/>
                <w:color w:val="auto"/>
                <w:w w:val="89"/>
              </w:rPr>
              <w:t>36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Borders>
              <w:bottom w:val="single" w:sz="8" w:color="0000EE"/>
            </w:tcBorders>
            <w:gridSpan w:val="6"/>
          </w:tcPr>
          <w:p>
            <w:pPr>
              <w:spacing w:after="0" w:line="117" w:lineRule="exact"/>
              <w:rPr>
                <w:rFonts w:ascii="Arial" w:cs="Arial" w:eastAsia="Arial" w:hAnsi="Arial"/>
                <w:sz w:val="12"/>
                <w:szCs w:val="12"/>
                <w:color w:val="0000EE"/>
                <w:w w:val="83"/>
              </w:rPr>
            </w:pPr>
            <w:hyperlink w:anchor="page43">
              <w:r>
                <w:rPr>
                  <w:rFonts w:ascii="Arial" w:cs="Arial" w:eastAsia="Arial" w:hAnsi="Arial"/>
                  <w:sz w:val="12"/>
                  <w:szCs w:val="12"/>
                  <w:color w:val="0000EE"/>
                  <w:w w:val="83"/>
                </w:rPr>
                <w:t>Use of Proceeds</w:t>
              </w:r>
            </w:hyperlink>
          </w:p>
        </w:tc>
        <w:tc>
          <w:tcPr>
            <w:tcW w:w="3920" w:type="dxa"/>
            <w:vAlign w:val="bottom"/>
            <w:gridSpan w:val="9"/>
          </w:tcPr>
          <w:p>
            <w:pPr>
              <w:spacing w:after="0"/>
              <w:rPr>
                <w:sz w:val="10"/>
                <w:szCs w:val="10"/>
                <w:color w:val="auto"/>
              </w:rPr>
            </w:pPr>
          </w:p>
        </w:tc>
        <w:tc>
          <w:tcPr>
            <w:tcW w:w="6780" w:type="dxa"/>
            <w:vAlign w:val="bottom"/>
            <w:gridSpan w:val="2"/>
          </w:tcPr>
          <w:p>
            <w:pPr>
              <w:jc w:val="center"/>
              <w:ind w:left="5240"/>
              <w:spacing w:after="0" w:line="117" w:lineRule="exact"/>
              <w:rPr>
                <w:sz w:val="20"/>
                <w:szCs w:val="20"/>
                <w:color w:val="auto"/>
              </w:rPr>
            </w:pPr>
            <w:r>
              <w:rPr>
                <w:rFonts w:ascii="Arial" w:cs="Arial" w:eastAsia="Arial" w:hAnsi="Arial"/>
                <w:sz w:val="12"/>
                <w:szCs w:val="12"/>
                <w:color w:val="auto"/>
                <w:w w:val="89"/>
              </w:rPr>
              <w:t>37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0" w:type="dxa"/>
            <w:vAlign w:val="bottom"/>
            <w:tcBorders>
              <w:bottom w:val="single" w:sz="8" w:color="0000EE"/>
            </w:tcBorders>
            <w:gridSpan w:val="2"/>
            <w:shd w:val="clear" w:color="auto" w:fill="CCEEFF"/>
          </w:tcPr>
          <w:p>
            <w:pPr>
              <w:spacing w:after="0" w:line="117" w:lineRule="exact"/>
              <w:rPr>
                <w:rFonts w:ascii="Arial" w:cs="Arial" w:eastAsia="Arial" w:hAnsi="Arial"/>
                <w:sz w:val="12"/>
                <w:szCs w:val="12"/>
                <w:color w:val="0000EE"/>
                <w:w w:val="89"/>
              </w:rPr>
            </w:pPr>
            <w:hyperlink w:anchor="page43">
              <w:r>
                <w:rPr>
                  <w:rFonts w:ascii="Arial" w:cs="Arial" w:eastAsia="Arial" w:hAnsi="Arial"/>
                  <w:sz w:val="12"/>
                  <w:szCs w:val="12"/>
                  <w:color w:val="0000EE"/>
                  <w:w w:val="89"/>
                </w:rPr>
                <w:t>Dilution</w:t>
              </w:r>
            </w:hyperlink>
          </w:p>
        </w:tc>
        <w:tc>
          <w:tcPr>
            <w:tcW w:w="4300" w:type="dxa"/>
            <w:vAlign w:val="bottom"/>
            <w:tcBorders>
              <w:bottom w:val="single" w:sz="8" w:color="CCEEFF"/>
            </w:tcBorders>
            <w:gridSpan w:val="13"/>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240"/>
              <w:spacing w:after="0" w:line="117" w:lineRule="exact"/>
              <w:rPr>
                <w:sz w:val="20"/>
                <w:szCs w:val="20"/>
                <w:color w:val="auto"/>
              </w:rPr>
            </w:pPr>
            <w:r>
              <w:rPr>
                <w:rFonts w:ascii="Arial" w:cs="Arial" w:eastAsia="Arial" w:hAnsi="Arial"/>
                <w:sz w:val="12"/>
                <w:szCs w:val="12"/>
                <w:color w:val="auto"/>
                <w:w w:val="89"/>
              </w:rPr>
              <w:t>37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80" w:type="dxa"/>
            <w:vAlign w:val="bottom"/>
            <w:gridSpan w:val="15"/>
          </w:tcPr>
          <w:p>
            <w:pPr>
              <w:spacing w:after="0" w:line="117" w:lineRule="exact"/>
              <w:rPr>
                <w:rFonts w:ascii="Arial" w:cs="Arial" w:eastAsia="Arial" w:hAnsi="Arial"/>
                <w:sz w:val="12"/>
                <w:szCs w:val="12"/>
                <w:color w:val="0000EE"/>
              </w:rPr>
            </w:pPr>
            <w:hyperlink w:anchor="page45">
              <w:r>
                <w:rPr>
                  <w:rFonts w:ascii="Arial" w:cs="Arial" w:eastAsia="Arial" w:hAnsi="Arial"/>
                  <w:sz w:val="12"/>
                  <w:szCs w:val="12"/>
                  <w:color w:val="0000EE"/>
                </w:rPr>
                <w:t>Capitalization</w:t>
              </w:r>
            </w:hyperlink>
          </w:p>
        </w:tc>
        <w:tc>
          <w:tcPr>
            <w:tcW w:w="6780" w:type="dxa"/>
            <w:vAlign w:val="bottom"/>
            <w:gridSpan w:val="2"/>
          </w:tcPr>
          <w:p>
            <w:pPr>
              <w:jc w:val="center"/>
              <w:ind w:left="5240"/>
              <w:spacing w:after="0" w:line="117" w:lineRule="exact"/>
              <w:rPr>
                <w:sz w:val="20"/>
                <w:szCs w:val="20"/>
                <w:color w:val="auto"/>
              </w:rPr>
            </w:pPr>
            <w:r>
              <w:rPr>
                <w:rFonts w:ascii="Arial" w:cs="Arial" w:eastAsia="Arial" w:hAnsi="Arial"/>
                <w:sz w:val="12"/>
                <w:szCs w:val="12"/>
                <w:color w:val="auto"/>
                <w:w w:val="89"/>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4680" w:type="dxa"/>
            <w:vAlign w:val="bottom"/>
            <w:gridSpan w:val="15"/>
            <w:shd w:val="clear" w:color="auto" w:fill="CCEEFF"/>
          </w:tcPr>
          <w:p>
            <w:pPr>
              <w:spacing w:after="0" w:line="117" w:lineRule="exact"/>
              <w:rPr>
                <w:rFonts w:ascii="Arial" w:cs="Arial" w:eastAsia="Arial" w:hAnsi="Arial"/>
                <w:sz w:val="12"/>
                <w:szCs w:val="12"/>
                <w:color w:val="0000EE"/>
              </w:rPr>
            </w:pPr>
            <w:hyperlink w:anchor="page46">
              <w:r>
                <w:rPr>
                  <w:rFonts w:ascii="Arial" w:cs="Arial" w:eastAsia="Arial" w:hAnsi="Arial"/>
                  <w:sz w:val="12"/>
                  <w:szCs w:val="12"/>
                  <w:color w:val="0000EE"/>
                </w:rPr>
                <w:t>Plan of Distribution</w:t>
              </w:r>
            </w:hyperlink>
          </w:p>
        </w:tc>
        <w:tc>
          <w:tcPr>
            <w:tcW w:w="6780" w:type="dxa"/>
            <w:vAlign w:val="bottom"/>
            <w:gridSpan w:val="2"/>
            <w:shd w:val="clear" w:color="auto" w:fill="CCEEFF"/>
          </w:tcPr>
          <w:p>
            <w:pPr>
              <w:jc w:val="center"/>
              <w:ind w:left="5240"/>
              <w:spacing w:after="0" w:line="117" w:lineRule="exact"/>
              <w:rPr>
                <w:sz w:val="20"/>
                <w:szCs w:val="20"/>
                <w:color w:val="auto"/>
              </w:rPr>
            </w:pPr>
            <w:r>
              <w:rPr>
                <w:rFonts w:ascii="Arial" w:cs="Arial" w:eastAsia="Arial" w:hAnsi="Arial"/>
                <w:sz w:val="12"/>
                <w:szCs w:val="12"/>
                <w:color w:val="auto"/>
                <w:w w:val="89"/>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tcBorders>
              <w:right w:val="single" w:sz="8" w:color="CCEEFF"/>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4680" w:type="dxa"/>
            <w:vAlign w:val="bottom"/>
            <w:gridSpan w:val="15"/>
          </w:tcPr>
          <w:p>
            <w:pPr>
              <w:spacing w:after="0" w:line="117" w:lineRule="exact"/>
              <w:rPr>
                <w:rFonts w:ascii="Arial" w:cs="Arial" w:eastAsia="Arial" w:hAnsi="Arial"/>
                <w:sz w:val="12"/>
                <w:szCs w:val="12"/>
                <w:color w:val="0000EE"/>
              </w:rPr>
            </w:pPr>
            <w:hyperlink w:anchor="page48">
              <w:r>
                <w:rPr>
                  <w:rFonts w:ascii="Arial" w:cs="Arial" w:eastAsia="Arial" w:hAnsi="Arial"/>
                  <w:sz w:val="12"/>
                  <w:szCs w:val="12"/>
                  <w:color w:val="0000EE"/>
                </w:rPr>
                <w:t>Description of Securities</w:t>
              </w:r>
            </w:hyperlink>
          </w:p>
        </w:tc>
        <w:tc>
          <w:tcPr>
            <w:tcW w:w="6780" w:type="dxa"/>
            <w:vAlign w:val="bottom"/>
            <w:gridSpan w:val="2"/>
          </w:tcPr>
          <w:p>
            <w:pPr>
              <w:jc w:val="center"/>
              <w:ind w:left="5240"/>
              <w:spacing w:after="0" w:line="117" w:lineRule="exact"/>
              <w:rPr>
                <w:sz w:val="20"/>
                <w:szCs w:val="20"/>
                <w:color w:val="auto"/>
              </w:rPr>
            </w:pPr>
            <w:r>
              <w:rPr>
                <w:rFonts w:ascii="Arial" w:cs="Arial" w:eastAsia="Arial" w:hAnsi="Arial"/>
                <w:sz w:val="12"/>
                <w:szCs w:val="12"/>
                <w:color w:val="auto"/>
                <w:w w:val="89"/>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460" w:type="dxa"/>
            <w:vAlign w:val="bottom"/>
            <w:tcBorders>
              <w:bottom w:val="single" w:sz="8" w:color="0000EE"/>
            </w:tcBorders>
            <w:gridSpan w:val="11"/>
            <w:shd w:val="clear" w:color="auto" w:fill="CCEEFF"/>
          </w:tcPr>
          <w:p>
            <w:pPr>
              <w:spacing w:after="0" w:line="117" w:lineRule="exact"/>
              <w:rPr>
                <w:rFonts w:ascii="Arial" w:cs="Arial" w:eastAsia="Arial" w:hAnsi="Arial"/>
                <w:sz w:val="12"/>
                <w:szCs w:val="12"/>
                <w:color w:val="0000EE"/>
                <w:w w:val="88"/>
              </w:rPr>
            </w:pPr>
            <w:hyperlink w:anchor="page51">
              <w:r>
                <w:rPr>
                  <w:rFonts w:ascii="Arial" w:cs="Arial" w:eastAsia="Arial" w:hAnsi="Arial"/>
                  <w:sz w:val="12"/>
                  <w:szCs w:val="12"/>
                  <w:color w:val="0000EE"/>
                  <w:w w:val="88"/>
                </w:rPr>
                <w:t>Shares Eligible for Future Sale</w:t>
              </w:r>
            </w:hyperlink>
          </w:p>
        </w:tc>
        <w:tc>
          <w:tcPr>
            <w:tcW w:w="3220" w:type="dxa"/>
            <w:vAlign w:val="bottom"/>
            <w:tcBorders>
              <w:bottom w:val="single" w:sz="8" w:color="CCEEFF"/>
            </w:tcBorders>
            <w:gridSpan w:val="4"/>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240"/>
              <w:spacing w:after="0" w:line="117" w:lineRule="exact"/>
              <w:rPr>
                <w:sz w:val="20"/>
                <w:szCs w:val="20"/>
                <w:color w:val="auto"/>
              </w:rPr>
            </w:pPr>
            <w:r>
              <w:rPr>
                <w:rFonts w:ascii="Arial" w:cs="Arial" w:eastAsia="Arial" w:hAnsi="Arial"/>
                <w:sz w:val="12"/>
                <w:szCs w:val="12"/>
                <w:color w:val="auto"/>
                <w:w w:val="89"/>
              </w:rPr>
              <w:t>45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0" w:type="dxa"/>
            <w:vAlign w:val="bottom"/>
            <w:tcBorders>
              <w:bottom w:val="single" w:sz="8" w:color="0000EE"/>
            </w:tcBorders>
            <w:gridSpan w:val="3"/>
          </w:tcPr>
          <w:p>
            <w:pPr>
              <w:spacing w:after="0" w:line="117" w:lineRule="exact"/>
              <w:rPr>
                <w:rFonts w:ascii="Arial" w:cs="Arial" w:eastAsia="Arial" w:hAnsi="Arial"/>
                <w:sz w:val="12"/>
                <w:szCs w:val="12"/>
                <w:color w:val="0000EE"/>
                <w:w w:val="77"/>
              </w:rPr>
            </w:pPr>
            <w:hyperlink w:anchor="page53">
              <w:r>
                <w:rPr>
                  <w:rFonts w:ascii="Arial" w:cs="Arial" w:eastAsia="Arial" w:hAnsi="Arial"/>
                  <w:sz w:val="12"/>
                  <w:szCs w:val="12"/>
                  <w:color w:val="0000EE"/>
                  <w:w w:val="77"/>
                </w:rPr>
                <w:t>Business</w:t>
              </w:r>
            </w:hyperlink>
          </w:p>
        </w:tc>
        <w:tc>
          <w:tcPr>
            <w:tcW w:w="4280" w:type="dxa"/>
            <w:vAlign w:val="bottom"/>
            <w:gridSpan w:val="12"/>
          </w:tcPr>
          <w:p>
            <w:pPr>
              <w:spacing w:after="0"/>
              <w:rPr>
                <w:sz w:val="10"/>
                <w:szCs w:val="10"/>
                <w:color w:val="auto"/>
              </w:rPr>
            </w:pPr>
          </w:p>
        </w:tc>
        <w:tc>
          <w:tcPr>
            <w:tcW w:w="6780" w:type="dxa"/>
            <w:vAlign w:val="bottom"/>
            <w:gridSpan w:val="2"/>
          </w:tcPr>
          <w:p>
            <w:pPr>
              <w:jc w:val="center"/>
              <w:ind w:left="5240"/>
              <w:spacing w:after="0" w:line="117" w:lineRule="exact"/>
              <w:rPr>
                <w:sz w:val="20"/>
                <w:szCs w:val="20"/>
                <w:color w:val="auto"/>
              </w:rPr>
            </w:pPr>
            <w:r>
              <w:rPr>
                <w:rFonts w:ascii="Arial" w:cs="Arial" w:eastAsia="Arial" w:hAnsi="Arial"/>
                <w:sz w:val="12"/>
                <w:szCs w:val="12"/>
                <w:color w:val="auto"/>
                <w:w w:val="89"/>
              </w:rPr>
              <w:t>47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Borders>
              <w:bottom w:val="single" w:sz="8" w:color="0000EE"/>
            </w:tcBorders>
            <w:gridSpan w:val="6"/>
            <w:shd w:val="clear" w:color="auto" w:fill="CCEEFF"/>
          </w:tcPr>
          <w:p>
            <w:pPr>
              <w:spacing w:after="0" w:line="117" w:lineRule="exact"/>
              <w:rPr>
                <w:rFonts w:ascii="Arial" w:cs="Arial" w:eastAsia="Arial" w:hAnsi="Arial"/>
                <w:sz w:val="12"/>
                <w:szCs w:val="12"/>
                <w:color w:val="0000EE"/>
                <w:w w:val="90"/>
              </w:rPr>
            </w:pPr>
            <w:hyperlink w:anchor="page77">
              <w:r>
                <w:rPr>
                  <w:rFonts w:ascii="Arial" w:cs="Arial" w:eastAsia="Arial" w:hAnsi="Arial"/>
                  <w:sz w:val="12"/>
                  <w:szCs w:val="12"/>
                  <w:color w:val="0000EE"/>
                  <w:w w:val="90"/>
                </w:rPr>
                <w:t>Dividend Policy</w:t>
              </w:r>
            </w:hyperlink>
          </w:p>
        </w:tc>
        <w:tc>
          <w:tcPr>
            <w:tcW w:w="3920" w:type="dxa"/>
            <w:vAlign w:val="bottom"/>
            <w:tcBorders>
              <w:bottom w:val="single" w:sz="8" w:color="CCEEFF"/>
            </w:tcBorders>
            <w:gridSpan w:val="9"/>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240"/>
              <w:spacing w:after="0" w:line="117" w:lineRule="exact"/>
              <w:rPr>
                <w:sz w:val="20"/>
                <w:szCs w:val="20"/>
                <w:color w:val="auto"/>
              </w:rPr>
            </w:pPr>
            <w:r>
              <w:rPr>
                <w:rFonts w:ascii="Arial" w:cs="Arial" w:eastAsia="Arial" w:hAnsi="Arial"/>
                <w:sz w:val="12"/>
                <w:szCs w:val="12"/>
                <w:color w:val="auto"/>
                <w:w w:val="89"/>
              </w:rPr>
              <w:t>71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280" w:type="dxa"/>
            <w:vAlign w:val="bottom"/>
            <w:tcBorders>
              <w:bottom w:val="single" w:sz="8" w:color="0000EE"/>
            </w:tcBorders>
            <w:gridSpan w:val="14"/>
          </w:tcPr>
          <w:p>
            <w:pPr>
              <w:spacing w:after="0" w:line="117" w:lineRule="exact"/>
              <w:rPr>
                <w:rFonts w:ascii="Arial" w:cs="Arial" w:eastAsia="Arial" w:hAnsi="Arial"/>
                <w:sz w:val="12"/>
                <w:szCs w:val="12"/>
                <w:color w:val="0000EE"/>
                <w:w w:val="90"/>
              </w:rPr>
            </w:pPr>
            <w:hyperlink w:anchor="page79">
              <w:r>
                <w:rPr>
                  <w:rFonts w:ascii="Arial" w:cs="Arial" w:eastAsia="Arial" w:hAnsi="Arial"/>
                  <w:sz w:val="12"/>
                  <w:szCs w:val="12"/>
                  <w:color w:val="0000EE"/>
                  <w:w w:val="90"/>
                </w:rPr>
                <w:t>Management’s Discussion and Analysis of Financial Condition and Results of Operations</w:t>
              </w:r>
            </w:hyperlink>
          </w:p>
        </w:tc>
        <w:tc>
          <w:tcPr>
            <w:tcW w:w="400" w:type="dxa"/>
            <w:vAlign w:val="bottom"/>
          </w:tcPr>
          <w:p>
            <w:pPr>
              <w:spacing w:after="0"/>
              <w:rPr>
                <w:sz w:val="10"/>
                <w:szCs w:val="10"/>
                <w:color w:val="auto"/>
              </w:rPr>
            </w:pPr>
          </w:p>
        </w:tc>
        <w:tc>
          <w:tcPr>
            <w:tcW w:w="6780" w:type="dxa"/>
            <w:vAlign w:val="bottom"/>
            <w:gridSpan w:val="2"/>
          </w:tcPr>
          <w:p>
            <w:pPr>
              <w:jc w:val="center"/>
              <w:ind w:left="5240"/>
              <w:spacing w:after="0" w:line="117" w:lineRule="exact"/>
              <w:rPr>
                <w:sz w:val="20"/>
                <w:szCs w:val="20"/>
                <w:color w:val="auto"/>
              </w:rPr>
            </w:pPr>
            <w:r>
              <w:rPr>
                <w:rFonts w:ascii="Arial" w:cs="Arial" w:eastAsia="Arial" w:hAnsi="Arial"/>
                <w:sz w:val="12"/>
                <w:szCs w:val="12"/>
                <w:color w:val="auto"/>
                <w:w w:val="89"/>
              </w:rPr>
              <w:t>73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40" w:type="dxa"/>
            <w:vAlign w:val="bottom"/>
            <w:tcBorders>
              <w:bottom w:val="single" w:sz="8" w:color="0000EE"/>
              <w:right w:val="single" w:sz="8" w:color="CCEEFF"/>
            </w:tcBorders>
            <w:gridSpan w:val="5"/>
            <w:shd w:val="clear" w:color="auto" w:fill="CCEEFF"/>
          </w:tcPr>
          <w:p>
            <w:pPr>
              <w:spacing w:after="0" w:line="117" w:lineRule="exact"/>
              <w:rPr>
                <w:rFonts w:ascii="Arial" w:cs="Arial" w:eastAsia="Arial" w:hAnsi="Arial"/>
                <w:sz w:val="12"/>
                <w:szCs w:val="12"/>
                <w:color w:val="0000EE"/>
                <w:w w:val="85"/>
              </w:rPr>
            </w:pPr>
            <w:hyperlink w:anchor="page91">
              <w:r>
                <w:rPr>
                  <w:rFonts w:ascii="Arial" w:cs="Arial" w:eastAsia="Arial" w:hAnsi="Arial"/>
                  <w:sz w:val="12"/>
                  <w:szCs w:val="12"/>
                  <w:color w:val="0000EE"/>
                  <w:w w:val="85"/>
                </w:rPr>
                <w:t>Management</w:t>
              </w:r>
            </w:hyperlink>
          </w:p>
        </w:tc>
        <w:tc>
          <w:tcPr>
            <w:tcW w:w="4040" w:type="dxa"/>
            <w:vAlign w:val="bottom"/>
            <w:tcBorders>
              <w:bottom w:val="single" w:sz="8" w:color="CCEEFF"/>
            </w:tcBorders>
            <w:gridSpan w:val="10"/>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240"/>
              <w:spacing w:after="0" w:line="117" w:lineRule="exact"/>
              <w:rPr>
                <w:sz w:val="20"/>
                <w:szCs w:val="20"/>
                <w:color w:val="auto"/>
              </w:rPr>
            </w:pPr>
            <w:r>
              <w:rPr>
                <w:rFonts w:ascii="Arial" w:cs="Arial" w:eastAsia="Arial" w:hAnsi="Arial"/>
                <w:sz w:val="12"/>
                <w:szCs w:val="12"/>
                <w:color w:val="auto"/>
                <w:w w:val="89"/>
              </w:rPr>
              <w:t>85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80" w:type="dxa"/>
            <w:vAlign w:val="bottom"/>
            <w:gridSpan w:val="15"/>
          </w:tcPr>
          <w:p>
            <w:pPr>
              <w:spacing w:after="0" w:line="117" w:lineRule="exact"/>
              <w:rPr>
                <w:rFonts w:ascii="Arial" w:cs="Arial" w:eastAsia="Arial" w:hAnsi="Arial"/>
                <w:sz w:val="12"/>
                <w:szCs w:val="12"/>
                <w:color w:val="0000EE"/>
              </w:rPr>
            </w:pPr>
            <w:hyperlink w:anchor="page112">
              <w:r>
                <w:rPr>
                  <w:rFonts w:ascii="Arial" w:cs="Arial" w:eastAsia="Arial" w:hAnsi="Arial"/>
                  <w:sz w:val="12"/>
                  <w:szCs w:val="12"/>
                  <w:color w:val="0000EE"/>
                </w:rPr>
                <w:t>Related Party Transactions</w:t>
              </w:r>
            </w:hyperlink>
          </w:p>
        </w:tc>
        <w:tc>
          <w:tcPr>
            <w:tcW w:w="6780" w:type="dxa"/>
            <w:vAlign w:val="bottom"/>
            <w:gridSpan w:val="2"/>
          </w:tcPr>
          <w:p>
            <w:pPr>
              <w:jc w:val="center"/>
              <w:ind w:left="5220"/>
              <w:spacing w:after="0" w:line="117" w:lineRule="exact"/>
              <w:rPr>
                <w:sz w:val="20"/>
                <w:szCs w:val="20"/>
                <w:color w:val="auto"/>
              </w:rPr>
            </w:pPr>
            <w:r>
              <w:rPr>
                <w:rFonts w:ascii="Arial" w:cs="Arial" w:eastAsia="Arial" w:hAnsi="Arial"/>
                <w:sz w:val="12"/>
                <w:szCs w:val="12"/>
                <w:color w:val="auto"/>
                <w:w w:val="89"/>
              </w:rPr>
              <w:t>106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60" w:type="dxa"/>
            <w:vAlign w:val="bottom"/>
            <w:tcBorders>
              <w:top w:val="single" w:sz="8" w:color="0000EE"/>
            </w:tcBorders>
            <w:gridSpan w:val="9"/>
            <w:shd w:val="clear" w:color="auto" w:fill="CCEEFF"/>
          </w:tcPr>
          <w:p>
            <w:pPr>
              <w:spacing w:after="0" w:line="117" w:lineRule="exact"/>
              <w:rPr>
                <w:rFonts w:ascii="Arial" w:cs="Arial" w:eastAsia="Arial" w:hAnsi="Arial"/>
                <w:sz w:val="12"/>
                <w:szCs w:val="12"/>
                <w:color w:val="0000EE"/>
              </w:rPr>
            </w:pPr>
            <w:hyperlink w:anchor="page113">
              <w:r>
                <w:rPr>
                  <w:rFonts w:ascii="Arial" w:cs="Arial" w:eastAsia="Arial" w:hAnsi="Arial"/>
                  <w:sz w:val="12"/>
                  <w:szCs w:val="12"/>
                  <w:color w:val="0000EE"/>
                </w:rPr>
                <w:t>Legal Matters</w:t>
              </w:r>
            </w:hyperlink>
          </w:p>
        </w:tc>
        <w:tc>
          <w:tcPr>
            <w:tcW w:w="3420" w:type="dxa"/>
            <w:vAlign w:val="bottom"/>
            <w:gridSpan w:val="6"/>
            <w:shd w:val="clear" w:color="auto" w:fill="CCEEFF"/>
          </w:tcPr>
          <w:p>
            <w:pPr>
              <w:spacing w:after="0"/>
              <w:rPr>
                <w:sz w:val="10"/>
                <w:szCs w:val="10"/>
                <w:color w:val="auto"/>
              </w:rPr>
            </w:pPr>
          </w:p>
        </w:tc>
        <w:tc>
          <w:tcPr>
            <w:tcW w:w="6780" w:type="dxa"/>
            <w:vAlign w:val="bottom"/>
            <w:gridSpan w:val="2"/>
            <w:shd w:val="clear" w:color="auto" w:fill="CCEEFF"/>
          </w:tcPr>
          <w:p>
            <w:pPr>
              <w:jc w:val="center"/>
              <w:ind w:left="5220"/>
              <w:spacing w:after="0" w:line="117" w:lineRule="exact"/>
              <w:rPr>
                <w:sz w:val="20"/>
                <w:szCs w:val="20"/>
                <w:color w:val="auto"/>
              </w:rPr>
            </w:pPr>
            <w:r>
              <w:rPr>
                <w:rFonts w:ascii="Arial" w:cs="Arial" w:eastAsia="Arial" w:hAnsi="Arial"/>
                <w:sz w:val="12"/>
                <w:szCs w:val="12"/>
                <w:color w:val="auto"/>
                <w:w w:val="89"/>
              </w:rPr>
              <w:t>107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Borders>
              <w:top w:val="single" w:sz="8" w:color="0000EE"/>
              <w:bottom w:val="single" w:sz="8" w:color="0000EE"/>
            </w:tcBorders>
          </w:tcPr>
          <w:p>
            <w:pPr>
              <w:spacing w:after="0" w:line="117" w:lineRule="exact"/>
              <w:rPr>
                <w:rFonts w:ascii="Arial" w:cs="Arial" w:eastAsia="Arial" w:hAnsi="Arial"/>
                <w:sz w:val="12"/>
                <w:szCs w:val="12"/>
                <w:color w:val="0000EE"/>
                <w:w w:val="78"/>
              </w:rPr>
            </w:pPr>
            <w:hyperlink w:anchor="page113">
              <w:r>
                <w:rPr>
                  <w:rFonts w:ascii="Arial" w:cs="Arial" w:eastAsia="Arial" w:hAnsi="Arial"/>
                  <w:sz w:val="12"/>
                  <w:szCs w:val="12"/>
                  <w:color w:val="0000EE"/>
                  <w:w w:val="78"/>
                </w:rPr>
                <w:t>Experts</w:t>
              </w:r>
            </w:hyperlink>
          </w:p>
        </w:tc>
        <w:tc>
          <w:tcPr>
            <w:tcW w:w="300" w:type="dxa"/>
            <w:vAlign w:val="bottom"/>
            <w:tcBorders>
              <w:top w:val="single" w:sz="8" w:color="0000EE"/>
            </w:tcBorders>
            <w:gridSpan w:val="4"/>
          </w:tcPr>
          <w:p>
            <w:pPr>
              <w:spacing w:after="0"/>
              <w:rPr>
                <w:sz w:val="10"/>
                <w:szCs w:val="10"/>
                <w:color w:val="auto"/>
              </w:rPr>
            </w:pPr>
          </w:p>
        </w:tc>
        <w:tc>
          <w:tcPr>
            <w:tcW w:w="4040" w:type="dxa"/>
            <w:vAlign w:val="bottom"/>
            <w:tcBorders>
              <w:top w:val="single" w:sz="8" w:color="CCEEFF"/>
            </w:tcBorders>
            <w:gridSpan w:val="10"/>
          </w:tcPr>
          <w:p>
            <w:pPr>
              <w:spacing w:after="0"/>
              <w:rPr>
                <w:sz w:val="10"/>
                <w:szCs w:val="10"/>
                <w:color w:val="auto"/>
              </w:rPr>
            </w:pPr>
          </w:p>
        </w:tc>
        <w:tc>
          <w:tcPr>
            <w:tcW w:w="6780" w:type="dxa"/>
            <w:vAlign w:val="bottom"/>
            <w:tcBorders>
              <w:top w:val="single" w:sz="8" w:color="CCEEFF"/>
            </w:tcBorders>
            <w:gridSpan w:val="2"/>
          </w:tcPr>
          <w:p>
            <w:pPr>
              <w:jc w:val="center"/>
              <w:ind w:left="5220"/>
              <w:spacing w:after="0" w:line="117" w:lineRule="exact"/>
              <w:rPr>
                <w:sz w:val="20"/>
                <w:szCs w:val="20"/>
                <w:color w:val="auto"/>
              </w:rPr>
            </w:pPr>
            <w:r>
              <w:rPr>
                <w:rFonts w:ascii="Arial" w:cs="Arial" w:eastAsia="Arial" w:hAnsi="Arial"/>
                <w:sz w:val="12"/>
                <w:szCs w:val="12"/>
                <w:color w:val="auto"/>
                <w:w w:val="89"/>
              </w:rPr>
              <w:t>107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80" w:type="dxa"/>
            <w:vAlign w:val="bottom"/>
            <w:gridSpan w:val="15"/>
            <w:shd w:val="clear" w:color="auto" w:fill="CCEEFF"/>
          </w:tcPr>
          <w:p>
            <w:pPr>
              <w:spacing w:after="0" w:line="117" w:lineRule="exact"/>
              <w:rPr>
                <w:rFonts w:ascii="Arial" w:cs="Arial" w:eastAsia="Arial" w:hAnsi="Arial"/>
                <w:sz w:val="12"/>
                <w:szCs w:val="12"/>
                <w:color w:val="0000EE"/>
              </w:rPr>
            </w:pPr>
            <w:hyperlink w:anchor="page113">
              <w:r>
                <w:rPr>
                  <w:rFonts w:ascii="Arial" w:cs="Arial" w:eastAsia="Arial" w:hAnsi="Arial"/>
                  <w:sz w:val="12"/>
                  <w:szCs w:val="12"/>
                  <w:color w:val="0000EE"/>
                </w:rPr>
                <w:t>Where You Can Find More Information</w:t>
              </w:r>
            </w:hyperlink>
          </w:p>
        </w:tc>
        <w:tc>
          <w:tcPr>
            <w:tcW w:w="6780" w:type="dxa"/>
            <w:vAlign w:val="bottom"/>
            <w:gridSpan w:val="2"/>
            <w:shd w:val="clear" w:color="auto" w:fill="CCEEFF"/>
          </w:tcPr>
          <w:p>
            <w:pPr>
              <w:jc w:val="center"/>
              <w:ind w:left="5220"/>
              <w:spacing w:after="0" w:line="117" w:lineRule="exact"/>
              <w:rPr>
                <w:sz w:val="20"/>
                <w:szCs w:val="20"/>
                <w:color w:val="auto"/>
              </w:rPr>
            </w:pPr>
            <w:r>
              <w:rPr>
                <w:rFonts w:ascii="Arial" w:cs="Arial" w:eastAsia="Arial" w:hAnsi="Arial"/>
                <w:sz w:val="12"/>
                <w:szCs w:val="12"/>
                <w:color w:val="auto"/>
                <w:w w:val="89"/>
              </w:rPr>
              <w:t>107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80" w:type="dxa"/>
            <w:vAlign w:val="bottom"/>
            <w:tcBorders>
              <w:top w:val="single" w:sz="8" w:color="0000EE"/>
            </w:tcBorders>
            <w:gridSpan w:val="12"/>
          </w:tcPr>
          <w:p>
            <w:pPr>
              <w:spacing w:after="0" w:line="117" w:lineRule="exact"/>
              <w:rPr>
                <w:rFonts w:ascii="Arial" w:cs="Arial" w:eastAsia="Arial" w:hAnsi="Arial"/>
                <w:sz w:val="12"/>
                <w:szCs w:val="12"/>
                <w:color w:val="0000EE"/>
              </w:rPr>
            </w:pPr>
            <w:hyperlink w:anchor="page114">
              <w:r>
                <w:rPr>
                  <w:rFonts w:ascii="Arial" w:cs="Arial" w:eastAsia="Arial" w:hAnsi="Arial"/>
                  <w:sz w:val="12"/>
                  <w:szCs w:val="12"/>
                  <w:color w:val="0000EE"/>
                </w:rPr>
                <w:t>Index to Financial Statements</w:t>
              </w:r>
            </w:hyperlink>
          </w:p>
        </w:tc>
        <w:tc>
          <w:tcPr>
            <w:tcW w:w="2800" w:type="dxa"/>
            <w:vAlign w:val="bottom"/>
            <w:tcBorders>
              <w:top w:val="single" w:sz="8" w:color="CCEEFF"/>
            </w:tcBorders>
            <w:gridSpan w:val="3"/>
          </w:tcPr>
          <w:p>
            <w:pPr>
              <w:spacing w:after="0"/>
              <w:rPr>
                <w:sz w:val="10"/>
                <w:szCs w:val="10"/>
                <w:color w:val="auto"/>
              </w:rPr>
            </w:pPr>
          </w:p>
        </w:tc>
        <w:tc>
          <w:tcPr>
            <w:tcW w:w="5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jc w:val="center"/>
              <w:spacing w:after="0" w:line="117" w:lineRule="exact"/>
              <w:rPr>
                <w:sz w:val="20"/>
                <w:szCs w:val="20"/>
                <w:color w:val="auto"/>
              </w:rPr>
            </w:pPr>
            <w:r>
              <w:rPr>
                <w:rFonts w:ascii="Arial" w:cs="Arial" w:eastAsia="Arial" w:hAnsi="Arial"/>
                <w:sz w:val="12"/>
                <w:szCs w:val="12"/>
                <w:color w:val="auto"/>
                <w:w w:val="88"/>
              </w:rPr>
              <w:t>F-1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ABOUT THIS PROSPECTUS</w:t>
      </w:r>
    </w:p>
    <w:p>
      <w:pPr>
        <w:spacing w:after="0" w:line="154"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You should rely only on the information contained in this prospectus. We have not authorized anyone to provide you with additional information or information different from that contained in this prospectus.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any sale of our common stock.</w:t>
      </w:r>
    </w:p>
    <w:p>
      <w:pPr>
        <w:spacing w:after="0" w:line="141"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On July __, 2014, our board of directors approved an amendment to our Articles of Incorporation, as amended (</w:t>
      </w:r>
      <w:r>
        <w:rPr>
          <w:rFonts w:ascii="Arial" w:cs="Arial" w:eastAsia="Arial" w:hAnsi="Arial"/>
          <w:sz w:val="11"/>
          <w:szCs w:val="11"/>
          <w:i w:val="1"/>
          <w:iCs w:val="1"/>
          <w:color w:val="auto"/>
        </w:rPr>
        <w:t>Articles</w:t>
      </w:r>
      <w:r>
        <w:rPr>
          <w:rFonts w:ascii="Arial" w:cs="Arial" w:eastAsia="Arial" w:hAnsi="Arial"/>
          <w:sz w:val="11"/>
          <w:szCs w:val="11"/>
          <w:color w:val="auto"/>
        </w:rPr>
        <w:t>), to authorize a reverse stock split of our authorized and issued and outstanding shares of common stock at a ratio of up to one-for-____twenty, with the exact ratio to be determined by our board of directors (</w:t>
      </w:r>
      <w:r>
        <w:rPr>
          <w:rFonts w:ascii="Arial" w:cs="Arial" w:eastAsia="Arial" w:hAnsi="Arial"/>
          <w:sz w:val="11"/>
          <w:szCs w:val="11"/>
          <w:i w:val="1"/>
          <w:iCs w:val="1"/>
          <w:color w:val="auto"/>
        </w:rPr>
        <w:t>Stock Consolidation</w:t>
      </w:r>
      <w:r>
        <w:rPr>
          <w:rFonts w:ascii="Arial" w:cs="Arial" w:eastAsia="Arial" w:hAnsi="Arial"/>
          <w:sz w:val="11"/>
          <w:szCs w:val="11"/>
          <w:color w:val="auto"/>
        </w:rPr>
        <w:t>). Although no assurances can be give, the purpose of the Stock Consolidation is to make our shares mare attractive to</w:t>
      </w:r>
    </w:p>
    <w:p>
      <w:pPr>
        <w:spacing w:after="0" w:line="1" w:lineRule="exact"/>
        <w:rPr>
          <w:sz w:val="20"/>
          <w:szCs w:val="20"/>
          <w:color w:val="auto"/>
        </w:rPr>
      </w:pPr>
    </w:p>
    <w:p>
      <w:pPr>
        <w:ind w:right="20"/>
        <w:spacing w:after="0" w:line="306" w:lineRule="auto"/>
        <w:rPr>
          <w:sz w:val="20"/>
          <w:szCs w:val="20"/>
          <w:color w:val="auto"/>
        </w:rPr>
      </w:pPr>
      <w:r>
        <w:rPr>
          <w:rFonts w:ascii="Arial" w:cs="Arial" w:eastAsia="Arial" w:hAnsi="Arial"/>
          <w:sz w:val="11"/>
          <w:szCs w:val="11"/>
          <w:color w:val="auto"/>
        </w:rPr>
        <w:t>institutional investors and to facilitate a possible listing of our shares on the NASDAQ Capital Market or other national securities exchange. The Stock Consolidation is anticipated to be effective prior to August 31, 2014. Each reference to shares of common stock in this prospectus is pre-Stock Consolidation, and does not reflect the up to one-for-____ adjustment anticipated as a result of the Stock Consolidation. See also “Risk Factors” beginning on page 7.</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6" w:name="page7"/>
    <w:bookmarkEnd w:id="6"/>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PROSPECTUS SUMMARY</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This summary highlights selected information appearing elsewhere in this prospectus and does not contain all the information you should consider before investing in our common stock. You should carefully read this prospectus in its entirety before investing in our common stock, including the section entitled “Risk Factors” and our financial statements and related notes included elsewhere in this prospectus.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Unless the context otherwise requires, the words “VistaGen Therapeutics, Inc.” “VistaGen,” “we,” “the Company,” “us” and “our” refer to VistaGen Therapeutics, Inc., a Nevada corporation. “VistaGen California” refers to VistaGen Therapeutics, Inc., a California corporation and our wholly owned subsidiary.</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We are a stem cell company headquartered in South San Francisco, California, focused on drug rescue and regenerative medicine. We believe </w:t>
      </w:r>
      <w:r>
        <w:rPr>
          <w:rFonts w:ascii="Arial" w:cs="Arial" w:eastAsia="Arial" w:hAnsi="Arial"/>
          <w:sz w:val="12"/>
          <w:szCs w:val="12"/>
          <w:i w:val="1"/>
          <w:iCs w:val="1"/>
          <w:color w:val="auto"/>
        </w:rPr>
        <w:t>better cells lead to better medicines</w:t>
      </w:r>
      <w:r>
        <w:rPr>
          <w:rFonts w:ascii="Arial" w:cs="Arial" w:eastAsia="Arial" w:hAnsi="Arial"/>
          <w:sz w:val="12"/>
          <w:szCs w:val="12"/>
          <w:color w:val="auto"/>
        </w:rPr>
        <w:t xml:space="preserve">™ and that the key to making better cells is precisely controlling the differentiation of human pluripotent stem cells, which are the building blocks of all cells of the human body. Our stem cell technology platform, which we refer to as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is based on a combination of proprietary and exclusively licensed technologies for controlling the differentiation of human pluripotent stem cells and producing multiple types of mature, functional, adult human cells that we use, or plan to use, to reproduce complex human biology and disease. We have used the human heart cells and liver cells we produce to design and develop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our customized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biological assay systems for assessing, respectively, the potential cardiac toxicity and liver toxicity of small molecule new drug rescue candidates. We believe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anchored by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offer a new paradigm for evaluating potential heart and liver toxicity early in drug development, long before costly, high risk human clinical trials. We believe using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for small molecule drug rescue is the highest-value near term commercial application of the human cells we produce and the cellular assay systems we have developed.</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Our stem cell technology-based drug rescue activities involve therapeutically and commercially promising new drug candidates, each of which was previously discovered, optimized and tested for efficacy by pharmaceutical companies and others but failed in development due to unexpected cardiac toxicity and/or liver toxicity. We refer to these failed but still-promising new drug candidates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Our drug rescue strategy involves leveraging our </w:t>
      </w:r>
      <w:r>
        <w:rPr>
          <w:rFonts w:ascii="Arial" w:cs="Arial" w:eastAsia="Arial" w:hAnsi="Arial"/>
          <w:sz w:val="11"/>
          <w:szCs w:val="11"/>
          <w:i w:val="1"/>
          <w:iCs w:val="1"/>
          <w:color w:val="auto"/>
        </w:rPr>
        <w:t xml:space="preserve">Human Clinical Trials in a Test Tube </w:t>
      </w:r>
      <w:r>
        <w:rPr>
          <w:rFonts w:ascii="Arial" w:cs="Arial" w:eastAsia="Arial" w:hAnsi="Arial"/>
          <w:sz w:val="11"/>
          <w:szCs w:val="11"/>
          <w:color w:val="auto"/>
        </w:rPr>
        <w:t>platform to attempt to significantly reduce the toxicity that caused the</w:t>
      </w:r>
      <w:r>
        <w:rPr>
          <w:rFonts w:ascii="Arial" w:cs="Arial" w:eastAsia="Arial" w:hAnsi="Arial"/>
          <w:sz w:val="11"/>
          <w:szCs w:val="11"/>
          <w:i w:val="1"/>
          <w:iCs w:val="1"/>
          <w:color w:val="auto"/>
        </w:rPr>
        <w:t xml:space="preserve"> Drug Rescue Candidates </w:t>
      </w:r>
      <w:r>
        <w:rPr>
          <w:rFonts w:ascii="Arial" w:cs="Arial" w:eastAsia="Arial" w:hAnsi="Arial"/>
          <w:sz w:val="11"/>
          <w:szCs w:val="11"/>
          <w:color w:val="auto"/>
        </w:rPr>
        <w:t>to be terminated, and bring new, potentially safer versions of them back into development, protected by</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new intellectual property. We refer to the new, potentially safer versions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we intend to produce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We anticipate that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optimized for cardiac and/or liver safety using </w:t>
      </w:r>
      <w:r>
        <w:rPr>
          <w:rFonts w:ascii="Arial" w:cs="Arial" w:eastAsia="Arial" w:hAnsi="Arial"/>
          <w:sz w:val="11"/>
          <w:szCs w:val="11"/>
          <w:i w:val="1"/>
          <w:iCs w:val="1"/>
          <w:color w:val="auto"/>
        </w:rPr>
        <w:t xml:space="preserve">CardioSafe </w:t>
      </w:r>
      <w:r>
        <w:rPr>
          <w:rFonts w:ascii="Arial" w:cs="Arial" w:eastAsia="Arial" w:hAnsi="Arial"/>
          <w:sz w:val="11"/>
          <w:szCs w:val="11"/>
          <w:color w:val="auto"/>
        </w:rPr>
        <w:t>3D and/or</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will be suitable as promising new drug development programs, either internally or under revenue-generating out-license arrangements with pharmaceutical companies.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 w:name="page8"/>
    <w:bookmarkEnd w:id="7"/>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Our business is subject to a number of risks of which you should be aware before making an investment decision. These risks are discussed more fully under the caption “Risk Factors” and include, but are not limited to, the following:</w:t>
      </w:r>
    </w:p>
    <w:p>
      <w:pPr>
        <w:spacing w:after="0" w:line="162" w:lineRule="exact"/>
        <w:rPr>
          <w:sz w:val="20"/>
          <w:szCs w:val="20"/>
          <w:color w:val="auto"/>
        </w:rPr>
      </w:pPr>
    </w:p>
    <w:p>
      <w:pPr>
        <w:ind w:left="560" w:hanging="316"/>
        <w:spacing w:after="0" w:line="276" w:lineRule="auto"/>
        <w:tabs>
          <w:tab w:leader="none" w:pos="560"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have incurred significant losses since inception, and anticipate that we will continue to incur substantial losses for the foreseeable future. We may never achieve or sustain profitability, which would depress the market price of our common stock, and could cause you to lose all or a part of your investment.</w:t>
      </w:r>
    </w:p>
    <w:p>
      <w:pPr>
        <w:spacing w:after="0" w:line="114" w:lineRule="exact"/>
        <w:rPr>
          <w:rFonts w:ascii="Arial" w:cs="Arial" w:eastAsia="Arial" w:hAnsi="Arial"/>
          <w:sz w:val="12"/>
          <w:szCs w:val="12"/>
          <w:color w:val="auto"/>
        </w:rPr>
      </w:pPr>
    </w:p>
    <w:p>
      <w:pPr>
        <w:ind w:left="560" w:hanging="316"/>
        <w:spacing w:after="0"/>
        <w:tabs>
          <w:tab w:leader="none" w:pos="560" w:val="left"/>
        </w:tabs>
        <w:numPr>
          <w:ilvl w:val="0"/>
          <w:numId w:val="3"/>
        </w:numPr>
        <w:rPr>
          <w:rFonts w:ascii="Arial" w:cs="Arial" w:eastAsia="Arial" w:hAnsi="Arial"/>
          <w:sz w:val="12"/>
          <w:szCs w:val="12"/>
          <w:color w:val="auto"/>
        </w:rPr>
      </w:pPr>
      <w:r>
        <w:rPr>
          <w:rFonts w:ascii="Arial" w:cs="Arial" w:eastAsia="Arial" w:hAnsi="Arial"/>
          <w:sz w:val="12"/>
          <w:szCs w:val="12"/>
          <w:color w:val="auto"/>
        </w:rPr>
        <w:t>If we are unable to develop products that achieve sufficient market acceptance, our revenue will be adversely affected.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 w:name="page9"/>
    <w:bookmarkEnd w:id="8"/>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left="560" w:hanging="316"/>
        <w:spacing w:after="0" w:line="263" w:lineRule="auto"/>
        <w:tabs>
          <w:tab w:leader="none" w:pos="560"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Our future success is highly dependent upon our ability to produce, validate and license to pharmaceutical and biotechnology companies novel </w:t>
      </w:r>
      <w:r>
        <w:rPr>
          <w:rFonts w:ascii="Arial" w:cs="Arial" w:eastAsia="Arial" w:hAnsi="Arial"/>
          <w:sz w:val="12"/>
          <w:szCs w:val="12"/>
          <w:i w:val="1"/>
          <w:iCs w:val="1"/>
          <w:color w:val="auto"/>
        </w:rPr>
        <w:t>Drug Rescue Variants</w:t>
      </w:r>
      <w:r>
        <w:rPr>
          <w:rFonts w:ascii="Arial" w:cs="Arial" w:eastAsia="Arial" w:hAnsi="Arial"/>
          <w:sz w:val="12"/>
          <w:szCs w:val="12"/>
          <w:color w:val="auto"/>
        </w:rPr>
        <w:t>, which are intended to be potentially safer, proprietary chemical variants of once-promising small molecule drug candidates which pharmaceutical companies and others discovered, determined to have therapeutic and commercial potential, and ultimately discontinued due to heart or liver safety concerns after substantial investment and prior to receiving FDA approval.</w:t>
      </w:r>
    </w:p>
    <w:p>
      <w:pPr>
        <w:spacing w:after="0" w:line="122" w:lineRule="exact"/>
        <w:rPr>
          <w:rFonts w:ascii="Arial" w:cs="Arial" w:eastAsia="Arial" w:hAnsi="Arial"/>
          <w:sz w:val="12"/>
          <w:szCs w:val="12"/>
          <w:color w:val="auto"/>
        </w:rPr>
      </w:pPr>
    </w:p>
    <w:p>
      <w:pPr>
        <w:ind w:left="560" w:hanging="316"/>
        <w:spacing w:after="0"/>
        <w:tabs>
          <w:tab w:leader="none" w:pos="5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human heart cell- and liver cell-based bioassay systems may not be meaningfully more clinically predictive of human biology than surrogate safety models currently used in drug development.</w:t>
      </w:r>
    </w:p>
    <w:p>
      <w:pPr>
        <w:spacing w:after="0" w:line="150" w:lineRule="exact"/>
        <w:rPr>
          <w:rFonts w:ascii="Arial" w:cs="Arial" w:eastAsia="Arial" w:hAnsi="Arial"/>
          <w:sz w:val="12"/>
          <w:szCs w:val="12"/>
          <w:color w:val="auto"/>
        </w:rPr>
      </w:pPr>
    </w:p>
    <w:p>
      <w:pPr>
        <w:ind w:left="560" w:hanging="316"/>
        <w:spacing w:after="0"/>
        <w:tabs>
          <w:tab w:leader="none" w:pos="5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life sciences field undergoes rapid technological changes, frequent new product introductions, changing needs and preferences, emerging competition, evolving standards and strong competition.</w:t>
      </w:r>
    </w:p>
    <w:p>
      <w:pPr>
        <w:spacing w:after="0" w:line="150" w:lineRule="exact"/>
        <w:rPr>
          <w:rFonts w:ascii="Arial" w:cs="Arial" w:eastAsia="Arial" w:hAnsi="Arial"/>
          <w:sz w:val="12"/>
          <w:szCs w:val="12"/>
          <w:color w:val="auto"/>
        </w:rPr>
      </w:pPr>
    </w:p>
    <w:p>
      <w:pPr>
        <w:ind w:left="560" w:hanging="316"/>
        <w:spacing w:after="0"/>
        <w:tabs>
          <w:tab w:leader="none" w:pos="56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utilize certain technologies that are licensed to us. If we are unable to maintain our licenses, our business could be adversely affected.</w:t>
      </w:r>
    </w:p>
    <w:p>
      <w:pPr>
        <w:spacing w:after="0" w:line="150" w:lineRule="exact"/>
        <w:rPr>
          <w:rFonts w:ascii="Arial" w:cs="Arial" w:eastAsia="Arial" w:hAnsi="Arial"/>
          <w:sz w:val="12"/>
          <w:szCs w:val="12"/>
          <w:color w:val="auto"/>
        </w:rPr>
      </w:pPr>
    </w:p>
    <w:p>
      <w:pPr>
        <w:ind w:left="560" w:hanging="316"/>
        <w:spacing w:after="0" w:line="276" w:lineRule="auto"/>
        <w:tabs>
          <w:tab w:leader="none" w:pos="5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protect our intellectual property and proprietary technology through patents and other means is uncertain and we may be involved in lawsuits to protect or enforce our patents and proprietary rights or to defend against intellectual property infringement claims.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information</w:t>
      </w:r>
    </w:p>
    <w:p>
      <w:pPr>
        <w:spacing w:after="0" w:line="154"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 xml:space="preserve">VistaGen Therapeutics, Inc. (formerly Excaliber Enterprises, Ltd.), a Nevada corporation, is the parent of VistaGen Therapeutics, Inc., a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2"/>
          <w:szCs w:val="12"/>
          <w:i w:val="1"/>
          <w:iCs w:val="1"/>
          <w:color w:val="auto"/>
        </w:rPr>
        <w:t>www.vistagen.com</w:t>
      </w:r>
      <w:r>
        <w:rPr>
          <w:rFonts w:ascii="Arial" w:cs="Arial" w:eastAsia="Arial" w:hAnsi="Arial"/>
          <w:sz w:val="12"/>
          <w:szCs w:val="12"/>
          <w:color w:val="auto"/>
        </w:rPr>
        <w:t>. The information on our website is not part of this prospectus. We have included our website address as a factual reference and do not intend it to be an active link to our website.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 w:name="page10"/>
    <w:bookmarkEnd w:id="9"/>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auto"/>
        </w:rPr>
        <w:t>Common stock offered</w:t>
      </w:r>
    </w:p>
    <w:p>
      <w:pPr>
        <w:spacing w:after="0" w:line="150"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Common stock outstanding after Offering, assuming the sale of all shares registered hereunder</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2"/>
          <w:szCs w:val="12"/>
          <w:color w:val="auto"/>
        </w:rPr>
        <w:t>Stock consolidation</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2"/>
          <w:szCs w:val="12"/>
          <w:color w:val="auto"/>
        </w:rPr>
        <w:t>Dividend policy</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OTCQB symbol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Risk factors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auto"/>
        </w:rPr>
        <w:t>THE OFFERING</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Up to _________ shares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Up to _________ shares</w:t>
      </w: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We estimate that we will receive up to $__ million in net proceeds from the sale of common stock in this Offering, based on a price of $____ per share of common stock,</w:t>
      </w:r>
    </w:p>
    <w:p>
      <w:pPr>
        <w:spacing w:after="0" w:line="26" w:lineRule="exact"/>
        <w:rPr>
          <w:sz w:val="20"/>
          <w:szCs w:val="20"/>
          <w:color w:val="auto"/>
        </w:rPr>
      </w:pPr>
    </w:p>
    <w:p>
      <w:pPr>
        <w:jc w:val="both"/>
        <w:spacing w:after="0" w:line="300" w:lineRule="auto"/>
        <w:rPr>
          <w:sz w:val="20"/>
          <w:szCs w:val="20"/>
          <w:color w:val="auto"/>
        </w:rPr>
      </w:pPr>
      <w:r>
        <w:rPr>
          <w:rFonts w:ascii="Arial" w:cs="Arial" w:eastAsia="Arial" w:hAnsi="Arial"/>
          <w:sz w:val="10"/>
          <w:szCs w:val="10"/>
          <w:color w:val="auto"/>
        </w:rPr>
        <w:t>assuming that (i) the maximum Offering amount is sold, and (ii) all holders of subordinated convertible promissory notes aggregating approximately $2.5 million in principal and accrued interest at July 1, 2014 (</w:t>
      </w:r>
      <w:r>
        <w:rPr>
          <w:rFonts w:ascii="Arial" w:cs="Arial" w:eastAsia="Arial" w:hAnsi="Arial"/>
          <w:sz w:val="10"/>
          <w:szCs w:val="10"/>
          <w:i w:val="1"/>
          <w:iCs w:val="1"/>
          <w:color w:val="auto"/>
        </w:rPr>
        <w:t>Convertible Notes</w:t>
      </w:r>
      <w:r>
        <w:rPr>
          <w:rFonts w:ascii="Arial" w:cs="Arial" w:eastAsia="Arial" w:hAnsi="Arial"/>
          <w:sz w:val="10"/>
          <w:szCs w:val="10"/>
          <w:color w:val="auto"/>
        </w:rPr>
        <w:t>) elect to waive their right to receive payment of principal and accrued interest for their Convertible Notes and in lieu thereof receive shares of common stock in connection with this Offering (</w:t>
      </w:r>
      <w:r>
        <w:rPr>
          <w:rFonts w:ascii="Arial" w:cs="Arial" w:eastAsia="Arial" w:hAnsi="Arial"/>
          <w:sz w:val="10"/>
          <w:szCs w:val="10"/>
          <w:i w:val="1"/>
          <w:iCs w:val="1"/>
          <w:color w:val="auto"/>
        </w:rPr>
        <w:t>Automatic Conversion</w:t>
      </w:r>
      <w:r>
        <w:rPr>
          <w:rFonts w:ascii="Arial" w:cs="Arial" w:eastAsia="Arial" w:hAnsi="Arial"/>
          <w:sz w:val="10"/>
          <w:szCs w:val="10"/>
          <w:color w:val="auto"/>
        </w:rPr>
        <w:t>), and after deducting the placement agent’s commission and estimated Offering expenses payable by us. However, this is a best efforts offering, with no minimum, and no assurances can be given that we will receive significant proceeds. In the event certain holders of the Convertible Notes elect to receive cash in lieu of Automatic Conversion, and assuming gross proceeds from this Offering of at least $10.0 million, the net proceeds available to us will decrease by an amount calculated based on the total amount of principal and accrued interest due and payable to those holders of Convertible Notes who elect to receive cash in lieu of Automatic Conversion. In either event, we will use net proceeds from the sale of the shares of common stock in this Offering for research and development, working capital needs, capital expenditures, extinguishment of indebtedness totaling approximately $______,</w:t>
      </w:r>
    </w:p>
    <w:p>
      <w:pPr>
        <w:spacing w:after="0" w:line="3"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and other general corporate purposes. See “Use of Proceeds” for additional information regarding the intended use of proceeds from the Offering and “Note Conversions” for additional information regarding the terms of the Automatic Conversion.</w:t>
      </w:r>
    </w:p>
    <w:p>
      <w:pPr>
        <w:spacing w:after="0" w:line="123" w:lineRule="exact"/>
        <w:rPr>
          <w:sz w:val="20"/>
          <w:szCs w:val="20"/>
          <w:color w:val="auto"/>
        </w:rPr>
      </w:pPr>
    </w:p>
    <w:p>
      <w:pPr>
        <w:jc w:val="both"/>
        <w:spacing w:after="0" w:line="310" w:lineRule="auto"/>
        <w:rPr>
          <w:sz w:val="20"/>
          <w:szCs w:val="20"/>
          <w:color w:val="auto"/>
        </w:rPr>
      </w:pPr>
      <w:r>
        <w:rPr>
          <w:rFonts w:ascii="Arial" w:cs="Arial" w:eastAsia="Arial" w:hAnsi="Arial"/>
          <w:sz w:val="10"/>
          <w:szCs w:val="10"/>
          <w:color w:val="auto"/>
        </w:rPr>
        <w:t>On July __, 2014, our board of directors approved an amendment to our Articles to a reverse split of our authorized and issued and outstanding shares of common stock at a ratio of up to one-for-____, with the exact ratio to be determined by our board of directors (</w:t>
      </w:r>
      <w:r>
        <w:rPr>
          <w:rFonts w:ascii="Arial" w:cs="Arial" w:eastAsia="Arial" w:hAnsi="Arial"/>
          <w:sz w:val="10"/>
          <w:szCs w:val="10"/>
          <w:i w:val="1"/>
          <w:iCs w:val="1"/>
          <w:color w:val="auto"/>
        </w:rPr>
        <w:t>Stock Consolidation</w:t>
      </w:r>
      <w:r>
        <w:rPr>
          <w:rFonts w:ascii="Arial" w:cs="Arial" w:eastAsia="Arial" w:hAnsi="Arial"/>
          <w:sz w:val="10"/>
          <w:szCs w:val="10"/>
          <w:color w:val="auto"/>
        </w:rPr>
        <w:t>), which Stock Consolidation is anticipated to be effective</w:t>
      </w:r>
    </w:p>
    <w:p>
      <w:pPr>
        <w:spacing w:after="0"/>
        <w:rPr>
          <w:sz w:val="20"/>
          <w:szCs w:val="20"/>
          <w:color w:val="auto"/>
        </w:rPr>
      </w:pPr>
      <w:r>
        <w:rPr>
          <w:rFonts w:ascii="Arial" w:cs="Arial" w:eastAsia="Arial" w:hAnsi="Arial"/>
          <w:sz w:val="11"/>
          <w:szCs w:val="11"/>
          <w:color w:val="auto"/>
        </w:rPr>
        <w:t>prior to August 31, 2014. Each reference to shares of common stock in this prospectus is pre-Stock Consolidation, and does not reflect the up to one-for-____ adjustment</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anticipated as a result of the Stock Consolidation.</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have never declared or paid and do not anticipate declaring or paying any cash dividends on our common stock in the near future. You should read the “Dividend policy” section of this prospectus for more information on future declarations and payments of dividends.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VSTA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See “Risk Factors” beginning on page 7 of this prospectus for a discussion of factors you should carefully consider before investing in our securities.</w:t>
      </w:r>
    </w:p>
    <w:p>
      <w:pPr>
        <w:spacing w:after="0" w:line="267" w:lineRule="exact"/>
        <w:rPr>
          <w:sz w:val="20"/>
          <w:szCs w:val="20"/>
          <w:color w:val="auto"/>
        </w:rPr>
      </w:pPr>
    </w:p>
    <w:p>
      <w:pPr>
        <w:ind w:left="246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2700" w:space="500"/>
            <w:col w:w="8280"/>
          </w:cols>
          <w:pgMar w:left="220" w:top="128" w:right="199" w:bottom="1440" w:gutter="0" w:footer="0" w:header="0"/>
        </w:sectPr>
      </w:pPr>
    </w:p>
    <w:bookmarkStart w:id="10" w:name="page11"/>
    <w:bookmarkEnd w:id="10"/>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number of shares of common stock to be outstanding after this Offering is based on 25,506,877 shares outstanding as of July 1, 2014, and does </w:t>
      </w:r>
      <w:r>
        <w:rPr>
          <w:rFonts w:ascii="Arial" w:cs="Arial" w:eastAsia="Arial" w:hAnsi="Arial"/>
          <w:sz w:val="12"/>
          <w:szCs w:val="12"/>
          <w:u w:val="single" w:color="auto"/>
          <w:color w:val="auto"/>
        </w:rPr>
        <w:t>not</w:t>
      </w:r>
      <w:r>
        <w:rPr>
          <w:rFonts w:ascii="Arial" w:cs="Arial" w:eastAsia="Arial" w:hAnsi="Arial"/>
          <w:sz w:val="12"/>
          <w:szCs w:val="12"/>
          <w:color w:val="auto"/>
        </w:rPr>
        <w:t xml:space="preserve"> include, as of that date:</w:t>
      </w:r>
    </w:p>
    <w:p>
      <w:pPr>
        <w:spacing w:after="0" w:line="168" w:lineRule="exact"/>
        <w:rPr>
          <w:sz w:val="20"/>
          <w:szCs w:val="20"/>
          <w:color w:val="auto"/>
        </w:rPr>
      </w:pPr>
    </w:p>
    <w:p>
      <w:pPr>
        <w:ind w:left="560" w:hanging="316"/>
        <w:spacing w:after="0"/>
        <w:tabs>
          <w:tab w:leader="none" w:pos="560" w:val="left"/>
        </w:tabs>
        <w:numPr>
          <w:ilvl w:val="1"/>
          <w:numId w:val="5"/>
        </w:numPr>
        <w:rPr>
          <w:rFonts w:ascii="Arial" w:cs="Arial" w:eastAsia="Arial" w:hAnsi="Arial"/>
          <w:sz w:val="12"/>
          <w:szCs w:val="12"/>
          <w:color w:val="auto"/>
        </w:rPr>
      </w:pPr>
      <w:r>
        <w:rPr>
          <w:rFonts w:ascii="Arial" w:cs="Arial" w:eastAsia="Arial" w:hAnsi="Arial"/>
          <w:sz w:val="12"/>
          <w:szCs w:val="12"/>
          <w:color w:val="auto"/>
        </w:rPr>
        <w:t>4,227,357 shares issuable upon the exercise of outstanding options under our 1999 Stock Incentive Plan and 2008 Stock Incentive Plan;</w:t>
      </w:r>
    </w:p>
    <w:p>
      <w:pPr>
        <w:spacing w:after="0" w:line="150" w:lineRule="exact"/>
        <w:rPr>
          <w:rFonts w:ascii="Arial" w:cs="Arial" w:eastAsia="Arial" w:hAnsi="Arial"/>
          <w:sz w:val="12"/>
          <w:szCs w:val="12"/>
          <w:color w:val="auto"/>
        </w:rPr>
      </w:pPr>
    </w:p>
    <w:p>
      <w:pPr>
        <w:ind w:left="560" w:hanging="325"/>
        <w:spacing w:after="0"/>
        <w:tabs>
          <w:tab w:leader="none" w:pos="560" w:val="left"/>
        </w:tabs>
        <w:numPr>
          <w:ilvl w:val="1"/>
          <w:numId w:val="5"/>
        </w:numPr>
        <w:rPr>
          <w:rFonts w:ascii="Arial" w:cs="Arial" w:eastAsia="Arial" w:hAnsi="Arial"/>
          <w:sz w:val="12"/>
          <w:szCs w:val="12"/>
          <w:color w:val="auto"/>
        </w:rPr>
      </w:pPr>
      <w:r>
        <w:rPr>
          <w:rFonts w:ascii="Arial" w:cs="Arial" w:eastAsia="Arial" w:hAnsi="Arial"/>
          <w:sz w:val="12"/>
          <w:szCs w:val="12"/>
          <w:color w:val="auto"/>
        </w:rPr>
        <w:t>735,200 shares of our common stock reserved for issuance in connection with future awards under our stock 2008 Stock Incentive Plan;</w:t>
      </w:r>
    </w:p>
    <w:p>
      <w:pPr>
        <w:spacing w:after="0" w:line="168" w:lineRule="exact"/>
        <w:rPr>
          <w:rFonts w:ascii="Arial" w:cs="Arial" w:eastAsia="Arial" w:hAnsi="Arial"/>
          <w:sz w:val="12"/>
          <w:szCs w:val="12"/>
          <w:color w:val="auto"/>
        </w:rPr>
      </w:pPr>
    </w:p>
    <w:p>
      <w:pPr>
        <w:ind w:left="560" w:hanging="325"/>
        <w:spacing w:after="0"/>
        <w:tabs>
          <w:tab w:leader="none" w:pos="560" w:val="left"/>
        </w:tabs>
        <w:numPr>
          <w:ilvl w:val="1"/>
          <w:numId w:val="5"/>
        </w:numPr>
        <w:rPr>
          <w:rFonts w:ascii="Arial" w:cs="Arial" w:eastAsia="Arial" w:hAnsi="Arial"/>
          <w:sz w:val="12"/>
          <w:szCs w:val="12"/>
          <w:color w:val="auto"/>
        </w:rPr>
      </w:pPr>
      <w:r>
        <w:rPr>
          <w:rFonts w:ascii="Arial" w:cs="Arial" w:eastAsia="Arial" w:hAnsi="Arial"/>
          <w:sz w:val="12"/>
          <w:szCs w:val="12"/>
          <w:color w:val="auto"/>
        </w:rPr>
        <w:t>18,981,490 shares of our common stock that have been reserved for issuance upon exercise of outstanding warrants;</w:t>
      </w:r>
    </w:p>
    <w:p>
      <w:pPr>
        <w:spacing w:after="0" w:line="150" w:lineRule="exact"/>
        <w:rPr>
          <w:rFonts w:ascii="Arial" w:cs="Arial" w:eastAsia="Arial" w:hAnsi="Arial"/>
          <w:sz w:val="12"/>
          <w:szCs w:val="12"/>
          <w:color w:val="auto"/>
        </w:rPr>
      </w:pPr>
    </w:p>
    <w:p>
      <w:pPr>
        <w:ind w:left="540" w:hanging="310"/>
        <w:spacing w:after="0"/>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color w:val="auto"/>
        </w:rPr>
        <w:t>15,000,000 shares of our common stock issuable upon the exchange of our Series A Preferred Stock (</w:t>
      </w:r>
      <w:r>
        <w:rPr>
          <w:rFonts w:ascii="Arial" w:cs="Arial" w:eastAsia="Arial" w:hAnsi="Arial"/>
          <w:sz w:val="12"/>
          <w:szCs w:val="12"/>
          <w:i w:val="1"/>
          <w:iCs w:val="1"/>
          <w:color w:val="auto"/>
        </w:rPr>
        <w:t>Series A Preferred</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ind w:left="560" w:hanging="325"/>
        <w:spacing w:after="0"/>
        <w:tabs>
          <w:tab w:leader="none" w:pos="560" w:val="left"/>
        </w:tabs>
        <w:numPr>
          <w:ilvl w:val="0"/>
          <w:numId w:val="5"/>
        </w:numPr>
        <w:rPr>
          <w:rFonts w:ascii="Arial" w:cs="Arial" w:eastAsia="Arial" w:hAnsi="Arial"/>
          <w:sz w:val="12"/>
          <w:szCs w:val="12"/>
          <w:color w:val="auto"/>
        </w:rPr>
      </w:pPr>
      <w:r>
        <w:rPr>
          <w:rFonts w:ascii="Arial" w:cs="Arial" w:eastAsia="Arial" w:hAnsi="Arial"/>
          <w:sz w:val="12"/>
          <w:szCs w:val="12"/>
          <w:color w:val="auto"/>
        </w:rPr>
        <w:t>7,500,000 shares of our common stock issuable upon the exercise of warrants issuable upon the exchange of our Series A Preferred; and</w:t>
      </w:r>
    </w:p>
    <w:p>
      <w:pPr>
        <w:spacing w:after="0" w:line="168" w:lineRule="exact"/>
        <w:rPr>
          <w:rFonts w:ascii="Arial" w:cs="Arial" w:eastAsia="Arial" w:hAnsi="Arial"/>
          <w:sz w:val="12"/>
          <w:szCs w:val="12"/>
          <w:color w:val="auto"/>
        </w:rPr>
      </w:pPr>
    </w:p>
    <w:p>
      <w:pPr>
        <w:ind w:left="560" w:right="20" w:hanging="325"/>
        <w:spacing w:after="0" w:line="276" w:lineRule="auto"/>
        <w:tabs>
          <w:tab w:leader="none" w:pos="560" w:val="left"/>
        </w:tabs>
        <w:numPr>
          <w:ilvl w:val="0"/>
          <w:numId w:val="5"/>
        </w:numPr>
        <w:rPr>
          <w:rFonts w:ascii="Arial" w:cs="Arial" w:eastAsia="Arial" w:hAnsi="Arial"/>
          <w:sz w:val="12"/>
          <w:szCs w:val="12"/>
          <w:color w:val="auto"/>
        </w:rPr>
      </w:pPr>
      <w:r>
        <w:rPr>
          <w:rFonts w:ascii="Arial" w:cs="Arial" w:eastAsia="Arial" w:hAnsi="Arial"/>
          <w:sz w:val="12"/>
          <w:szCs w:val="12"/>
          <w:color w:val="auto"/>
        </w:rPr>
        <w:t>up to approximately [ ] shares of our common stock reserved for issuance upon the conversion of newly created Series B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which Series B Preferred will be issued upon conversion of outstanding convertible promissory notes and related accrued interest upon consummation of the Offering, assuming gross proceeds from the Offering of at least $10.0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 CONVERSIONS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Unit Notes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Between March 2014 and July 2014, we issued Convertible Notes to certain investors to provide for our working capital requirements. Under the terms of the Convertible Notes, the principal and accrued interest due thereunder, totaling approximately $2.5 million at July 1, 2014 (</w:t>
      </w:r>
      <w:r>
        <w:rPr>
          <w:rFonts w:ascii="Arial" w:cs="Arial" w:eastAsia="Arial" w:hAnsi="Arial"/>
          <w:sz w:val="11"/>
          <w:szCs w:val="11"/>
          <w:i w:val="1"/>
          <w:iCs w:val="1"/>
          <w:color w:val="auto"/>
        </w:rPr>
        <w:t>Conversion Amount</w:t>
      </w:r>
      <w:r>
        <w:rPr>
          <w:rFonts w:ascii="Arial" w:cs="Arial" w:eastAsia="Arial" w:hAnsi="Arial"/>
          <w:sz w:val="11"/>
          <w:szCs w:val="11"/>
          <w:color w:val="auto"/>
        </w:rPr>
        <w:t>) automatically converts at the closing of the Offering, assuming the Offering results in gross proceeds to us of at least $10.0 million, into common stock (</w:t>
      </w:r>
      <w:r>
        <w:rPr>
          <w:rFonts w:ascii="Arial" w:cs="Arial" w:eastAsia="Arial" w:hAnsi="Arial"/>
          <w:sz w:val="11"/>
          <w:szCs w:val="11"/>
          <w:i w:val="1"/>
          <w:iCs w:val="1"/>
          <w:color w:val="auto"/>
        </w:rPr>
        <w:t>Automatic</w:t>
      </w:r>
      <w:r>
        <w:rPr>
          <w:rFonts w:ascii="Arial" w:cs="Arial" w:eastAsia="Arial" w:hAnsi="Arial"/>
          <w:sz w:val="11"/>
          <w:szCs w:val="11"/>
          <w:color w:val="auto"/>
        </w:rPr>
        <w:t xml:space="preserve"> </w:t>
      </w:r>
      <w:r>
        <w:rPr>
          <w:rFonts w:ascii="Arial" w:cs="Arial" w:eastAsia="Arial" w:hAnsi="Arial"/>
          <w:sz w:val="11"/>
          <w:szCs w:val="11"/>
          <w:i w:val="1"/>
          <w:iCs w:val="1"/>
          <w:color w:val="auto"/>
        </w:rPr>
        <w:t>Conversion</w:t>
      </w:r>
      <w:r>
        <w:rPr>
          <w:rFonts w:ascii="Arial" w:cs="Arial" w:eastAsia="Arial" w:hAnsi="Arial"/>
          <w:sz w:val="11"/>
          <w:szCs w:val="11"/>
          <w:color w:val="auto"/>
        </w:rPr>
        <w:t>), the number of shares of which are determined by multiplying the Conversion Amount by 1.25, and dividing the resulting number by the price per share of common stock sold in the Offering. Notwithstanding the Automatic</w:t>
      </w:r>
      <w:r>
        <w:rPr>
          <w:rFonts w:ascii="Arial" w:cs="Arial" w:eastAsia="Arial" w:hAnsi="Arial"/>
          <w:sz w:val="11"/>
          <w:szCs w:val="11"/>
          <w:i w:val="1"/>
          <w:iCs w:val="1"/>
          <w:color w:val="auto"/>
        </w:rPr>
        <w:t xml:space="preserve"> </w:t>
      </w:r>
      <w:r>
        <w:rPr>
          <w:rFonts w:ascii="Arial" w:cs="Arial" w:eastAsia="Arial" w:hAnsi="Arial"/>
          <w:sz w:val="11"/>
          <w:szCs w:val="11"/>
          <w:color w:val="auto"/>
        </w:rPr>
        <w:t>Conversion, holders of Convertible Notes may elect a cash payment option in lieu of Automatic Conversion by delivering written notice to us of their election to receive cash within three business days after receive by such holders of a written notice delivered to them prior to consummation of the Offering. Assuming all holders of Convertible Notes decline to elect to receive cash in lieu of shares of common stock, we anticipate issuing approximately ____ shares of</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Common Stock in the Offering to such holders, based on a price of $_____ per share of common stock sold in the Offering.</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Platinum Notes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have issued certain senior secured convertible promissory notes to Platinum Long Term Growth VII, LLC (</w:t>
      </w:r>
      <w:r>
        <w:rPr>
          <w:rFonts w:ascii="Arial" w:cs="Arial" w:eastAsia="Arial" w:hAnsi="Arial"/>
          <w:sz w:val="12"/>
          <w:szCs w:val="12"/>
          <w:i w:val="1"/>
          <w:iCs w:val="1"/>
          <w:color w:val="auto"/>
        </w:rPr>
        <w:t>Platinum</w:t>
      </w:r>
      <w:r>
        <w:rPr>
          <w:rFonts w:ascii="Arial" w:cs="Arial" w:eastAsia="Arial" w:hAnsi="Arial"/>
          <w:sz w:val="12"/>
          <w:szCs w:val="12"/>
          <w:color w:val="auto"/>
        </w:rPr>
        <w:t>) in the aggregate principal amount of $3,522,600 (</w:t>
      </w:r>
      <w:r>
        <w:rPr>
          <w:rFonts w:ascii="Arial" w:cs="Arial" w:eastAsia="Arial" w:hAnsi="Arial"/>
          <w:sz w:val="12"/>
          <w:szCs w:val="12"/>
          <w:i w:val="1"/>
          <w:iCs w:val="1"/>
          <w:color w:val="auto"/>
        </w:rPr>
        <w:t>Platinum Notes</w:t>
      </w:r>
      <w:r>
        <w:rPr>
          <w:rFonts w:ascii="Arial" w:cs="Arial" w:eastAsia="Arial" w:hAnsi="Arial"/>
          <w:sz w:val="12"/>
          <w:szCs w:val="12"/>
          <w:color w:val="auto"/>
        </w:rPr>
        <w:t>). Platinum and the Company have agreed to convert the Platinum Notes, including all accrued interest thereon, into shares of newly created Series B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upon consummation of the Offering, assuming the Offering results in gross proceeds to us of at least $10.0 million. See “Description of Securities – Series B Preferred Stock”. Upon conversion of the Platinum Notes, the security agreement executed by the parties securing all obligations under the terms of the Platinum Notes terminates, and is no further force and effect. In addition, upon consummation of the Offering, assuming the Offering results in gross proceeds to us of at least $10.0 million, in addition to certain other changes, the exercise price of certain warrants issued to Platinum are to be fixed at the price per share of common stock sold in the Offering.</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1" w:name="page12"/>
    <w:bookmarkEnd w:id="11"/>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SUMMARY FINANCIAL DATA</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following table presents summary financial data for the periods indicated. The summary statements of operations data for the years ended March 31, 2014 and 2013 and the balance sheet data as of March 31, 2014 and 2013 have been derived from our audited financial statements and notes thereto, which are included elsewhere in this prospectus. Our historical results are not necessarily indicative of the results that may be expected in the future, and our interim results are not necessarily indicative of the results to be expected for the full fiscal year. You should read this information together with our financial statements and related notes, “Management’s Discussion and Analysis of Financial Condition and Results of Operations,” “Use of Proceeds” and “Capitalization” included elsewhere in this prospectus.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40" w:type="dxa"/>
            <w:vAlign w:val="bottom"/>
            <w:gridSpan w:val="2"/>
          </w:tcPr>
          <w:p>
            <w:pPr>
              <w:spacing w:after="0"/>
              <w:rPr>
                <w:sz w:val="20"/>
                <w:szCs w:val="20"/>
                <w:color w:val="auto"/>
              </w:rPr>
            </w:pPr>
            <w:r>
              <w:rPr>
                <w:rFonts w:ascii="Arial" w:cs="Arial" w:eastAsia="Arial" w:hAnsi="Arial"/>
                <w:sz w:val="12"/>
                <w:szCs w:val="12"/>
                <w:b w:val="1"/>
                <w:bCs w:val="1"/>
                <w:color w:val="auto"/>
              </w:rPr>
              <w:t>(Dollars in thousands, except share and per share data)</w:t>
            </w:r>
          </w:p>
        </w:tc>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Fiscal Year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Grant revenue</w:t>
            </w:r>
          </w:p>
        </w:tc>
        <w:tc>
          <w:tcPr>
            <w:tcW w:w="4600" w:type="dxa"/>
            <w:vAlign w:val="bottom"/>
            <w:gridSpan w:val="2"/>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ind w:left="40"/>
              <w:spacing w:after="0"/>
              <w:rPr>
                <w:sz w:val="20"/>
                <w:szCs w:val="20"/>
                <w:color w:val="auto"/>
              </w:rPr>
            </w:pPr>
            <w:r>
              <w:rPr>
                <w:rFonts w:ascii="Arial" w:cs="Arial" w:eastAsia="Arial" w:hAnsi="Arial"/>
                <w:sz w:val="12"/>
                <w:szCs w:val="12"/>
                <w:color w:val="auto"/>
              </w:rPr>
              <w:t>Total revenues</w:t>
            </w:r>
          </w:p>
        </w:tc>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4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2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2,481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4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ind w:left="40"/>
              <w:spacing w:after="0"/>
              <w:rPr>
                <w:sz w:val="20"/>
                <w:szCs w:val="20"/>
                <w:color w:val="auto"/>
              </w:rPr>
            </w:pPr>
            <w:r>
              <w:rPr>
                <w:rFonts w:ascii="Arial" w:cs="Arial" w:eastAsia="Arial" w:hAnsi="Arial"/>
                <w:sz w:val="12"/>
                <w:szCs w:val="12"/>
                <w:color w:val="auto"/>
              </w:rPr>
              <w:t>Total operating expenses</w:t>
            </w:r>
          </w:p>
        </w:tc>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5,029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4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(5,029)</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20" w:type="dxa"/>
            <w:vAlign w:val="bottom"/>
          </w:tcPr>
          <w:p>
            <w:pPr>
              <w:spacing w:after="0"/>
              <w:rPr>
                <w:sz w:val="20"/>
                <w:szCs w:val="20"/>
                <w:color w:val="auto"/>
              </w:rPr>
            </w:pPr>
            <w:r>
              <w:rPr>
                <w:rFonts w:ascii="Arial" w:cs="Arial" w:eastAsia="Arial" w:hAnsi="Arial"/>
                <w:sz w:val="12"/>
                <w:szCs w:val="12"/>
                <w:color w:val="auto"/>
              </w:rPr>
              <w:t>Other expenses, net:</w:t>
            </w:r>
          </w:p>
        </w:tc>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4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(1,503)</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20" w:type="dxa"/>
            <w:vAlign w:val="bottom"/>
          </w:tcPr>
          <w:p>
            <w:pPr>
              <w:spacing w:after="0"/>
              <w:rPr>
                <w:sz w:val="20"/>
                <w:szCs w:val="20"/>
                <w:color w:val="auto"/>
              </w:rPr>
            </w:pPr>
            <w:r>
              <w:rPr>
                <w:rFonts w:ascii="Arial" w:cs="Arial" w:eastAsia="Arial" w:hAnsi="Arial"/>
                <w:sz w:val="12"/>
                <w:szCs w:val="12"/>
                <w:color w:val="auto"/>
              </w:rPr>
              <w:t>Change in warrant liabilities</w:t>
            </w:r>
          </w:p>
        </w:tc>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3,567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Loss on early extinguishment of debt</w:t>
            </w:r>
          </w:p>
        </w:tc>
        <w:tc>
          <w:tcPr>
            <w:tcW w:w="4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20" w:type="dxa"/>
            <w:vAlign w:val="bottom"/>
          </w:tcPr>
          <w:p>
            <w:pPr>
              <w:spacing w:after="0"/>
              <w:rPr>
                <w:sz w:val="20"/>
                <w:szCs w:val="20"/>
                <w:color w:val="auto"/>
              </w:rPr>
            </w:pPr>
            <w:r>
              <w:rPr>
                <w:rFonts w:ascii="Arial" w:cs="Arial" w:eastAsia="Arial" w:hAnsi="Arial"/>
                <w:sz w:val="12"/>
                <w:szCs w:val="12"/>
                <w:color w:val="auto"/>
              </w:rPr>
              <w:t>Other income</w:t>
            </w:r>
          </w:p>
        </w:tc>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4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(2,965)</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20" w:type="dxa"/>
            <w:vAlign w:val="bottom"/>
          </w:tcPr>
          <w:p>
            <w:pPr>
              <w:spacing w:after="0"/>
              <w:rPr>
                <w:sz w:val="20"/>
                <w:szCs w:val="20"/>
                <w:color w:val="auto"/>
              </w:rPr>
            </w:pPr>
            <w:r>
              <w:rPr>
                <w:rFonts w:ascii="Arial" w:cs="Arial" w:eastAsia="Arial" w:hAnsi="Arial"/>
                <w:sz w:val="12"/>
                <w:szCs w:val="12"/>
                <w:color w:val="auto"/>
              </w:rPr>
              <w:t>Income taxes</w:t>
            </w:r>
          </w:p>
        </w:tc>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4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20" w:type="dxa"/>
            <w:vAlign w:val="bottom"/>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(10,193)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common stockholders</w:t>
            </w:r>
          </w:p>
        </w:tc>
        <w:tc>
          <w:tcPr>
            <w:tcW w:w="4600" w:type="dxa"/>
            <w:vAlign w:val="bottom"/>
            <w:gridSpan w:val="2"/>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(23,080)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220" w:type="dxa"/>
            <w:vAlign w:val="bottom"/>
            <w:tcBorders>
              <w:top w:val="single" w:sz="8" w:color="CCEEFF"/>
            </w:tcBorders>
          </w:tcPr>
          <w:p>
            <w:pPr>
              <w:spacing w:after="0"/>
              <w:rPr>
                <w:sz w:val="10"/>
                <w:szCs w:val="10"/>
                <w:color w:val="auto"/>
              </w:rPr>
            </w:pPr>
          </w:p>
        </w:tc>
        <w:tc>
          <w:tcPr>
            <w:tcW w:w="44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Basic net loss attributable to common</w:t>
            </w:r>
          </w:p>
        </w:tc>
        <w:tc>
          <w:tcPr>
            <w:tcW w:w="4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stockholders per common share</w:t>
            </w:r>
          </w:p>
        </w:tc>
        <w:tc>
          <w:tcPr>
            <w:tcW w:w="44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(0.14)</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220" w:type="dxa"/>
            <w:vAlign w:val="bottom"/>
            <w:tcBorders>
              <w:top w:val="single" w:sz="8" w:color="CCEEFF"/>
            </w:tcBorders>
          </w:tcPr>
          <w:p>
            <w:pPr>
              <w:spacing w:after="0"/>
              <w:rPr>
                <w:sz w:val="10"/>
                <w:szCs w:val="10"/>
                <w:color w:val="auto"/>
              </w:rPr>
            </w:pPr>
          </w:p>
        </w:tc>
        <w:tc>
          <w:tcPr>
            <w:tcW w:w="44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Diluted net loss attributable to common stockholders</w:t>
            </w:r>
          </w:p>
        </w:tc>
        <w:tc>
          <w:tcPr>
            <w:tcW w:w="4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per common share</w:t>
            </w:r>
          </w:p>
        </w:tc>
        <w:tc>
          <w:tcPr>
            <w:tcW w:w="44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(0.19)</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220" w:type="dxa"/>
            <w:vAlign w:val="bottom"/>
            <w:tcBorders>
              <w:top w:val="single" w:sz="8" w:color="CCEEFF"/>
            </w:tcBorders>
          </w:tcPr>
          <w:p>
            <w:pPr>
              <w:spacing w:after="0"/>
              <w:rPr>
                <w:sz w:val="10"/>
                <w:szCs w:val="10"/>
                <w:color w:val="auto"/>
              </w:rPr>
            </w:pPr>
          </w:p>
        </w:tc>
        <w:tc>
          <w:tcPr>
            <w:tcW w:w="44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shares used in computing:</w:t>
            </w:r>
          </w:p>
        </w:tc>
        <w:tc>
          <w:tcPr>
            <w:tcW w:w="4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line="136" w:lineRule="exact"/>
              <w:rPr>
                <w:sz w:val="20"/>
                <w:szCs w:val="20"/>
                <w:color w:val="auto"/>
              </w:rPr>
            </w:pPr>
            <w:r>
              <w:rPr>
                <w:rFonts w:ascii="Arial" w:cs="Arial" w:eastAsia="Arial" w:hAnsi="Arial"/>
                <w:sz w:val="12"/>
                <w:szCs w:val="12"/>
                <w:color w:val="auto"/>
              </w:rPr>
              <w:t>Basic net loss attributable to common stockholders</w:t>
            </w:r>
          </w:p>
        </w:tc>
        <w:tc>
          <w:tcPr>
            <w:tcW w:w="4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20" w:type="dxa"/>
            <w:vAlign w:val="bottom"/>
          </w:tcPr>
          <w:p>
            <w:pPr>
              <w:ind w:left="100"/>
              <w:spacing w:after="0"/>
              <w:rPr>
                <w:sz w:val="20"/>
                <w:szCs w:val="20"/>
                <w:color w:val="auto"/>
              </w:rPr>
            </w:pPr>
            <w:r>
              <w:rPr>
                <w:rFonts w:ascii="Arial" w:cs="Arial" w:eastAsia="Arial" w:hAnsi="Arial"/>
                <w:sz w:val="12"/>
                <w:szCs w:val="12"/>
                <w:color w:val="auto"/>
              </w:rPr>
              <w:t>per common share</w:t>
            </w:r>
          </w:p>
        </w:tc>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422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Diluted net loss attributable to common</w:t>
            </w:r>
          </w:p>
        </w:tc>
        <w:tc>
          <w:tcPr>
            <w:tcW w:w="4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stockholders per common share</w:t>
            </w:r>
          </w:p>
        </w:tc>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525"/>
        </w:trPr>
        <w:tc>
          <w:tcPr>
            <w:tcW w:w="20" w:type="dxa"/>
            <w:vAlign w:val="bottom"/>
          </w:tcPr>
          <w:p>
            <w:pPr>
              <w:spacing w:after="0"/>
              <w:rPr>
                <w:sz w:val="24"/>
                <w:szCs w:val="24"/>
                <w:color w:val="auto"/>
              </w:rPr>
            </w:pPr>
          </w:p>
        </w:tc>
        <w:tc>
          <w:tcPr>
            <w:tcW w:w="4220" w:type="dxa"/>
            <w:vAlign w:val="bottom"/>
            <w:tcBorders>
              <w:top w:val="single" w:sz="8" w:color="CCEEFF"/>
            </w:tcBorders>
          </w:tcPr>
          <w:p>
            <w:pPr>
              <w:spacing w:after="0"/>
              <w:rPr>
                <w:sz w:val="24"/>
                <w:szCs w:val="24"/>
                <w:color w:val="auto"/>
              </w:rPr>
            </w:pPr>
          </w:p>
        </w:tc>
        <w:tc>
          <w:tcPr>
            <w:tcW w:w="4480" w:type="dxa"/>
            <w:vAlign w:val="bottom"/>
            <w:tcBorders>
              <w:top w:val="single" w:sz="8" w:color="CCEEFF"/>
            </w:tcBorders>
          </w:tcPr>
          <w:p>
            <w:pPr>
              <w:jc w:val="right"/>
              <w:ind w:right="2860"/>
              <w:spacing w:after="0"/>
              <w:rPr>
                <w:sz w:val="20"/>
                <w:szCs w:val="20"/>
                <w:color w:val="auto"/>
              </w:rPr>
            </w:pPr>
            <w:r>
              <w:rPr>
                <w:rFonts w:ascii="Arial" w:cs="Arial" w:eastAsia="Arial" w:hAnsi="Arial"/>
                <w:sz w:val="12"/>
                <w:szCs w:val="12"/>
                <w:color w:val="auto"/>
              </w:rPr>
              <w:t>-6-</w:t>
            </w: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220" w:type="dxa"/>
            <w:vAlign w:val="bottom"/>
            <w:tcBorders>
              <w:bottom w:val="single" w:sz="8" w:color="808080"/>
            </w:tcBorders>
          </w:tcPr>
          <w:p>
            <w:pPr>
              <w:spacing w:after="0"/>
              <w:rPr>
                <w:sz w:val="6"/>
                <w:szCs w:val="6"/>
                <w:color w:val="auto"/>
              </w:rPr>
            </w:pPr>
          </w:p>
        </w:tc>
        <w:tc>
          <w:tcPr>
            <w:tcW w:w="44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2" w:name="page13"/>
    <w:bookmarkEnd w:id="12"/>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RISK FACTORS</w:t>
      </w:r>
    </w:p>
    <w:p>
      <w:pPr>
        <w:spacing w:after="0" w:line="154"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before deciding whether to purchase shares of our common stock. If any of the following risks are realized, our business, financial condition and results of operations could be materially and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and Strategy</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are a development stage biotechnology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are a development stage biotechnology company. Since inception in 1998, we have generated approximately $16.4 million of revenues from strategic collaborations and grant awards. However,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23" w:lineRule="exact"/>
        <w:rPr>
          <w:sz w:val="20"/>
          <w:szCs w:val="20"/>
          <w:color w:val="auto"/>
        </w:rPr>
      </w:pPr>
    </w:p>
    <w:p>
      <w:pPr>
        <w:ind w:left="720" w:hanging="399"/>
        <w:spacing w:after="0"/>
        <w:tabs>
          <w:tab w:leader="none" w:pos="720" w:val="left"/>
        </w:tabs>
        <w:numPr>
          <w:ilvl w:val="1"/>
          <w:numId w:val="6"/>
        </w:numPr>
        <w:rPr>
          <w:rFonts w:ascii="Arial" w:cs="Arial" w:eastAsia="Arial" w:hAnsi="Arial"/>
          <w:sz w:val="12"/>
          <w:szCs w:val="12"/>
          <w:color w:val="auto"/>
        </w:rPr>
      </w:pPr>
      <w:r>
        <w:rPr>
          <w:rFonts w:ascii="Arial" w:cs="Arial" w:eastAsia="Arial" w:hAnsi="Arial"/>
          <w:sz w:val="12"/>
          <w:szCs w:val="12"/>
          <w:color w:val="auto"/>
        </w:rPr>
        <w:t>produce product candidates;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develop and obtain required regulatory approvals for commercialization of products we produce;</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maintain, leverage and expand our intellectual property portfolio;</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establish and maintain sales, distribution and marketing capabilities;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gain market acceptance for our products; and</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obtain adequate capital resources and manage our spending as costs and expenses increase due to research, production, development, regulatory approval and commercialization of product candidates.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Our future success is highly dependent upon our ability to produce product candidates, including Drug Rescue Variants, using stem cell technology, human cells derived from stem cells, our proprietary human cell-based bioassay systems and medicinal chemistry, and we cannot provide any assurance that we will successfully produce Drug Rescue Variants or other product candidates, or that, if produced, any of our Drug Rescue Variants or other product candidates will be developed and commercialized.</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Research programs designed to identify and produce product candidates, including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require substantial technical, financial and human resources, whether or not any product candidates are ultimately identified and produced. In particular, our drug rescue programs may initially show promise in identifying potential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yet fail to yield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suitable for preclinical, clinical development or commercialization for many reasons, including the following:</w:t>
      </w:r>
    </w:p>
    <w:p>
      <w:pPr>
        <w:spacing w:after="0" w:line="141" w:lineRule="exact"/>
        <w:rPr>
          <w:sz w:val="20"/>
          <w:szCs w:val="20"/>
          <w:color w:val="auto"/>
        </w:rPr>
      </w:pPr>
    </w:p>
    <w:p>
      <w:pPr>
        <w:ind w:left="420" w:hanging="24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our research methodology may not be successful in identifying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competitors may develop alternatives that render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obsolete;</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may, on further study, be shown to have harmful side effects or other characteristics that indicate it is unlikely to be effective or otherwise does not meet applicable regulatory criteria;</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w:t>
      </w:r>
      <w:r>
        <w:rPr>
          <w:rFonts w:ascii="Arial" w:cs="Arial" w:eastAsia="Arial" w:hAnsi="Arial"/>
          <w:sz w:val="12"/>
          <w:szCs w:val="12"/>
          <w:color w:val="auto"/>
        </w:rPr>
        <w:t>t may not be capable of being produced in commercial quantities at an acceptable cost, or at all; or</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may not be accepted as safe and effective by regulatory authorities, patients, the medical community or third-party payors.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3" w:name="page14"/>
    <w:bookmarkEnd w:id="13"/>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In addition, we do not have a sales or marketing infrastructure, and we, including our executive officers, do not have any significant sales, marketing or distribution experience. We will be opportunistic in seeking to collaborate with others to develop and commercialize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future products if and when they are developed and approved.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limited operating history with respect to the identification and assessment of potential Drug Rescue Candidates and no operating history with respect to the production of Drug Rescue Variants, and we may never be able to produce a Drug Rescue Variant.</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If we are unable to identify suitable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for our drug rescue programs, including AV-101, or produce suitable lead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internal development or out-license to pharmaceutical companies and others, we may not be able to generate sufficient revenues in future periods, which likely would result in significant harm to our financial position and adversely impact our stock price. There are a number of factors, in addition to the utility of </w:t>
      </w:r>
      <w:r>
        <w:rPr>
          <w:rFonts w:ascii="Arial" w:cs="Arial" w:eastAsia="Arial" w:hAnsi="Arial"/>
          <w:sz w:val="11"/>
          <w:szCs w:val="11"/>
          <w:i w:val="1"/>
          <w:iCs w:val="1"/>
          <w:color w:val="auto"/>
        </w:rPr>
        <w:t xml:space="preserve">CardioSafe </w:t>
      </w:r>
      <w:r>
        <w:rPr>
          <w:rFonts w:ascii="Arial" w:cs="Arial" w:eastAsia="Arial" w:hAnsi="Arial"/>
          <w:sz w:val="11"/>
          <w:szCs w:val="11"/>
          <w:color w:val="auto"/>
        </w:rPr>
        <w:t>3D, that may impact our ability to identify and assess</w:t>
      </w:r>
      <w:r>
        <w:rPr>
          <w:rFonts w:ascii="Arial" w:cs="Arial" w:eastAsia="Arial" w:hAnsi="Arial"/>
          <w:sz w:val="11"/>
          <w:szCs w:val="11"/>
          <w:i w:val="1"/>
          <w:iCs w:val="1"/>
          <w:color w:val="auto"/>
        </w:rPr>
        <w:t xml:space="preserve"> Drug Rescue Candidates </w:t>
      </w:r>
      <w:r>
        <w:rPr>
          <w:rFonts w:ascii="Arial" w:cs="Arial" w:eastAsia="Arial" w:hAnsi="Arial"/>
          <w:sz w:val="11"/>
          <w:szCs w:val="11"/>
          <w:color w:val="auto"/>
        </w:rPr>
        <w:t>and produce, develop or out-license and commercialize</w:t>
      </w:r>
      <w:r>
        <w:rPr>
          <w:rFonts w:ascii="Arial" w:cs="Arial" w:eastAsia="Arial" w:hAnsi="Arial"/>
          <w:sz w:val="11"/>
          <w:szCs w:val="11"/>
          <w:i w:val="1"/>
          <w:iCs w:val="1"/>
          <w:color w:val="auto"/>
        </w:rPr>
        <w:t xml:space="preserve"> Drug Rescue Variants</w:t>
      </w:r>
      <w:r>
        <w:rPr>
          <w:rFonts w:ascii="Arial" w:cs="Arial" w:eastAsia="Arial" w:hAnsi="Arial"/>
          <w:sz w:val="11"/>
          <w:szCs w:val="11"/>
          <w:color w:val="auto"/>
        </w:rPr>
        <w:t>, independently or with strategic partners, including:</w:t>
      </w:r>
    </w:p>
    <w:p>
      <w:pPr>
        <w:spacing w:after="0" w:line="123" w:lineRule="exact"/>
        <w:rPr>
          <w:sz w:val="20"/>
          <w:szCs w:val="20"/>
          <w:color w:val="auto"/>
        </w:rPr>
      </w:pPr>
    </w:p>
    <w:p>
      <w:pPr>
        <w:ind w:left="420" w:hanging="248"/>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 xml:space="preserve">our ability to identify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in the public domain, obtain sufficient quantities of them, and assess them using our bioassay systems;</w:t>
      </w:r>
    </w:p>
    <w:p>
      <w:pPr>
        <w:spacing w:after="0" w:line="168" w:lineRule="exact"/>
        <w:rPr>
          <w:rFonts w:ascii="Arial" w:cs="Arial" w:eastAsia="Arial" w:hAnsi="Arial"/>
          <w:sz w:val="12"/>
          <w:szCs w:val="12"/>
          <w:color w:val="auto"/>
        </w:rPr>
      </w:pPr>
    </w:p>
    <w:p>
      <w:pPr>
        <w:ind w:left="420" w:hanging="248"/>
        <w:spacing w:after="0" w:line="276" w:lineRule="auto"/>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 xml:space="preserve">if we seek to rescue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that are not available to us in the public domain, the extent to which third parties may be willing to out-license or sell certain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to us on commercially reasonable terms;</w:t>
      </w:r>
    </w:p>
    <w:p>
      <w:pPr>
        <w:spacing w:after="0" w:line="132" w:lineRule="exact"/>
        <w:rPr>
          <w:rFonts w:ascii="Arial" w:cs="Arial" w:eastAsia="Arial" w:hAnsi="Arial"/>
          <w:sz w:val="12"/>
          <w:szCs w:val="12"/>
          <w:color w:val="auto"/>
        </w:rPr>
      </w:pPr>
    </w:p>
    <w:p>
      <w:pPr>
        <w:ind w:left="420" w:hanging="248"/>
        <w:spacing w:after="0"/>
        <w:tabs>
          <w:tab w:leader="none" w:pos="420" w:val="left"/>
        </w:tabs>
        <w:numPr>
          <w:ilvl w:val="0"/>
          <w:numId w:val="8"/>
        </w:numPr>
        <w:rPr>
          <w:rFonts w:ascii="Arial" w:cs="Arial" w:eastAsia="Arial" w:hAnsi="Arial"/>
          <w:sz w:val="11"/>
          <w:szCs w:val="11"/>
          <w:color w:val="auto"/>
        </w:rPr>
      </w:pPr>
      <w:r>
        <w:rPr>
          <w:rFonts w:ascii="Arial" w:cs="Arial" w:eastAsia="Arial" w:hAnsi="Arial"/>
          <w:sz w:val="11"/>
          <w:szCs w:val="11"/>
          <w:color w:val="auto"/>
        </w:rPr>
        <w:t xml:space="preserve">our medicinal chemistry collaborator’s ability to design and produce proprietary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based on the novel biology and structure-function insight we provide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w:t>
      </w:r>
    </w:p>
    <w:p>
      <w:pPr>
        <w:spacing w:after="0" w:line="179" w:lineRule="exact"/>
        <w:rPr>
          <w:rFonts w:ascii="Arial" w:cs="Arial" w:eastAsia="Arial" w:hAnsi="Arial"/>
          <w:sz w:val="11"/>
          <w:szCs w:val="11"/>
          <w:color w:val="auto"/>
        </w:rPr>
      </w:pPr>
    </w:p>
    <w:p>
      <w:pPr>
        <w:ind w:left="420" w:hanging="248"/>
        <w:spacing w:after="0" w:line="276" w:lineRule="auto"/>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 xml:space="preserve">financial resources available to us to develop and commercialize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internally, or, if we out-license them to strategic partners, the resources such partners choose to dedicate to development and commercialization of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they license from us.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Even if we do produce a </w:t>
      </w:r>
      <w:r>
        <w:rPr>
          <w:rFonts w:ascii="Arial" w:cs="Arial" w:eastAsia="Arial" w:hAnsi="Arial"/>
          <w:sz w:val="11"/>
          <w:szCs w:val="11"/>
          <w:i w:val="1"/>
          <w:iCs w:val="1"/>
          <w:color w:val="auto"/>
        </w:rPr>
        <w:t>Drug Rescue Variant</w:t>
      </w:r>
      <w:r>
        <w:rPr>
          <w:rFonts w:ascii="Arial" w:cs="Arial" w:eastAsia="Arial" w:hAnsi="Arial"/>
          <w:sz w:val="11"/>
          <w:szCs w:val="11"/>
          <w:color w:val="auto"/>
        </w:rPr>
        <w:t>, we can give no assurance that we will be able to develop and commercialize it as a marketable drug, on our own or in a strategic collaboration. Before we generate any revenues from product sales, we must produce additional product candidates through drug rescue and we or our potential strategic collaborator must complete preclinical and clinical development of one or more of our product candidates, conduct human subject research,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4" w:name="page15"/>
    <w:bookmarkEnd w:id="14"/>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Our 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internal studies have not been subjected to extensive external peer review or validation.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Our proprietary internal studies conducted to correlate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results with reported clinical results of reference compounds, and our ability to use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to predict the cardiac effects, both toxic and nontoxic, of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Rescue Candidates</w:t>
      </w:r>
      <w:r>
        <w:rPr>
          <w:rFonts w:ascii="Arial" w:cs="Arial" w:eastAsia="Arial" w:hAnsi="Arial"/>
          <w:sz w:val="11"/>
          <w:szCs w:val="11"/>
          <w:color w:val="auto"/>
        </w:rPr>
        <w:t>, have not been subjected to extensive external peer review or validation. It is possible, therefore, that the results we have obtained from our successful internal validation studies may not be replicable by external peer</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reviewers. We are currently focused on identifying and assessing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available in the public domain. However, should we seek to license or acquire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from third-parties, and such third-parties cannot replicate our results or do not have confidence in the capabilities of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it may be difficult for us to in-license or acquire from them certain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which might be of interest to us in the future. In addition, such third-parties may conclude that their current screening models are better than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and that granting a license to the </w:t>
      </w:r>
      <w:r>
        <w:rPr>
          <w:rFonts w:ascii="Arial" w:cs="Arial" w:eastAsia="Arial" w:hAnsi="Arial"/>
          <w:sz w:val="11"/>
          <w:szCs w:val="11"/>
          <w:i w:val="1"/>
          <w:iCs w:val="1"/>
          <w:color w:val="auto"/>
        </w:rPr>
        <w:t>Drug Rescue Candidate</w:t>
      </w:r>
      <w:r>
        <w:rPr>
          <w:rFonts w:ascii="Arial" w:cs="Arial" w:eastAsia="Arial" w:hAnsi="Arial"/>
          <w:sz w:val="11"/>
          <w:szCs w:val="11"/>
          <w:color w:val="auto"/>
        </w:rPr>
        <w:t xml:space="preserve"> we seek from them is not warranted.</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 xml:space="preserve">If CardioSafe </w:t>
      </w:r>
      <w:r>
        <w:rPr>
          <w:rFonts w:ascii="Arial" w:cs="Arial" w:eastAsia="Arial" w:hAnsi="Arial"/>
          <w:sz w:val="11"/>
          <w:szCs w:val="11"/>
          <w:b w:val="1"/>
          <w:bCs w:val="1"/>
          <w:color w:val="auto"/>
        </w:rPr>
        <w:t>3D</w:t>
      </w:r>
      <w:r>
        <w:rPr>
          <w:rFonts w:ascii="Arial" w:cs="Arial" w:eastAsia="Arial" w:hAnsi="Arial"/>
          <w:sz w:val="11"/>
          <w:szCs w:val="11"/>
          <w:b w:val="1"/>
          <w:bCs w:val="1"/>
          <w:i w:val="1"/>
          <w:iCs w:val="1"/>
          <w:color w:val="auto"/>
        </w:rPr>
        <w:t xml:space="preserve"> fails to predict accurately and efficiently the cardiac effects, both toxic and nontoxic, of Drug Rescue Candidates and Drug Rescue Variants, then our drug rescue business will be adversely affected.</w:t>
      </w:r>
    </w:p>
    <w:p>
      <w:pPr>
        <w:spacing w:after="0" w:line="18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Our success is highly dependent on our ability to 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identify and predict, accurately and efficiently, the potential toxic and nontoxic cardiac effects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not capable of providing physiologically relevant and clinically predictive information regarding human cardiac biology, our drug rescue business will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We have not yet fully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for potential drug rescue applications, and we may never do so.</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We have successfully developed proprietary protocols for controlling the differentiation of human pluripotent stem cells to produce functional, mature, adult liver cells. However, we have not yet fully validated our ability to use the human liver cells we produce for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to predict important biological effects, both toxic and nontoxic, of reference drugs,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or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on the human liver, including drug-induced liver injury and adverse drug-drug interactions. Furthermore, we may never be able to do so, which could adversely affect our business and the potential applications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for drug discovery, drug rescue and regenerative medicine.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and, when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may not be meaningfully more predictive of the behavior of human cells than existing methods.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The success of our drug rescue business is highly dependent, in the first instance, upon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in the second instance, when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when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will be more efficient or accurate at predicting the heart or liver safety of new drug candidates than the testing models currently used. If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fail to provide a meaningful difference compared to existing or new models in predicting the behavior of human heart and liver cells, respectively, their utility for drug rescue will be limited and our drug rescue business will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invest in producing Drug Rescue Variants for which there proves to be no demand.</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To generate revenue from our drug rescue activities, we must produce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which there proves to be demand within the healthcare marketplace, and, if we intend to out-license a particular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for development and commercialization prior to market approval, then also among pharmaceutical companies and other potential strategic collaborators. However, we may produce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which there proves to be no or limited demand in the healthcare market and/or among pharmaceutical companies and others. If we misinterpret market conditions, underestimate development costs and/or seek to rescue the wrong </w:t>
      </w:r>
      <w:r>
        <w:rPr>
          <w:rFonts w:ascii="Arial" w:cs="Arial" w:eastAsia="Arial" w:hAnsi="Arial"/>
          <w:sz w:val="11"/>
          <w:szCs w:val="11"/>
          <w:i w:val="1"/>
          <w:iCs w:val="1"/>
          <w:color w:val="auto"/>
        </w:rPr>
        <w:t>Drug Rescue Candidates</w:t>
      </w:r>
      <w:r>
        <w:rPr>
          <w:rFonts w:ascii="Arial" w:cs="Arial" w:eastAsia="Arial" w:hAnsi="Arial"/>
          <w:sz w:val="11"/>
          <w:szCs w:val="11"/>
          <w:color w:val="auto"/>
        </w:rPr>
        <w:t>, we may fail to generate sufficient revenue or other value, on our own or in collaboration with others, to justify our investments, and our drug rescue business may be adversely affected.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5" w:name="page16"/>
    <w:bookmarkEnd w:id="15"/>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Our human pluripotent stem cell technology is new and technically complex, and the time and resources necessary to develop new cell types and customized bioassay systems are difficult to predict in advance. We intend to devote significant personnel and financial resources to research and development activities designed to expand, in the case of drug rescue, and explore, in the case of drug discovery and regenerative medicine, potential applications of our </w:t>
      </w:r>
      <w:r>
        <w:rPr>
          <w:rFonts w:ascii="Arial" w:cs="Arial" w:eastAsia="Arial" w:hAnsi="Arial"/>
          <w:sz w:val="11"/>
          <w:szCs w:val="11"/>
          <w:i w:val="1"/>
          <w:iCs w:val="1"/>
          <w:color w:val="auto"/>
        </w:rPr>
        <w:t>Human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Clinical Trials in a Test Tube </w:t>
      </w:r>
      <w:r>
        <w:rPr>
          <w:rFonts w:ascii="Arial" w:cs="Arial" w:eastAsia="Arial" w:hAnsi="Arial"/>
          <w:sz w:val="11"/>
          <w:szCs w:val="11"/>
          <w:color w:val="auto"/>
        </w:rPr>
        <w:t>platform. In particular, we are planning to conduct development programs related to producing and using functional, mature adult liver cells to validate</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as a novel bioassay system for drug rescue,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as well as exploratory nonclinical regenerative medicine programs involving blood, bone, cartilage, heart, liver and insulin-producing pancreatic beta-islet cells. Although we and our collaborators have developed proprietary protocols for the production of multiple differentiated cell types, we may encounter difficulties in differentiating particular cell types, even when following these proprietary protocols. These difficulties may result in delays in production of certain cells, assessment of certain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and </w:t>
      </w:r>
      <w:r>
        <w:rPr>
          <w:rFonts w:ascii="Arial" w:cs="Arial" w:eastAsia="Arial" w:hAnsi="Arial"/>
          <w:sz w:val="11"/>
          <w:szCs w:val="11"/>
          <w:i w:val="1"/>
          <w:iCs w:val="1"/>
          <w:color w:val="auto"/>
        </w:rPr>
        <w:t>Drug Rescue Variants</w:t>
      </w:r>
      <w:r>
        <w:rPr>
          <w:rFonts w:ascii="Arial" w:cs="Arial" w:eastAsia="Arial" w:hAnsi="Arial"/>
          <w:sz w:val="11"/>
          <w:szCs w:val="11"/>
          <w:color w:val="auto"/>
        </w:rPr>
        <w:t>,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liver and pancreatic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liver and insulin-producing pancreatic beta-islet cells could have a substantial and material adverse effect on our potential drug discovery, drug rescue and regenerative medicine business opportunities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keep up with rapid technological changes in our field, we will be unable to operate profitably.</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We are engaged in activities in the life sciences field, which is characterized by rapid technological changes, frequent new product introductions, changing needs and preferences, emerging competition, and evolving industry standards. If we fail to anticipate or respond adequately to technological developments, our business, revenue, financial condition and operating results could suffer materially. Although we believe we are the first stem cell technology company focused primarily on drug rescue, we anticipate that we will face increased competition in the future as competitors develop or access new or improved bioassay systems and explore and enter the drug rescue market with new technologies. Competitors may have significantly greater financial, manufacturing, sales and marketing resources and may be able to respond more quickly and effectively than we can to new opportunities. In light of these advantages, even if our technology is effective in producing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potential development partners might prefer new drug candidates available from others or develop their own new drug candidates in lieu of licensing or purchasing our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Rescue Variants</w:t>
      </w:r>
      <w:r>
        <w:rPr>
          <w:rFonts w:ascii="Arial" w:cs="Arial" w:eastAsia="Arial" w:hAnsi="Arial"/>
          <w:sz w:val="11"/>
          <w:szCs w:val="11"/>
          <w:color w:val="auto"/>
        </w:rPr>
        <w:t>. We may not be able to compete effectively against these organizations. Our failure to compete effectively could materially and adversely affect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substantial competition, which may result in others discovering, developing or commercializing product candidates before, or more successfully, than we do.</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Our future success depends on our ability to demonstrate and maintain a competitive advantage with respect to the design, development and commercialization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Our competitors may succeed in developing product candidates for the same indications we are pursuing before we do, obtaining regulatory approval for competing products or gaining acceptance of their products within the same markets that we are targeting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If, either on our own or in collaboration with a strategic partner, we are not "first to market" with one of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our competitive position could be compromised because it may be more difficult for us or our partner to obtain marketing approval for our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and successfully market it as a second competitor. We expect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we commercialize, either internally or in collaboration with others, will compete with products from other companies in the biotechnology and pharmaceutical industries.</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Many of our competitors have substantially greater research and development and commercial infrastructures and financial, technical and personnel resources than we have. We will not be able to compete successfully unless we:</w:t>
      </w:r>
    </w:p>
    <w:p>
      <w:pPr>
        <w:spacing w:after="0" w:line="180" w:lineRule="exact"/>
        <w:rPr>
          <w:sz w:val="20"/>
          <w:szCs w:val="20"/>
          <w:color w:val="auto"/>
        </w:rPr>
      </w:pPr>
    </w:p>
    <w:p>
      <w:pPr>
        <w:ind w:left="420" w:hanging="24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design, develop, produce and commercialize, either on our own or with collaborators,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are superior to other products in development or in the market;</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attract qualified scientific, medical, sales and marketing and commercial personnel or collaborators;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6" w:name="page17"/>
    <w:bookmarkEnd w:id="16"/>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ind w:left="420" w:hanging="24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obtain patent and/or other proprietary protection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and</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obtain, either on our own or in collaboration with strategic partners, required regulatory approvals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Established competitors may invest heavily to quickly discover and develop novel compounds that could make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obsolete.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Other companies, academic institutions, government agencies and other public and private research organizations are conducting research, seeking patent protection and establishing collaborative arrangements for research, development and marketing of assays similar to ours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may produce. These companies and institutions also compete with us in recruiting and retaining qualified scientific and management personnel, obtaining collaborators and licensees, as well as in acquiring technologies complementary to our programs.</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As a result of the foregoing, our competitors may develop more effective or more affordable products, or achieve earlier patent protection or product commercialization than we will. Most significantly, competitive products may render any technologies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we develop obsolete, which would negatively impact our business and ability to sustain operations.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With respect to drug rescue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not otherwise available to us in the public domain, the licensing and acquisition of proprietary small molecule compounds, even compounds that have failed in development due to heart or liver safety concerns, is a highly competitive area, and a number of more established companies may also pursue strategies to license, acquire, rescue and develop small molecule compounds that we may consider to be </w:t>
      </w:r>
      <w:r>
        <w:rPr>
          <w:rFonts w:ascii="Arial" w:cs="Arial" w:eastAsia="Arial" w:hAnsi="Arial"/>
          <w:sz w:val="12"/>
          <w:szCs w:val="12"/>
          <w:i w:val="1"/>
          <w:iCs w:val="1"/>
          <w:color w:val="auto"/>
        </w:rPr>
        <w:t>Drug</w:t>
      </w:r>
      <w:r>
        <w:rPr>
          <w:rFonts w:ascii="Arial" w:cs="Arial" w:eastAsia="Arial" w:hAnsi="Arial"/>
          <w:sz w:val="12"/>
          <w:szCs w:val="12"/>
          <w:color w:val="auto"/>
        </w:rPr>
        <w:t xml:space="preserve"> </w:t>
      </w:r>
      <w:r>
        <w:rPr>
          <w:rFonts w:ascii="Arial" w:cs="Arial" w:eastAsia="Arial" w:hAnsi="Arial"/>
          <w:sz w:val="12"/>
          <w:szCs w:val="12"/>
          <w:i w:val="1"/>
          <w:iCs w:val="1"/>
          <w:color w:val="auto"/>
        </w:rPr>
        <w:t>Rescue Candidates</w:t>
      </w:r>
      <w:r>
        <w:rPr>
          <w:rFonts w:ascii="Arial" w:cs="Arial" w:eastAsia="Arial" w:hAnsi="Arial"/>
          <w:sz w:val="12"/>
          <w:szCs w:val="12"/>
          <w:color w:val="auto"/>
        </w:rPr>
        <w:t>. These established companies have a competitive advantage over us due to their size, cash resources and greater clinical development and commercialization capabilities. In addition, companies that perceive us to be a</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competitor may be unwilling to sell or license </w:t>
      </w:r>
      <w:r>
        <w:rPr>
          <w:rFonts w:ascii="Arial" w:cs="Arial" w:eastAsia="Arial" w:hAnsi="Arial"/>
          <w:sz w:val="12"/>
          <w:szCs w:val="12"/>
          <w:i w:val="1"/>
          <w:iCs w:val="1"/>
          <w:color w:val="auto"/>
        </w:rPr>
        <w:t>Drug Rescue Candidate</w:t>
      </w:r>
      <w:r>
        <w:rPr>
          <w:rFonts w:ascii="Arial" w:cs="Arial" w:eastAsia="Arial" w:hAnsi="Arial"/>
          <w:sz w:val="12"/>
          <w:szCs w:val="12"/>
          <w:color w:val="auto"/>
        </w:rPr>
        <w:t xml:space="preserve"> rights to us. We have limited experience in negotiating licenses to drug candidates and there can be no assurances that we will be able to acquire or obtain licenses to </w:t>
      </w:r>
      <w:r>
        <w:rPr>
          <w:rFonts w:ascii="Arial" w:cs="Arial" w:eastAsia="Arial" w:hAnsi="Arial"/>
          <w:sz w:val="12"/>
          <w:szCs w:val="12"/>
          <w:i w:val="1"/>
          <w:iCs w:val="1"/>
          <w:color w:val="auto"/>
        </w:rPr>
        <w:t xml:space="preserve">Drug Rescue Candidates </w:t>
      </w:r>
      <w:r>
        <w:rPr>
          <w:rFonts w:ascii="Arial" w:cs="Arial" w:eastAsia="Arial" w:hAnsi="Arial"/>
          <w:sz w:val="12"/>
          <w:szCs w:val="12"/>
          <w:color w:val="auto"/>
        </w:rPr>
        <w:t>in the future, on commercially reasonable terms, if at all, should we elect to pursue such third-party licenses. If we are unable to acquire or obtain licenses to</w:t>
      </w:r>
      <w:r>
        <w:rPr>
          <w:rFonts w:ascii="Arial" w:cs="Arial" w:eastAsia="Arial" w:hAnsi="Arial"/>
          <w:sz w:val="12"/>
          <w:szCs w:val="12"/>
          <w:i w:val="1"/>
          <w:iCs w:val="1"/>
          <w:color w:val="auto"/>
        </w:rPr>
        <w:t xml:space="preserve"> Drug Rescue Candidates </w:t>
      </w:r>
      <w:r>
        <w:rPr>
          <w:rFonts w:ascii="Arial" w:cs="Arial" w:eastAsia="Arial" w:hAnsi="Arial"/>
          <w:sz w:val="12"/>
          <w:szCs w:val="12"/>
          <w:color w:val="auto"/>
        </w:rPr>
        <w:t>we seek, our business may be</w:t>
      </w:r>
      <w:r>
        <w:rPr>
          <w:rFonts w:ascii="Arial" w:cs="Arial" w:eastAsia="Arial" w:hAnsi="Arial"/>
          <w:sz w:val="12"/>
          <w:szCs w:val="12"/>
          <w:i w:val="1"/>
          <w:iCs w:val="1"/>
          <w:color w:val="auto"/>
        </w:rPr>
        <w:t xml:space="preserve"> </w:t>
      </w:r>
      <w:r>
        <w:rPr>
          <w:rFonts w:ascii="Arial" w:cs="Arial" w:eastAsia="Arial" w:hAnsi="Arial"/>
          <w:sz w:val="12"/>
          <w:szCs w:val="12"/>
          <w:color w:val="auto"/>
        </w:rPr>
        <w:t>adversely affected.</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Restrictions on research and development involving human embryonic stem cells and political commentary regarding such research and development could impair our ability to conduct or sponsor certain potential collaborative research and development programs and adversely affect the market price of our common stock and our business model.</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Some of our most important ongoing and planned research and development programs involve the use of human cells derived from our controlled differentiation of human embryonic stem cells (</w:t>
      </w:r>
      <w:r>
        <w:rPr>
          <w:rFonts w:ascii="Arial" w:cs="Arial" w:eastAsia="Arial" w:hAnsi="Arial"/>
          <w:sz w:val="12"/>
          <w:szCs w:val="12"/>
          <w:i w:val="1"/>
          <w:iCs w:val="1"/>
          <w:color w:val="auto"/>
        </w:rPr>
        <w:t>hESC</w:t>
      </w:r>
      <w:r>
        <w:rPr>
          <w:rFonts w:ascii="Arial" w:cs="Arial" w:eastAsia="Arial" w:hAnsi="Arial"/>
          <w:sz w:val="12"/>
          <w:szCs w:val="12"/>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use hESCs derived from excess fertilized eggs that have been created for clinical use in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fertilization (</w:t>
      </w:r>
      <w:r>
        <w:rPr>
          <w:rFonts w:ascii="Arial" w:cs="Arial" w:eastAsia="Arial" w:hAnsi="Arial"/>
          <w:sz w:val="12"/>
          <w:szCs w:val="12"/>
          <w:i w:val="1"/>
          <w:iCs w:val="1"/>
          <w:color w:val="auto"/>
        </w:rPr>
        <w:t>IVF</w:t>
      </w:r>
      <w:r>
        <w:rPr>
          <w:rFonts w:ascii="Arial" w:cs="Arial" w:eastAsia="Arial" w:hAnsi="Arial"/>
          <w:sz w:val="12"/>
          <w:szCs w:val="12"/>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7" w:name="page18"/>
    <w:bookmarkEnd w:id="17"/>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 These potential ethical concerns do not apply to induced pluripotent stem cells </w:t>
      </w:r>
      <w:r>
        <w:rPr>
          <w:rFonts w:ascii="Arial" w:cs="Arial" w:eastAsia="Arial" w:hAnsi="Arial"/>
          <w:sz w:val="12"/>
          <w:szCs w:val="12"/>
          <w:i w:val="1"/>
          <w:iCs w:val="1"/>
          <w:color w:val="auto"/>
        </w:rPr>
        <w:t>(iPSC</w:t>
      </w:r>
      <w:r>
        <w:rPr>
          <w:rFonts w:ascii="Arial" w:cs="Arial" w:eastAsia="Arial" w:hAnsi="Arial"/>
          <w:sz w:val="12"/>
          <w:szCs w:val="12"/>
          <w:color w:val="auto"/>
        </w:rPr>
        <w:t>s), or our plans to pursue exploratory nonclinical regenerative medicine studies involving human cells derived from iPSCs, because their derivation does not involve the use of embryonic tissues.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assumed that the biological capabilities of induced pluripotent stem cells (iPSCs) and hESCs are likely to be comparable. If it is discovered that this assumption is incorrect, our exploratory research and development activities focused on potential regenerative medicine applications of our Human Clinical Trials in a Test Tube platform could be harmed.</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We use both hESCs and iPSCs for drug rescue purposes. However, we anticipate that our future exploratory research and development focused on potential regenerative medicine applications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applications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this would negatively affect our ability to explore expansion of our platform, including, in particular, where it would be preferable to use iPSCs to reproduce rather than approximate the effects of certain specific genetic variations.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attract and retain senior management and key scientific personnel, we may be unable to successfully produce, develop trials and commercialize our Drug Rescue Variants.</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Our success depends in part on our continued ability to attract, retain and motivate highly qualified management and scientific and technical personnel. We are highly dependent upon our senior management, as well as other employees, consultants and scientific collaborators. As of June 1, 2014, we had 10 full-time employees, which may make us more reliant on our individual employees than companies with a greater number of employees. Although none of our key scientific personnel or members of our senior management has informed us that he or she intends to resign or retire in the near future, the loss of services of any of these individuals could delay or prevent the successful development of potential expansions and applications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and our production and assessment of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or disrupt our administrative functions.</w:t>
      </w:r>
    </w:p>
    <w:p>
      <w:pPr>
        <w:spacing w:after="0" w:line="127"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activities. We may not be able to attract and retain quality personnel on acceptable terms.</w:t>
      </w:r>
    </w:p>
    <w:p>
      <w:pPr>
        <w:spacing w:after="0" w:line="11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addition, we rely on consultants and advisors, including scientific and clinical advisors, to assist us in designing our research and development strategy, including our drug rescue strategy. Our consultants and advisors may be employed by employers other than us and may have commitments under consulting or advisory contracts with other entities that may limit their availability to us.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encounter difficulties in managing our growth and expanding our operations successfully.</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As we seek to advance our proposed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drug rescue programs, produce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develop and validate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we will need to expand our research and development capabilities 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8" w:name="page19"/>
    <w:bookmarkEnd w:id="18"/>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product liability lawsuits are brought against us, we may incur substantial liabilities and may be required to limit commercialization of our product candidates.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If we produce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regenerative medicine products, either on our own or in collaboration with others, we will face an inherent risk of product liability as a result of the required clinical testing of such product candidates, and will face an even greater risk if we or our collaborators commercialize any such products. For example, we may be sued if any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or regenerative medicine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47" w:lineRule="exact"/>
        <w:rPr>
          <w:sz w:val="20"/>
          <w:szCs w:val="20"/>
          <w:color w:val="auto"/>
        </w:rPr>
      </w:pPr>
    </w:p>
    <w:p>
      <w:pPr>
        <w:ind w:left="420" w:hanging="24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 xml:space="preserve">decreased demand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other products that we may develop;</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injury to our reputation;</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withdrawal of clinical trial participants;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costs to defend the related litigation;</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 diversion of management's time and our resources;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substantial monetary awards to trial participants or patients;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product recalls, withdrawals or labeling, marketing or promotional restrictions;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loss of revenue;</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inability to commercialize our product candidates; and</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 decline in our stock price.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9" w:name="page20"/>
    <w:bookmarkEnd w:id="19"/>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To the extent we enter into licensing or collaboration agreements to develop and commercialize our product candidates, including Drug Rescue Variants, our dependence on such relationships may adversely affect our business.</w:t>
      </w:r>
    </w:p>
    <w:p>
      <w:pPr>
        <w:spacing w:after="0" w:line="191"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We may enter into strategic partnerships in the future, including collaborations with other biotechnology or pharmaceutical companies, to enhance and accelerate the development and commercialization of our product candidates. Our strategy to produce, develop and commercialize our product candidates, including any </w:t>
      </w:r>
      <w:r>
        <w:rPr>
          <w:rFonts w:ascii="Arial" w:cs="Arial" w:eastAsia="Arial" w:hAnsi="Arial"/>
          <w:sz w:val="11"/>
          <w:szCs w:val="11"/>
          <w:i w:val="1"/>
          <w:iCs w:val="1"/>
          <w:color w:val="auto"/>
        </w:rPr>
        <w:t>Drug Rescue Variants</w:t>
      </w:r>
      <w:r>
        <w:rPr>
          <w:rFonts w:ascii="Arial" w:cs="Arial" w:eastAsia="Arial" w:hAnsi="Arial"/>
          <w:sz w:val="11"/>
          <w:szCs w:val="11"/>
          <w:color w:val="auto"/>
        </w:rPr>
        <w:t>, may depend on our ability to enter into such agreements with third-party collaborators. We face significant competition in seeking appropriate strategic partners. Supporting diligence activities conducted by potential collaborators and negotiating the financial and other terms of a collaboration agreement are long and complex processes with uncertain results. Moreover, we may not be successful in our efforts to establish a strategic partnership or other alternative arrangements for any future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entering into one or more strategic collaboration agreements with third-parties, such collaborations may involve greater uncertainty for us, as we may have less control over certain aspects of our collaborative programs than we do over our proprietary internal development and commercialization programs. We may determine that continuing a collaborative arrangement under the terms provided is not in our best interest, and we may terminate the collaboration. Our collaborators could also delay or terminate their agreements, and our products subject to collaborative arrangements may never be successfully commercialized.</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Further, our future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revenues. In addition, we could have disputes with our future collaborators, such as the interpretation of terms in our agreements. Any such disagreements could lead to delays in the development or commercialization of potential products or could result in time-consuming and expensive litigation or arbitration, which may not be resolved in our favor.</w:t>
      </w:r>
    </w:p>
    <w:p>
      <w:pPr>
        <w:spacing w:after="0" w:line="143"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Even with respect to certain other products that we intend to commercialize ourselves, we may enter into agreements with collaborators to share in the burden of conducting preclinical studies,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future collaborative arrangements may not be successful.</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We cannot provide any assurance that our future collaborations will not terminate development before achievement of revenue-generating milestones or market approval, that our future collaborative arrangements will result in successful development and commercialization of </w:t>
      </w:r>
      <w:r>
        <w:rPr>
          <w:rFonts w:ascii="Arial" w:cs="Arial" w:eastAsia="Arial" w:hAnsi="Arial"/>
          <w:sz w:val="12"/>
          <w:szCs w:val="12"/>
          <w:i w:val="1"/>
          <w:iCs w:val="1"/>
          <w:color w:val="auto"/>
        </w:rPr>
        <w:t>Drug Rescue Variants</w:t>
      </w:r>
      <w:r>
        <w:rPr>
          <w:rFonts w:ascii="Arial" w:cs="Arial" w:eastAsia="Arial" w:hAnsi="Arial"/>
          <w:sz w:val="12"/>
          <w:szCs w:val="12"/>
          <w:color w:val="auto"/>
        </w:rPr>
        <w:t>, or that we will derive any revenues from such future arrangements.</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and our collaborators’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Healthcare providers, physicians and third-party payors in the United States and elsewhere will play a primary role in the recommendation and prescription of any product candidates for which we may obtain marketing approval. Our or our future collaborator’s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or they obtain marketing approval. Restrictions under applicable federal, state and foreign healthcare laws and regulations include the following: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0" w:name="page21"/>
    <w:bookmarkEnd w:id="20"/>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ind w:left="420" w:hanging="248"/>
        <w:spacing w:after="0" w:line="323" w:lineRule="auto"/>
        <w:tabs>
          <w:tab w:leader="none" w:pos="4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09" w:lineRule="exact"/>
        <w:rPr>
          <w:rFonts w:ascii="Arial" w:cs="Arial" w:eastAsia="Arial" w:hAnsi="Arial"/>
          <w:sz w:val="11"/>
          <w:szCs w:val="11"/>
          <w:color w:val="auto"/>
        </w:rPr>
      </w:pPr>
    </w:p>
    <w:p>
      <w:pPr>
        <w:ind w:left="420" w:hanging="248"/>
        <w:spacing w:after="0" w:line="323" w:lineRule="auto"/>
        <w:tabs>
          <w:tab w:leader="none" w:pos="4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federal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and also includes provisions allowing for private, civil whistleblower or "qui tam" actions;</w:t>
      </w:r>
    </w:p>
    <w:p>
      <w:pPr>
        <w:spacing w:after="0" w:line="109" w:lineRule="exact"/>
        <w:rPr>
          <w:rFonts w:ascii="Arial" w:cs="Arial" w:eastAsia="Arial" w:hAnsi="Arial"/>
          <w:sz w:val="11"/>
          <w:szCs w:val="11"/>
          <w:color w:val="auto"/>
        </w:rPr>
      </w:pPr>
    </w:p>
    <w:p>
      <w:pPr>
        <w:jc w:val="both"/>
        <w:ind w:left="420" w:hanging="248"/>
        <w:spacing w:after="0" w:line="259" w:lineRule="auto"/>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w:t>
      </w:r>
      <w:r>
        <w:rPr>
          <w:rFonts w:ascii="Arial" w:cs="Arial" w:eastAsia="Arial" w:hAnsi="Arial"/>
          <w:sz w:val="12"/>
          <w:szCs w:val="12"/>
          <w:i w:val="1"/>
          <w:iCs w:val="1"/>
          <w:color w:val="auto"/>
        </w:rPr>
        <w:t>HIPAA</w:t>
      </w:r>
      <w:r>
        <w:rPr>
          <w:rFonts w:ascii="Arial" w:cs="Arial" w:eastAsia="Arial" w:hAnsi="Arial"/>
          <w:sz w:val="12"/>
          <w:szCs w:val="12"/>
          <w:color w:val="auto"/>
        </w:rPr>
        <w:t>), as amended by the Health Information Technology for Economic and Clinical Health Act (</w:t>
      </w:r>
      <w:r>
        <w:rPr>
          <w:rFonts w:ascii="Arial" w:cs="Arial" w:eastAsia="Arial" w:hAnsi="Arial"/>
          <w:sz w:val="12"/>
          <w:szCs w:val="12"/>
          <w:i w:val="1"/>
          <w:iCs w:val="1"/>
          <w:color w:val="auto"/>
        </w:rPr>
        <w:t>HITECH</w:t>
      </w:r>
      <w:r>
        <w:rPr>
          <w:rFonts w:ascii="Arial" w:cs="Arial" w:eastAsia="Arial" w:hAnsi="Arial"/>
          <w:sz w:val="12"/>
          <w:szCs w:val="12"/>
          <w:color w:val="auto"/>
        </w:rPr>
        <w:t>), imposes criminal and civil liability for executing a scheme to defraud any healthcare benefit program. HIPAA and HITECH also regulate the use and disclosure of identifiable health information by health care providers, health plans and health care clearinghouses, and impose obligations, including mandatory contractual terms, with respect to safeguarding the privacy, security and transmission of identifiable health information as well as requiring notification of regulatory breaches. HIPAA and HITECH violations may prompt civil and criminal enforcement actions as well as enforcement by state attorneys general;</w:t>
      </w:r>
    </w:p>
    <w:p>
      <w:pPr>
        <w:spacing w:after="0" w:line="142" w:lineRule="exact"/>
        <w:rPr>
          <w:rFonts w:ascii="Arial" w:cs="Arial" w:eastAsia="Arial" w:hAnsi="Arial"/>
          <w:sz w:val="12"/>
          <w:szCs w:val="12"/>
          <w:color w:val="auto"/>
        </w:rPr>
      </w:pPr>
    </w:p>
    <w:p>
      <w:pPr>
        <w:ind w:left="420" w:hanging="248"/>
        <w:spacing w:after="0" w:line="276" w:lineRule="auto"/>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32" w:lineRule="exact"/>
        <w:rPr>
          <w:rFonts w:ascii="Arial" w:cs="Arial" w:eastAsia="Arial" w:hAnsi="Arial"/>
          <w:sz w:val="12"/>
          <w:szCs w:val="12"/>
          <w:color w:val="auto"/>
        </w:rPr>
      </w:pPr>
    </w:p>
    <w:p>
      <w:pPr>
        <w:ind w:left="420" w:hanging="248"/>
        <w:spacing w:after="0" w:line="276" w:lineRule="auto"/>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federal transparency requirements under the Health Care Reform Law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132" w:lineRule="exact"/>
        <w:rPr>
          <w:rFonts w:ascii="Arial" w:cs="Arial" w:eastAsia="Arial" w:hAnsi="Arial"/>
          <w:sz w:val="12"/>
          <w:szCs w:val="12"/>
          <w:color w:val="auto"/>
        </w:rPr>
      </w:pPr>
    </w:p>
    <w:p>
      <w:pPr>
        <w:jc w:val="both"/>
        <w:ind w:left="420" w:hanging="248"/>
        <w:spacing w:after="0" w:line="298" w:lineRule="auto"/>
        <w:tabs>
          <w:tab w:leader="none" w:pos="4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123" w:lineRule="exact"/>
        <w:rPr>
          <w:rFonts w:ascii="Arial" w:cs="Arial" w:eastAsia="Arial" w:hAnsi="Arial"/>
          <w:sz w:val="11"/>
          <w:szCs w:val="11"/>
          <w:color w:val="auto"/>
        </w:rPr>
      </w:pPr>
    </w:p>
    <w:p>
      <w:pPr>
        <w:ind w:left="420" w:hanging="24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analogous anti-kickback, fraud and abuse and healthcare laws and regulations in foreign countries.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Efforts to ensure that our and our future collaborators’ business arrangements with third parties will comply with applicable healthcare laws and regulations will involve substantial costs. It is possible that governmental authorities will conclude that our or their business practices may not comply with current or future statutes, regulations or case law involving applicable fraud and abuse or other healthcare laws and regulations. If our or their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or our collaborators expect to do business are found to be not in compliance with applicable laws, they may be subject to criminal, civil or administrative sanctions, including exclusions from government funded healthcare programs.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1" w:name="page22"/>
    <w:bookmarkEnd w:id="21"/>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33" w:lineRule="exact"/>
        <w:rPr>
          <w:sz w:val="20"/>
          <w:szCs w:val="20"/>
          <w:color w:val="auto"/>
        </w:rPr>
      </w:pPr>
    </w:p>
    <w:p>
      <w:pPr>
        <w:jc w:val="both"/>
        <w:spacing w:after="0" w:line="380" w:lineRule="auto"/>
        <w:rPr>
          <w:sz w:val="20"/>
          <w:szCs w:val="20"/>
          <w:color w:val="auto"/>
        </w:rPr>
      </w:pPr>
      <w:r>
        <w:rPr>
          <w:rFonts w:ascii="Arial" w:cs="Arial" w:eastAsia="Arial" w:hAnsi="Arial"/>
          <w:sz w:val="10"/>
          <w:szCs w:val="10"/>
          <w:b w:val="1"/>
          <w:bCs w:val="1"/>
          <w:i w:val="1"/>
          <w:iCs w:val="1"/>
          <w:color w:val="auto"/>
        </w:rPr>
        <w:t>To the extent our research and development activities involve using induced pluripotent stem cells,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social and ethical concerns surrounding the use of iPSCs, biological materials and genetic information could impair our operations.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2" w:name="page23"/>
    <w:bookmarkEnd w:id="22"/>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Our human cells and human cell-based bioassay systems, including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are not currently sold, for research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cells we derive from human pluripotent stem cells in therapeutic applications or product candidates, such applications and/or product candidates would be subject to the FDA’s pre- and post-market regulations. For example, if we seek to develop and market human cells we produce for use in performing cell therapy or for other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We intend to rely on third-party contract manufacturers to produce our product candidate supplies and to produce commercial supplies of any approved product candidates we develop on our own. Any failure by a third-party manufacturer to produce for us supplies of product candidates we elect to develop on our own may delay or impair our ability to initiate or complete clinical trials, commercialize our product candidates, or continue to sell any products we commercialize.</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do not currently own or operate any manufacturing facilities, and we lack sufficient internal staff to produce product candidate supplies ourselves. As a result, we have worked with, and plan to continue to work with, third-party contract manufacturers to produce sufficient quantities of our product candidates for future preclinical and clinical testing and commercialization. If we are unable to arrange for such a third-party manufacturing source, or fail to do so on commercially reasonable terms or on a timely basis, we or our potential strategic partner may not be able to successfully produce, develop, and market our product candidates or may be delayed in doing so.</w:t>
      </w:r>
    </w:p>
    <w:p>
      <w:pPr>
        <w:spacing w:after="0" w:line="12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Reliance on third-party manufacturers entails risks to which we or our potential collaborators would not be subject if we or they manufactured product candidates ourselves or themselves,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in accordance with our product specifications), the possibility of termination or nonrenewal of the agreement by the third party, based on its own business priorities, at a time that is costly or damaging to us, or misappropriation of proprietary formulas or protocols. We will be, and our potential strategic partners may be, dependent, on the ability of these third-party manufacturers to produce adequate supplies of drug product to support development programs and future commercialization of our product candidates. In addition, the FDA and other regulatory authorities require that all product candidates be manufactured according to cGMP and similar foreign standards. Any failure by our or our collaborators’ third-party manufacturers to comply with cGMP or failure to scale up manufacturing processes, including any failure to deliver sufficient quantities of product candidates in a timely manner, could lead to a delay in, or failure to obtain, regulatory approval for trial initiation or marketing of any product candidates we may produce, including </w:t>
      </w:r>
      <w:r>
        <w:rPr>
          <w:rFonts w:ascii="Arial" w:cs="Arial" w:eastAsia="Arial" w:hAnsi="Arial"/>
          <w:sz w:val="11"/>
          <w:szCs w:val="11"/>
          <w:i w:val="1"/>
          <w:iCs w:val="1"/>
          <w:color w:val="auto"/>
        </w:rPr>
        <w:t>Drug Rescue Variants</w:t>
      </w:r>
      <w:r>
        <w:rPr>
          <w:rFonts w:ascii="Arial" w:cs="Arial" w:eastAsia="Arial" w:hAnsi="Arial"/>
          <w:sz w:val="11"/>
          <w:szCs w:val="11"/>
          <w:color w:val="auto"/>
        </w:rPr>
        <w:t>. In addition, such failure could be the basis for action by the FDA to withdraw approvals for product candidates previously granted and for other regulatory action, including recall or seizure, fines, imposition of operating restrictions, total or partial suspension of production or injunctions.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3" w:name="page24"/>
    <w:bookmarkEnd w:id="23"/>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We will, and our potential strategic partners may, rely on contract manufacturers to purchase from third-party suppliers the materials necessary to produce our product candidates for required studies. There may be a small number of suppliers for certain capital equipment and materials that we or our collaborators use to manufacture our product candidates. Such suppliers may not sell these materials to our manufacturers at the times we or they need them or on commercially reasonable terms. We will not have any control over the process or timing of the acquisition of these materials by our manufacturers. Although we and our collaborators generally will not begin a required study unless we or they believe a sufficient supply of a product candidate exists to complete the study, any significant delay in the supply of a product candidate or the material components thereof for an ongoing study due to the need to replace a third-party manufacturer could considerably delay completion of the studies, product testing and potential regulatory approval. If we or our manufacturers are unable to purchase these materials after regulatory approval has been obtained for our product candidates, the commercial launch of our product candidates could be delayed or there could be a shortage in supply, which would impair our ability to generate revenues from the sale of our product candidates.</w:t>
      </w:r>
    </w:p>
    <w:p>
      <w:pPr>
        <w:spacing w:after="0" w:line="13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 addition, we or our potential strategic partner may need to optimize the manufacturing processes for a particular drug substance and/or drug product so that certain product candidates may be produced in sufficient quantities of adequate quality, and at an acceptable cost, to support required development activities and commercialization. Contract manufacturers may not be able to adequately demonstrate that an optimized product candidate is comparable to a previously manufactured product candidate which could cause significant delays and increased costs to our or our collaborators’ development programs. Our manufacturers may not be able to manufacture our product candidates at a cost or in quantities or in a timely manner necessary to develop and commercialize them. If we successfully commercialize any of our drugs, we may be required to establish or access large-scale commercial manufacturing capabilities. In addition, assuming that our drug development pipeline increases and matures, we will have a greater need for clinical trial and commercial manufacturing capacity. To meet our projected needs for commercial manufacturing, third party manufactures with whom we work will need to increase their scale of production or we will need to secure alternate suppliers.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Production, Development, and Regulatory Approval of Product Candidates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Even if we are able to begin clinical trails for a Drug Rescue Variant, we may encounter considerable delays and/or expend considerable resources without producing a marketable product capable of generating revenue.</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We may never generate revenues from sales of 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or any other product because of a variety of risks inherent in our business, including the following:</w:t>
      </w:r>
    </w:p>
    <w:p>
      <w:pPr>
        <w:spacing w:after="0" w:line="168" w:lineRule="exact"/>
        <w:rPr>
          <w:sz w:val="20"/>
          <w:szCs w:val="20"/>
          <w:color w:val="auto"/>
        </w:rPr>
      </w:pPr>
    </w:p>
    <w:p>
      <w:pPr>
        <w:ind w:left="420" w:hanging="248"/>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 xml:space="preserve">clinical trials may not demonstrate the safety and efficacy of any </w:t>
      </w:r>
      <w:r>
        <w:rPr>
          <w:rFonts w:ascii="Arial" w:cs="Arial" w:eastAsia="Arial" w:hAnsi="Arial"/>
          <w:sz w:val="12"/>
          <w:szCs w:val="12"/>
          <w:i w:val="1"/>
          <w:iCs w:val="1"/>
          <w:color w:val="auto"/>
        </w:rPr>
        <w:t>Drug Rescue Variant</w:t>
      </w:r>
      <w:r>
        <w:rPr>
          <w:rFonts w:ascii="Arial" w:cs="Arial" w:eastAsia="Arial" w:hAnsi="Arial"/>
          <w:sz w:val="12"/>
          <w:szCs w:val="12"/>
          <w:color w:val="auto"/>
        </w:rPr>
        <w:t>, other new drug candidate, biological candidate or regenerative medicine product candidate;</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completion of nonclinical or clinical trials may be delayed, or costs of nonclinical or clinical trials may exceed anticipated amounts;</w:t>
      </w:r>
    </w:p>
    <w:p>
      <w:pPr>
        <w:spacing w:after="0" w:line="168" w:lineRule="exact"/>
        <w:rPr>
          <w:rFonts w:ascii="Arial" w:cs="Arial" w:eastAsia="Arial" w:hAnsi="Arial"/>
          <w:sz w:val="12"/>
          <w:szCs w:val="12"/>
          <w:color w:val="auto"/>
        </w:rPr>
      </w:pPr>
    </w:p>
    <w:p>
      <w:pPr>
        <w:ind w:left="420" w:hanging="248"/>
        <w:spacing w:after="0" w:line="276" w:lineRule="auto"/>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 xml:space="preserve">we may not be able to obtain regulatory approval of any </w:t>
      </w:r>
      <w:r>
        <w:rPr>
          <w:rFonts w:ascii="Arial" w:cs="Arial" w:eastAsia="Arial" w:hAnsi="Arial"/>
          <w:sz w:val="12"/>
          <w:szCs w:val="12"/>
          <w:i w:val="1"/>
          <w:iCs w:val="1"/>
          <w:color w:val="auto"/>
        </w:rPr>
        <w:t>Drug Rescue Variant</w:t>
      </w:r>
      <w:r>
        <w:rPr>
          <w:rFonts w:ascii="Arial" w:cs="Arial" w:eastAsia="Arial" w:hAnsi="Arial"/>
          <w:sz w:val="12"/>
          <w:szCs w:val="12"/>
          <w:color w:val="auto"/>
        </w:rPr>
        <w:t>, other new drug candidate, biological candidate or regenerative medicine product candidate; or we may experience delays in obtaining any such approval;</w:t>
      </w:r>
    </w:p>
    <w:p>
      <w:pPr>
        <w:spacing w:after="0" w:line="132" w:lineRule="exact"/>
        <w:rPr>
          <w:rFonts w:ascii="Arial" w:cs="Arial" w:eastAsia="Arial" w:hAnsi="Arial"/>
          <w:sz w:val="12"/>
          <w:szCs w:val="12"/>
          <w:color w:val="auto"/>
        </w:rPr>
      </w:pPr>
    </w:p>
    <w:p>
      <w:pPr>
        <w:ind w:left="420" w:hanging="248"/>
        <w:spacing w:after="0" w:line="276" w:lineRule="auto"/>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 xml:space="preserve">we may not be able to manufacture, or have manufactured for us,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 economically, timely and on a commercial scale;</w:t>
      </w:r>
    </w:p>
    <w:p>
      <w:pPr>
        <w:spacing w:after="0" w:line="132" w:lineRule="exact"/>
        <w:rPr>
          <w:rFonts w:ascii="Arial" w:cs="Arial" w:eastAsia="Arial" w:hAnsi="Arial"/>
          <w:sz w:val="12"/>
          <w:szCs w:val="12"/>
          <w:color w:val="auto"/>
        </w:rPr>
      </w:pPr>
    </w:p>
    <w:p>
      <w:pPr>
        <w:ind w:left="420" w:hanging="248"/>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 xml:space="preserve">we and any licensees of ours may not be able to successfully market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 xml:space="preserve">physicians may not prescribe our products, or patients or third party payors may not accept our </w:t>
      </w:r>
      <w:r>
        <w:rPr>
          <w:rFonts w:ascii="Arial" w:cs="Arial" w:eastAsia="Arial" w:hAnsi="Arial"/>
          <w:sz w:val="11"/>
          <w:szCs w:val="11"/>
          <w:i w:val="1"/>
          <w:iCs w:val="1"/>
          <w:color w:val="auto"/>
        </w:rPr>
        <w:t>Drug Rescue Variants</w:t>
      </w:r>
      <w:r>
        <w:rPr>
          <w:rFonts w:ascii="Arial" w:cs="Arial" w:eastAsia="Arial" w:hAnsi="Arial"/>
          <w:sz w:val="11"/>
          <w:szCs w:val="11"/>
          <w:color w:val="auto"/>
        </w:rPr>
        <w:t>, other drug candidates, biological candidates or regenerative medicine product candidates;</w:t>
      </w:r>
    </w:p>
    <w:p>
      <w:pPr>
        <w:spacing w:after="0" w:line="179" w:lineRule="exact"/>
        <w:rPr>
          <w:rFonts w:ascii="Arial" w:cs="Arial" w:eastAsia="Arial" w:hAnsi="Arial"/>
          <w:sz w:val="11"/>
          <w:szCs w:val="11"/>
          <w:color w:val="auto"/>
        </w:rPr>
      </w:pPr>
    </w:p>
    <w:p>
      <w:pPr>
        <w:ind w:left="420" w:hanging="248"/>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 xml:space="preserve">others may have proprietary rights which prevent us from marketing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 and</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competitors may sell similar, superior or lower-cost products.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4" w:name="page25"/>
    <w:bookmarkEnd w:id="24"/>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In the event we are able to begin a clinical trial of a </w:t>
      </w:r>
      <w:r>
        <w:rPr>
          <w:rFonts w:ascii="Arial" w:cs="Arial" w:eastAsia="Arial" w:hAnsi="Arial"/>
          <w:sz w:val="12"/>
          <w:szCs w:val="12"/>
          <w:i w:val="1"/>
          <w:iCs w:val="1"/>
          <w:color w:val="auto"/>
        </w:rPr>
        <w:t>Drug Rescue Variant</w:t>
      </w:r>
      <w:r>
        <w:rPr>
          <w:rFonts w:ascii="Arial" w:cs="Arial" w:eastAsia="Arial" w:hAnsi="Arial"/>
          <w:sz w:val="12"/>
          <w:szCs w:val="12"/>
          <w:color w:val="auto"/>
        </w:rPr>
        <w:t>, our or our collaborator’s future clinical trials may be delayed or halted for many reasons, including:</w:t>
      </w:r>
    </w:p>
    <w:p>
      <w:pPr>
        <w:spacing w:after="0" w:line="168" w:lineRule="exact"/>
        <w:rPr>
          <w:sz w:val="20"/>
          <w:szCs w:val="20"/>
          <w:color w:val="auto"/>
        </w:rPr>
      </w:pPr>
    </w:p>
    <w:p>
      <w:pPr>
        <w:ind w:left="420" w:right="20" w:hanging="248"/>
        <w:spacing w:after="0" w:line="276" w:lineRule="auto"/>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delays or failure reaching agreement on acceptable terms with prospective contract manufacturing organizations (</w:t>
      </w:r>
      <w:r>
        <w:rPr>
          <w:rFonts w:ascii="Arial" w:cs="Arial" w:eastAsia="Arial" w:hAnsi="Arial"/>
          <w:sz w:val="12"/>
          <w:szCs w:val="12"/>
          <w:i w:val="1"/>
          <w:iCs w:val="1"/>
          <w:color w:val="auto"/>
        </w:rPr>
        <w:t>CMO</w:t>
      </w:r>
      <w:r>
        <w:rPr>
          <w:rFonts w:ascii="Arial" w:cs="Arial" w:eastAsia="Arial" w:hAnsi="Arial"/>
          <w:sz w:val="12"/>
          <w:szCs w:val="12"/>
          <w:color w:val="auto"/>
        </w:rPr>
        <w:t>s), contract research organizations (</w:t>
      </w:r>
      <w:r>
        <w:rPr>
          <w:rFonts w:ascii="Arial" w:cs="Arial" w:eastAsia="Arial" w:hAnsi="Arial"/>
          <w:sz w:val="12"/>
          <w:szCs w:val="12"/>
          <w:i w:val="1"/>
          <w:iCs w:val="1"/>
          <w:color w:val="auto"/>
        </w:rPr>
        <w:t>CRO</w:t>
      </w:r>
      <w:r>
        <w:rPr>
          <w:rFonts w:ascii="Arial" w:cs="Arial" w:eastAsia="Arial" w:hAnsi="Arial"/>
          <w:sz w:val="12"/>
          <w:szCs w:val="12"/>
          <w:color w:val="auto"/>
        </w:rPr>
        <w:t>s), and clinical trial sites, the terms of which can be subject to extensive negotiation and may vary significantly among different CROs and trial sites;</w:t>
      </w:r>
    </w:p>
    <w:p>
      <w:pPr>
        <w:spacing w:after="0" w:line="132" w:lineRule="exact"/>
        <w:rPr>
          <w:rFonts w:ascii="Arial" w:cs="Arial" w:eastAsia="Arial" w:hAnsi="Arial"/>
          <w:sz w:val="12"/>
          <w:szCs w:val="12"/>
          <w:color w:val="auto"/>
        </w:rPr>
      </w:pPr>
    </w:p>
    <w:p>
      <w:pPr>
        <w:ind w:left="420" w:hanging="24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failure of third-party contractors, such as CROs and CMOs, or investigators to comply with regulatory requirements or otherwise meet their contractual obligations in a timely manner;</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delays or failure in obtaining the necessary approvals from regulators or institutional review boards (IRBs) in order to commence a clinical trial at a prospective trial site;</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inability to manufacture, or obtain from third parties, a supply of drug product sufficient to complete preclinical studies and clinical trials;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FDA requiring alterations to study designs, preclinical strategy or manufacturing plans;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delays in patient enrollment, and variability in the number and types of patients available for clinical trials, or high drop-out rates of patients;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clinical trial sites deviating from trial protocols or dropping out of a trial and/or the inability to add new clinical trial sites;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difficulty in maintaining contact with patients after treatment, resulting in incomplete data;</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poor effectiveness of our product candidates during clinical trials;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safety issues, including serious adverse events associated with our product candidates and patients' exposure to unacceptable health risks;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receipt by a competitor of marketing approval for a product targeting an indication that one of our product candidates targets, such that we are not "first to market" with our product candidate;</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governmental or regulatory delays and changes in regulatory requirements, policy and guidelines; or</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varying interpretations of data by the FDA and similar foreign regulatory agencies.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or our collaborator could also encounter delays if a clinical trial is suspended or terminated by us, our collaborator, the IRBs of the institutions in which a trial is being conducted, by the Data Safety Monitoring Board (</w:t>
      </w:r>
      <w:r>
        <w:rPr>
          <w:rFonts w:ascii="Arial" w:cs="Arial" w:eastAsia="Arial" w:hAnsi="Arial"/>
          <w:sz w:val="12"/>
          <w:szCs w:val="12"/>
          <w:i w:val="1"/>
          <w:iCs w:val="1"/>
          <w:color w:val="auto"/>
        </w:rPr>
        <w:t>DSMB</w:t>
      </w:r>
      <w:r>
        <w:rPr>
          <w:rFonts w:ascii="Arial" w:cs="Arial" w:eastAsia="Arial" w:hAnsi="Arial"/>
          <w:sz w:val="12"/>
          <w:szCs w:val="12"/>
          <w:color w:val="auto"/>
        </w:rPr>
        <w:t>) for a trial, or by the FDA or other regulatory authorities. Such authorities may suspend or terminate a clinical trial due to a number of factors, including failure to conduct the clinical trial in accordance with regulatory requirements or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Moreover, if we or our collaborators are able to complete a clinical trial of a product candidate, the results of such trial may not be adequate to support marketing approval. For any such trial, if the FDA disagrees with the choice of primary endpoint or the results for the primary endpoint are not robust or significant relative to control, are subject to confounding factors, or are not adequately supported by other study endpoints, including overall survival or complete response rate, the FDA may refuse to approve a BLA or NDA. The FDA may require additional clinical trials as a condition for approving our product candidates.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5" w:name="page26"/>
    <w:bookmarkEnd w:id="25"/>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If we or our collaborator experience delays in the completion of, or termination of, any clinical trial of our product candidates, the commercial prospects of our product candidates will be harmed, and our ability to commence product sales and generate product revenues from any of our product candidates will be delayed. In addition, any delays in completing our clinical trials will increase our costs and slow our product candidate development and approval process. Delays in completing clinical trials could also allow our competitors to obtain marketing approval before we do or shorten the patent protection period during which we may have the exclusive right to commercialize our product candidates.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Results of earlier clinical trials may not be predictive of the results of later-stage clinical trials.</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results of preclinical studies and early clinical trials of product candidates may not be predictive of the results of later-stage clinical trials.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as well as any future strategic partner, will need to receive regulatory approval for any new drug candidate, including each Drug Rescue Variant, biological candidate or regenerative medicine product before it may be marketed and distributed, and such regulatory approval may never occur.</w:t>
      </w:r>
    </w:p>
    <w:p>
      <w:pPr>
        <w:spacing w:after="0" w:line="133"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Our future success depends heavily on our ability to use stem cell technology, human cells derived from stem cells, proprietary human cell-based bioassay systems, especially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medicinal chemistry to produce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Rescue Variants </w:t>
      </w:r>
      <w:r>
        <w:rPr>
          <w:rFonts w:ascii="Arial" w:cs="Arial" w:eastAsia="Arial" w:hAnsi="Arial"/>
          <w:sz w:val="11"/>
          <w:szCs w:val="11"/>
          <w:color w:val="auto"/>
        </w:rPr>
        <w:t>and, develop, obtain regulatory approval for, and commercialize lead</w:t>
      </w:r>
      <w:r>
        <w:rPr>
          <w:rFonts w:ascii="Arial" w:cs="Arial" w:eastAsia="Arial" w:hAnsi="Arial"/>
          <w:sz w:val="11"/>
          <w:szCs w:val="11"/>
          <w:i w:val="1"/>
          <w:iCs w:val="1"/>
          <w:color w:val="auto"/>
        </w:rPr>
        <w:t xml:space="preserve"> Drug Rescue Variants</w:t>
      </w:r>
      <w:r>
        <w:rPr>
          <w:rFonts w:ascii="Arial" w:cs="Arial" w:eastAsia="Arial" w:hAnsi="Arial"/>
          <w:sz w:val="11"/>
          <w:szCs w:val="11"/>
          <w:color w:val="auto"/>
        </w:rPr>
        <w:t>, on our own or in strategic collaborations. We have not previously submitted a new drug application or NDA, to the FDA, or</w:t>
      </w:r>
      <w:r>
        <w:rPr>
          <w:rFonts w:ascii="Arial" w:cs="Arial" w:eastAsia="Arial" w:hAnsi="Arial"/>
          <w:sz w:val="11"/>
          <w:szCs w:val="11"/>
          <w:i w:val="1"/>
          <w:iCs w:val="1"/>
          <w:color w:val="auto"/>
        </w:rPr>
        <w:t xml:space="preserve"> </w:t>
      </w:r>
      <w:r>
        <w:rPr>
          <w:rFonts w:ascii="Arial" w:cs="Arial" w:eastAsia="Arial" w:hAnsi="Arial"/>
          <w:sz w:val="11"/>
          <w:szCs w:val="11"/>
          <w:color w:val="auto"/>
        </w:rPr>
        <w:t>similar drug approval filings to comparable foreign authorities, for any product candidate.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13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Regulatory approval will require, among numerous other things, completing carefully controlled and well-designed clinical trials demonstrating the safety and efficacy of each new product candidate. This process is lengthy, expensive and uncertain. If we encounter delays in the regulatory approval process beyond our control, we may not be able to develop product candidates, raise capital, expand our business or continue our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6" w:name="page27"/>
    <w:bookmarkEnd w:id="26"/>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or our potential strategic partners, experience delays in the enrollment of patients in clinical trials involving our product candidates, our receipt of necessary regulatory approvals could be delayed or prevented.</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We or our potential strategic partners may not be able to initiate or continue clinical trials for our product candidates if we or they are unable to locate and enroll a sufficient number of eligible patients to participate in these trials as required by the FDA or other regulatory authorities. 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or our collaborators may be investigating. If we or they fail to enroll and maintain the number of patients for which the clinical trial was designed, the statistical power of that clinical trial may be reduced, which would make it harder to demonstrate that the product candidate being tested is safe and effective. Additionally, enrollment delays in clinical trials may result in increased development costs for our product candidates, which would cause the value of our common stock to decline and limit our ability to obtain additional financing. Our inability to enroll a sufficient number of patients for any of our current or future clinical trials would result in significant delays or may require us to abandon one or more clinical trials, and, therefore, product candidates, altogether.</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Even if we receive regulatory approval for any of our Drug Rescue Variants or other product candidates, we and/or our potential strategic partners will be subject to ongoing FDA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Any regulatory approvals that we or our potential strategic partners receive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other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all of which could adversely affect the product’s commercial potential and our revenues. In addition, if the FDA approves any of our product candidates, the manufacturing processes, testing, packaging, labeling, storage, distribution, field alert or biological product deviation reporting, adverse event reporting, advertising, promotion and recordkeeping for the product will be subject to extensive and ongoing regulatory requirements. These requirements include submissions of safety and other post-marketing information and reports, as well as continued compliance with cGMP for commercial manufacturing and good clinical practices, or GCP,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49" w:lineRule="exact"/>
        <w:rPr>
          <w:sz w:val="20"/>
          <w:szCs w:val="20"/>
          <w:color w:val="auto"/>
        </w:rPr>
      </w:pPr>
    </w:p>
    <w:p>
      <w:pPr>
        <w:ind w:left="420" w:hanging="24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restrictions on the marketing or manufacturing of the product, withdrawal of the product from the market, or voluntary or mandatory product recalls;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warning letters or holds on clinical trials;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refusal by the FDA to approve pending applications or supplements to approved applications filed by us or our strategic partners, or suspension or revocation of product license approvals;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product seizure or detention, or refusal to permit the import or export of products; and</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injunctions, fines or the imposition of other civil or criminal penalties.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7" w:name="page28"/>
    <w:bookmarkEnd w:id="27"/>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Financial Position and Capital Requirements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incurred significant net losses since inception and anticipate that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have incurred significant net losses in each fiscal year since our inception in 1998, including net losses of $3.0 million and $12.9 million during the fiscal years ending March 31, 2014 and 2013, respectively. As of March 31, 2014, we had an accumulated deficit of $70.6 million. We do not know whether or when we will become profitable. To date, although we have generated approximately $16.4 million in revenues, we have not commercialized any products or generated any revenues from product sales. Our losses have resulted principally from costs incurred in our research and development programs and from general and administrative expenses. We anticipate that our operating losses will substantially increase over the next several years as we execute our plan to expand our drug rescue, stem cell technology research and development, drug development and potential commercialization activities. Additionally, we expect that our general and administrative expenses will increase in the event we achieve our goal of obtaining a listing on a national securities exchange. The net losses we incur may fluctuate from quarter to quarter.</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we do not successfully develop, out-license, sell or obtain regulatory approval for our future product candidates and effectively manufacture, market and sell, or collaborate to accomplish such activities, any product candidates that are approved, we may never generate revenues from product sales, and even if we do generate product sales revenues, we may never achieve or sustain profitability on a quarterly or annual basis. Our failure to become and remain profitable would depress the market price of our common stock and could impair our ability to raise capital, expand our business, diversify our product offerings or continue our operations. A decline in the market price of our common stock also could cause you to lose all or a part of your investment.</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b w:val="1"/>
          <w:bCs w:val="1"/>
          <w:i w:val="1"/>
          <w:iCs w:val="1"/>
          <w:color w:val="auto"/>
        </w:rPr>
        <w:t>As of July 1, 2104, we had outstanding indebtedness in the aggregate principal amount of approximately $11.3 million, including up to $9.0 million of which may be converted into, or is payable with, our equity securities. Unless we are able to convert such indebtedness into our equity securities, according to existing agreements or otherwise restructure such indebtedness, we may be unable to pay approximately $4.2 million of such indebtedness when due in the next twelve months.</w:t>
      </w:r>
    </w:p>
    <w:p>
      <w:pPr>
        <w:spacing w:after="0" w:line="12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At July 1, 2014, we had outstanding indebtedness in the aggregate principal amount of approximately $11.3 million, including up to $9.0 million of convertible promissory notes that may be converted into our equity securities upon the consummation of this Offering, or extinguished upon the exercise of warrants to purchase shares of our common stock associated with certain of such indebtedness. Approximately $4.2 million of our outstanding indebtedness is due or will become due from time to time during the next 12 months, to the extent it is not otherwise (i) restructured or (ii) converted into our equity securities in connection with the consummation of this Offering, or otherwise in accordance with certain agreements evidencing, or related to, such indebtedness. No assurances can be given that such conversions or extinguishment of indebtedness will occur within the next twelve months, or at all. In the event our indebtedness is not restructured or converted into our equity securities, we cannot assure you that we will generate sufficient revenue to repay this indebtedness in full when due. Unless we are able to restructure the terms of such indebtedness, we may be required to raise additional capital through debt and/or equity financing to continue our operations. No assurances can be given that any such financing will be available to us on favorable terms, if at all. Our inability to obtain debt or equity financing in a timely manner and in amounts sufficient to fund our operations, if necessary, would have an immediate and substantial adverse impact on our business, financial condition or results of operations.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8" w:name="page29"/>
    <w:bookmarkEnd w:id="28"/>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independent auditors have expressed substantial doubt about our ability to continue as a going concern.</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Our consolidated financial statements for the year ended March 31, 2014 included in this prospectus have been prepared assuming we will continue to operate as a going concern. However, due to our ongoing operating losses and our accumulated deficit, there is doubt about our ability to continue as a going concern. Because we continue to experience net operating losses, our ability to continue as a going concern is subject to our ability to generate a profit and/or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of our research and development activities or we may not be able to continue as a going concern.</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Since our inception, most of our resources have been dedicated to research and development of the drug rescue capabilities of our human pluripotent stem cell technology. In particular, we have expended substantial resources developing </w:t>
      </w:r>
      <w:r>
        <w:rPr>
          <w:rFonts w:ascii="Arial" w:cs="Arial" w:eastAsia="Arial" w:hAnsi="Arial"/>
          <w:sz w:val="11"/>
          <w:szCs w:val="11"/>
          <w:i w:val="1"/>
          <w:iCs w:val="1"/>
          <w:color w:val="auto"/>
        </w:rPr>
        <w:t xml:space="preserve">CardioSafe </w:t>
      </w:r>
      <w:r>
        <w:rPr>
          <w:rFonts w:ascii="Arial" w:cs="Arial" w:eastAsia="Arial" w:hAnsi="Arial"/>
          <w:sz w:val="11"/>
          <w:szCs w:val="11"/>
          <w:color w:val="auto"/>
        </w:rPr>
        <w:t>3D and</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and we will continue to expend substantial resources for the foreseeable future developing</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and</w:t>
      </w:r>
      <w:r>
        <w:rPr>
          <w:rFonts w:ascii="Arial" w:cs="Arial" w:eastAsia="Arial" w:hAnsi="Arial"/>
          <w:sz w:val="11"/>
          <w:szCs w:val="11"/>
          <w:i w:val="1"/>
          <w:iCs w:val="1"/>
          <w:color w:val="auto"/>
        </w:rPr>
        <w:t xml:space="preserve"> CardioSafe </w:t>
      </w:r>
      <w:r>
        <w:rPr>
          <w:rFonts w:ascii="Arial" w:cs="Arial" w:eastAsia="Arial" w:hAnsi="Arial"/>
          <w:sz w:val="11"/>
          <w:szCs w:val="11"/>
          <w:color w:val="auto"/>
        </w:rPr>
        <w:t>3D</w:t>
      </w:r>
      <w:r>
        <w:rPr>
          <w:rFonts w:ascii="Arial" w:cs="Arial" w:eastAsia="Arial" w:hAnsi="Arial"/>
          <w:sz w:val="11"/>
          <w:szCs w:val="11"/>
          <w:i w:val="1"/>
          <w:iCs w:val="1"/>
          <w:color w:val="auto"/>
        </w:rPr>
        <w:t xml:space="preserve"> Drug Rescue Variants</w:t>
      </w:r>
      <w:r>
        <w:rPr>
          <w:rFonts w:ascii="Arial" w:cs="Arial" w:eastAsia="Arial" w:hAnsi="Arial"/>
          <w:sz w:val="11"/>
          <w:szCs w:val="11"/>
          <w:color w:val="auto"/>
        </w:rPr>
        <w:t>. These expenditures will include costs associated with</w:t>
      </w:r>
      <w:r>
        <w:rPr>
          <w:rFonts w:ascii="Arial" w:cs="Arial" w:eastAsia="Arial" w:hAnsi="Arial"/>
          <w:sz w:val="11"/>
          <w:szCs w:val="11"/>
          <w:i w:val="1"/>
          <w:iCs w:val="1"/>
          <w:color w:val="auto"/>
        </w:rPr>
        <w:t xml:space="preserve"> </w:t>
      </w:r>
      <w:r>
        <w:rPr>
          <w:rFonts w:ascii="Arial" w:cs="Arial" w:eastAsia="Arial" w:hAnsi="Arial"/>
          <w:sz w:val="11"/>
          <w:szCs w:val="11"/>
          <w:color w:val="auto"/>
        </w:rPr>
        <w:t>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 Furthermore, we expect to incur additional costs associated with operating as a public company.</w:t>
      </w:r>
    </w:p>
    <w:p>
      <w:pPr>
        <w:spacing w:after="0" w:line="127" w:lineRule="exact"/>
        <w:rPr>
          <w:sz w:val="20"/>
          <w:szCs w:val="20"/>
          <w:color w:val="auto"/>
        </w:rPr>
      </w:pPr>
    </w:p>
    <w:p>
      <w:pPr>
        <w:jc w:val="both"/>
        <w:ind w:right="20"/>
        <w:spacing w:after="0" w:line="286" w:lineRule="auto"/>
        <w:rPr>
          <w:sz w:val="20"/>
          <w:szCs w:val="20"/>
          <w:color w:val="auto"/>
        </w:rPr>
      </w:pPr>
      <w:r>
        <w:rPr>
          <w:rFonts w:ascii="Arial" w:cs="Arial" w:eastAsia="Arial" w:hAnsi="Arial"/>
          <w:sz w:val="11"/>
          <w:szCs w:val="11"/>
          <w:color w:val="auto"/>
        </w:rPr>
        <w:t xml:space="preserve">We have no current source of revenue to sustain our present activities, and we do not expect to generate revenue until, and unless, we out-license a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and/or AV-101 to a third party, obtain approval from the FDA or other regulatory authorities and successfully commercialize, on our own or through a future collaboration, one or more of our compounds. As the outcome of our proposed drug rescue and AV-101 development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and may seek additional capital in the event there exists favorable market conditions or strategic considerations even if we believe we have sufficient funds for our current or future operating plans.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Our future capital requirements depend on many factors, including:</w:t>
      </w:r>
    </w:p>
    <w:p>
      <w:pPr>
        <w:spacing w:after="0" w:line="168" w:lineRule="exact"/>
        <w:rPr>
          <w:sz w:val="20"/>
          <w:szCs w:val="20"/>
          <w:color w:val="auto"/>
        </w:rPr>
      </w:pPr>
    </w:p>
    <w:p>
      <w:pPr>
        <w:ind w:left="420" w:hanging="248"/>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 xml:space="preserve">the number and characteristics of the product candidates we pursue, including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scope, progress, results and costs of researching and developing our product candidates, and conducting preclinical and clinical studies;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timing of, and the costs involved in, obtaining regulatory approvals for our product candidates;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cost of commercialization activities if any of our product candidates are approved for sale, including marketing, sales and distribution costs;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cost of manufacturing our product candidates and any products we successfully commercialize;</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ability to establish and maintain strategic partnerships, licensing or other arrangements and the financial terms of such agreements;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9" w:name="page30"/>
    <w:bookmarkEnd w:id="29"/>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ind w:left="420" w:hanging="248"/>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market acceptance of our products;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effect of competing technological and market developments;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ability to obtain government funding for our programs;</w:t>
      </w:r>
    </w:p>
    <w:p>
      <w:pPr>
        <w:spacing w:after="0" w:line="168" w:lineRule="exact"/>
        <w:rPr>
          <w:rFonts w:ascii="Arial" w:cs="Arial" w:eastAsia="Arial" w:hAnsi="Arial"/>
          <w:sz w:val="12"/>
          <w:szCs w:val="12"/>
          <w:color w:val="auto"/>
        </w:rPr>
      </w:pPr>
    </w:p>
    <w:p>
      <w:pPr>
        <w:ind w:left="420" w:right="20" w:hanging="248"/>
        <w:spacing w:after="0" w:line="276" w:lineRule="auto"/>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costs involved in preparing, filing, prosecuting, maintaining, defending and enforcing patent claims necessary to preserve our freedom to operate in the stem cell industry, including litigation costs associated with any claims that we infringe third-party patents or violate other intellectual property rights and the outcome of such litigation;</w:t>
      </w:r>
    </w:p>
    <w:p>
      <w:pPr>
        <w:spacing w:after="0" w:line="132" w:lineRule="exact"/>
        <w:rPr>
          <w:rFonts w:ascii="Arial" w:cs="Arial" w:eastAsia="Arial" w:hAnsi="Arial"/>
          <w:sz w:val="12"/>
          <w:szCs w:val="12"/>
          <w:color w:val="auto"/>
        </w:rPr>
      </w:pPr>
    </w:p>
    <w:p>
      <w:pPr>
        <w:ind w:left="420" w:hanging="248"/>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timing, receipt and amount of potential future licensee fees, milestone payments, and sales of, or royalties on, our future products, if any; and</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extent to which we acquire or invest in businesses, products and technologies, although we currently have no commitments or agreements relating to any of these types of transactions.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Additional funds may not be available when we need them, on terms that are acceptable to us, or at all. If adequate funds are not available to us on a timely basis, we may be required to delay, limit, reduce or terminate drug rescue programs, preclinical studies, clinical trials or other research and development activities for one or more of our product candidates, or cease or reduce our operating activities and/or sell or license to third parties some or all of our intellectual property, any of which could harm our operating results.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Raising additional capital will cause substantial dilution to our existing stockholders and may restrict our operations or require us to relinquish rights to our technologies or product candidates.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To the extent that we raise additional capital through the sale of equity or convertible debt securities, the ownership interests of existing stockholders will be diluted, and the terms of the new capital may include liquidation or other preferences that adversely affect existing stockholder rights. Debt financing, if available, may involve agreements that include covenants limiting or restricting our ability to take certain actions, such as incurring debt, making capital expenditures or declaring dividends. If we raise additional funds through strategic partnerships and alliances and licensing arrangements with third parties, we may have to relinquish valuable rights to our technologies or product candidates, or grant licenses on terms that are not favorable to us. If we are unable to raise additional funds through equity or debt financing when needed, we may be required to delay, limit, reduce or terminate our product development or commercialization efforts or grant rights to develop and market product candidates that we would otherwise prefer to develop and market ourselves.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Some of our programs have been partially supported by government grants, which may not be available to us in the future.</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0" w:name="page31"/>
    <w:bookmarkEnd w:id="30"/>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net operating losses to offset future taxable income is subject to certain limitations.</w:t>
      </w:r>
    </w:p>
    <w:p>
      <w:pPr>
        <w:spacing w:after="0" w:line="168"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If we do not generate sufficient taxable income we may not be able to use a material portion, or any portion, of our existing net operating losses (</w:t>
      </w:r>
      <w:r>
        <w:rPr>
          <w:rFonts w:ascii="Arial" w:cs="Arial" w:eastAsia="Arial" w:hAnsi="Arial"/>
          <w:sz w:val="10"/>
          <w:szCs w:val="10"/>
          <w:i w:val="1"/>
          <w:iCs w:val="1"/>
          <w:color w:val="auto"/>
        </w:rPr>
        <w:t>NOL</w:t>
      </w:r>
      <w:r>
        <w:rPr>
          <w:rFonts w:ascii="Arial" w:cs="Arial" w:eastAsia="Arial" w:hAnsi="Arial"/>
          <w:sz w:val="10"/>
          <w:szCs w:val="10"/>
          <w:color w:val="auto"/>
        </w:rPr>
        <w:t>s). Furthermore, our existing NOLs may be subject to limitations under Section 382 of the Internal Revenue Code of 1986, as amended, which in general provides that a corporation that undergoes an “ownership change” is limited in its ability to utilize its pre- change NOLs to offset future taxable income. Our existing NOLs are subject to limitations arising from previous ownership changes, and if we undergo an ownership change, in connection with a future equity-based financing, series of equity-based financings or otherwise, our ability to utilize NOLs could be further limited by Section 382 of the Internal Revenue Code. Future changes in our stock ownership, some of which are outside of our control, could result in an ownership change under Section 382 of the Internal Revenue Code.</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utilize certain technologies that are licensed to us, including key aspects of our Human Clinical Trials in a Test Tube platform. If the licensors terminate the licenses or fail to maintain or enforce the underlying patents, our competitive position and market share will be harmed, and our business could be adversely affected.</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currently use certain licensed technologies to produce cells that are material to our research and development programs, including our drug rescue programs, and we may enter into additional license agreements in the future. Our rights to use such licensed technologies are subject to the negotiation of, continuation of and compliance with the terms of the applicable licenses, including payment of any royalties and diligence, insurance, indemnification and other obligations. If a licensor believes that we have failed to meet our obligations under a license agreement for non-payment of license fees, non-reimbursement of patent expenses, or otherwise, the licensor could seek to limit or terminate our license rights, which could lead to costly and time-consuming litigation and, potentially, a loss of the licensed rights. During the period of any such litigation, our ability to carry out the development and commercialization of potential products could be significantly and negatively affected.</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license rights are further subject to the validity of the owner’s intellectual property rights. As such, we are dependent on our licensors to defend the viability of these patents and patent applications.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 Legal action could be initiated by or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 In some cases, we do not control the prosecution, maintenance or filing of the patents to which we hold licenses, or the enforcement of these patents against third parties.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Certain of our license agreements are subject to termination by the licensor in specific circumstances, including non-payment of license fees, royalties and patent-related expenses. Any such termination of these licenses could prevent us from producing cells for our research and development programs and future commercial activities, including selling or marketing products. Because of the complexity of our human pluripotent stem cell technology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or other amounts due under the license or were otherwise not in compliance with the terms of the license, the licensor might attempt to revoke the license. If our license rights were restricted or ultimately lost, our ability to continue our business based on the affected technology would be severely adversely affected.</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may engage in discussions regarding possible commercial, licensing and cross-licensing agreements with third parties from time to time.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to such third parties. If these discussions do not lead to the execution of mutually acceptable agreements, we may be limited or prevented from producing and selling our existing products and developing new products. One or more of the parties involved in such discussions could resort to litigation to protect or enforce its patents and proprietary rights or to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1" w:name="page32"/>
    <w:bookmarkEnd w:id="31"/>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380" w:lineRule="auto"/>
        <w:rPr>
          <w:sz w:val="20"/>
          <w:szCs w:val="20"/>
          <w:color w:val="auto"/>
        </w:rPr>
      </w:pPr>
      <w:r>
        <w:rPr>
          <w:rFonts w:ascii="Arial" w:cs="Arial" w:eastAsia="Arial" w:hAnsi="Arial"/>
          <w:sz w:val="10"/>
          <w:szCs w:val="10"/>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Variants we may generate or develop in connection with any such third-party licenses.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If, instead of identifying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based on information available to us in the public domain, we seek to in-license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may generate and develop. If we are unable to obtain ownership or substantial economic participation rights over intellectual property related to Drug Rescue Variants we generate, our business may be adversely affected.</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ability to protect our intellectual property and proprietary technology through patents and other means is uncertain, and we could be unsuccessful in obtaining adequate patent protection for one or more of our product candidates.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commercial success will depend in part on our ability to protect our intellectual property and proprietary technologies. We rely on patents, where appropriate and available, as well as a combination of copyright, trade secret and trademark laws, license agreements and nondisclosure, confidentiality and other contractual restrictions to protect our proprietary technology. However, these legal means afford only limited protection and may not adequately protect our rights or permit us to gain or keep any competitive advantage. Pending patent applications of ours or our licensors may not issue as patents or may not issue in a form that will be sufficient to protect our proprietary technology and gain or maintain our competitive advantage. Any patents we have obtained or may obtain in the future, or the rights we have licensed,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products that avoid infringement of these patents or technologies.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w:t>
      </w:r>
    </w:p>
    <w:p>
      <w:pPr>
        <w:spacing w:after="0" w:line="147"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patent positions of companies in the life sciences industry can be highly uncertain and involve complex legal and factual questions for which important legal principles remain unresolved. A number of life sciences, biopharmaceutical and other companies, universities and research institutions have filed patent applications or have been issued patents relating to stem cells, use of stem cells and other modified cells to treat disease, disorder or injury, and other technologies potentially relevant to or required by our existing and planned products. We cannot be certain that patents we have filed or may file in the future will be issued or granted, or that issued or granted patents will not later be found to be invalid and/or unenforceable. The standards applied by the United States Patent and Trademark Office (</w:t>
      </w:r>
      <w:r>
        <w:rPr>
          <w:rFonts w:ascii="Arial" w:cs="Arial" w:eastAsia="Arial" w:hAnsi="Arial"/>
          <w:sz w:val="11"/>
          <w:szCs w:val="11"/>
          <w:i w:val="1"/>
          <w:iCs w:val="1"/>
          <w:color w:val="auto"/>
        </w:rPr>
        <w:t>US PTO</w:t>
      </w:r>
      <w:r>
        <w:rPr>
          <w:rFonts w:ascii="Arial" w:cs="Arial" w:eastAsia="Arial" w:hAnsi="Arial"/>
          <w:sz w:val="11"/>
          <w:szCs w:val="11"/>
          <w:color w:val="auto"/>
        </w:rPr>
        <w:t>)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or future patent applications. As such, we do not know the degree of future protection that we will have on certain of our proprietary products and technology.</w:t>
      </w:r>
    </w:p>
    <w:p>
      <w:pPr>
        <w:spacing w:after="0" w:line="13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patents and patent applications may not be sufficient to protect our products, product candidates and technologies from commercial competition. Our inability to obtain adequate patent protection for our product candidates or platform technology could adversely affect our business.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Publication of discoveries in scientific or patent literature tends to lag behind actual discoveries by at least several months and sometimes several years. Therefore, the persons or entities that we or our licensors name as inventors in our patents and patent applications may not have been the first to invent the inventions disclosed in the patent applications or patents, or the first to file patent applications for these inventions. As a result, we may not be able to obtain patents for discoveries that we otherwise would consider patentable and that we consider to be extremely significant to our future success.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2" w:name="page33"/>
    <w:bookmarkEnd w:id="32"/>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Where several parties seek U.S. patent protection for the same technology, the US PTO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Moreover, parties that receive an adverse decision in interference can lose patent rights. Our pending patent applications, or our issued patents, may be drawn into interference proceedings, which may delay or prevent the issuance of patents or result in the loss of issued patent rights. If more groups become engaged in scientific research related to hESCs, the number of patent filings by such groups and therefore the risk of our patents or applications being drawn into interference proceedings may increase. The interference process can also be used to challenge a patent that has been issued to another party.</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Outside of the U.S., certain jurisdictions, such as Europe, Japan, New Zealand and Australia, permit oppositions to be filed against the granting of patents. Because we may seek to develop and commercialize our product candidates internationally, securing both proprietary protection and freedom to operate outside of the U.S. is important to our business. In addition, the European Patent Convention prohibits the granting of European patents for inventions that concern “uses of human embryos for industrial or commercial purposes”. The European Patent Office is presently interpreting this prohibition broadly, and is applying it to reject patent claims that pertain to hESCs. However, this broad interpretation is being challenged through the European Patent Office appeals system. As a result, we do not yet know whether or to what extent we will be able to obtain European patent protection for our proprietary hESC-based technology and systems.</w:t>
      </w:r>
    </w:p>
    <w:p>
      <w:pPr>
        <w:spacing w:after="0" w:line="144" w:lineRule="exact"/>
        <w:rPr>
          <w:sz w:val="20"/>
          <w:szCs w:val="20"/>
          <w:color w:val="auto"/>
        </w:rPr>
      </w:pPr>
    </w:p>
    <w:p>
      <w:pPr>
        <w:jc w:val="both"/>
        <w:spacing w:after="0" w:line="380" w:lineRule="auto"/>
        <w:rPr>
          <w:sz w:val="20"/>
          <w:szCs w:val="20"/>
          <w:color w:val="auto"/>
        </w:rPr>
      </w:pPr>
      <w:r>
        <w:rPr>
          <w:rFonts w:ascii="Arial" w:cs="Arial" w:eastAsia="Arial" w:hAnsi="Arial"/>
          <w:sz w:val="10"/>
          <w:szCs w:val="10"/>
          <w:color w:val="auto"/>
        </w:rPr>
        <w:t>Patent opposition proceedings are not currently available in the U.S. patent system, but legislation is pending to introduce them. However, issued U.S. patents can be re-examined by the US PTO at the request of a third party. Patents owned or licensed by us may therefore be subject to re-examination. As in any legal proceeding, the outcome of patent re-examinations is uncertain, and a decision adverse to our interests could result in the loss of valuable patent rights.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Successful challenges to our patents through interference, opposition or re-examination proceedings could result in a loss of patent rights in the relevant jurisdiction(s). As more groups become engaged in scientific research and product development areas of hESCs, the risk of our patents being challenged through patent interferences, oppositions, re-examinations or other means will likely increase. If we institute such proceedings against the patents of other parties and we are unsuccessful, we may be subject to litigation, or otherwise prevented from commercializing potential products in the relevant jurisdiction, or may be required to obtain licenses to those patents or develop or obtain alternative technologies, any of which could harm our business.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Furthermore, if such challenges to our patent rights are not resolved promptly in our favor, our existing business relationships may be jeopardized and we could be delayed or prevented from entering into new collaborations or from commercializing certain products, which could materially harm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Issued patents covering one or more of our product candidates or technologies could be found invalid or unenforceable if challenged in court.</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If we were to initiate legal proceedings against a third party to enforce a patent covering one of our product candidates or technologies,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PTO, or made a misleading statement, during prosecution. The outcome following legal assertions of invalidity and unenforceability during patent litigation is unpredictable. With respect to the patent validity, we cannot be certain, for example, that there is no invalidating prior art, of which we and the patent examiner were unaware during prosecution. If a defendant were to prevail on a legal assertion of invalidity and/or unenforceability, we would lose at least part, and perhaps all, of the patent protection on one or more of our products or certain aspects of our platform technology,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Such a loss of patent protection could have a material adverse impact on our business.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3" w:name="page34"/>
    <w:bookmarkEnd w:id="33"/>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Claims that any of our product candidates, including our Human Clinical Trials in a Test Tube, or, if commercialized, the sale or use of our products infringe the patent rights of third parties could result in costly litigation or could require substantial time and money to resolve, even if litigation is avoided.</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cannot guarantee that our product candidates, the use of our product candidates, or our platform technology, do not or will not infringe third party patents. Third parties might allege that we are infringing their patent rights or that we have misappropriated their trade secrets. Such third parties might resort to litigation against us. The basis of such litigation could be existing patents or patents that issue in the future. Our failure to successfully defend against any claims that our product candidates or platform technology infringe the rights of third parties could also adversely affect our business. Failure to obtain any required licenses could restrict our ability to commercialize our products in certain territories or subject us to patent infringement litigation, which could result in us having to cease commercialization of our products and subject us to money damages in such territories.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It is also possible that we may fail to identify relevant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To avoid or settle potential claims with respect to any patent rights of third parties, we may choose or be required to seek a license from a third party and be required to pay license fees or royalties or both. These licenses may not be available on acceptable terms, or at all. Even if we or any future strategic partners were able to obtain a license, the rights may be nonexclusive, which could result in our competitors gaining access to the same intellectual property. Ultimately, we could be prevented from commercializing one or more of our products, or be forced to cease some aspect of our business operations, if, as a result of actual or threatened patent infringement claims, we are unable to enter into licenses on acceptable terms. This could harm our business significantly.</w:t>
      </w:r>
    </w:p>
    <w:p>
      <w:pPr>
        <w:spacing w:after="0" w:line="14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Defending against claims of patent infringement or misappropriation of trade secrets could be costly and time consuming, regardless of the outcome.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business.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Intellectual property litigation may lead to unfavorable publicity that harms our reputation, and could result in unfavorable outcomes that could limit our research and development activities and/or our ability to commercialize certain products.</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Moreover, if third parties successfully assert intellectual property rights against us, we might be barred from using certain aspects of our platform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of patent infringement or misappropriation of trade secrets,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patent owner to continue our research and development programs or to market our product(s). It is possible that the necessary license will not be available to us on commercially acceptable terms, or at all. This could limit our research and development activities, our ability to commercialize certain products, or both.</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4" w:name="page35"/>
    <w:bookmarkEnd w:id="34"/>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Most of our competitors are larger than we are and have substantially greater resources. They are, therefore, likely to be able to sustain the costs of complex patent litigation longer than we could. In addition, the uncertainties associated with litigation could have a material adverse effect on our ability to raise the funds necessary to continue our internal research programs, conduct clinical trials, continue to in-license needed technology, or enter into strategic partnerships that would help us bring our product candidates to market.</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addition, any future patent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Confidentiality agreements with employees and third parties may not prevent unauthorized disclosure of trade secrets and other proprietary information.</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In addition to patents, we rely on trade secrets, technical know-how, and proprietary information concerning our business strategy in order to protect our competitive position in the field of stem cell research and product candidate development. In the course of our research and development activities and other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upon joining the Company. We take steps to protect our proprietary information, and our confidentiality agreements are carefully drafted to protect our proprietary interests. These confidentiality agreements may not effectively prevent disclosure of our technical know-how and proprietary information and may not provide an adequate remedy in the event of unauthorized disclosure of such technical know-how and proprietary information. In addition, others may independently discover trade secrets and proprietary information, and in such cases we would not be able to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13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Trade secrets are difficult to protect. Although we use reasonable efforts to protect our trade secrets, our employees, consultants, contractors, or outside scientific collaborators might intentionally or inadvertently disclose our trade secret information to competitors. Enforcing a claim that a third party illegally obtained and is using any of our trade secrets is expensive and time consuming, and the outcome is unpredictable. In addition, courts outside the United States sometimes are less willing than U.S. courts to protect trade secrets. Moreover, our competitors may independently develop equivalent knowledge, methods and know-how.</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Our research and development strategic partners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5" w:name="page36"/>
    <w:bookmarkEnd w:id="35"/>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Intellectual property rights do not necessarily address all potential threats to our competitive advantage.</w:t>
      </w:r>
    </w:p>
    <w:p>
      <w:pPr>
        <w:spacing w:after="0" w:line="168" w:lineRule="exact"/>
        <w:rPr>
          <w:sz w:val="20"/>
          <w:szCs w:val="20"/>
          <w:color w:val="auto"/>
        </w:rPr>
      </w:pPr>
    </w:p>
    <w:p>
      <w:pPr>
        <w:spacing w:after="0"/>
        <w:rPr>
          <w:sz w:val="20"/>
          <w:szCs w:val="20"/>
          <w:color w:val="auto"/>
        </w:rPr>
      </w:pPr>
      <w:r>
        <w:rPr>
          <w:rFonts w:ascii="Arial" w:cs="Arial" w:eastAsia="Arial" w:hAnsi="Arial"/>
          <w:sz w:val="10"/>
          <w:szCs w:val="10"/>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examples are illustrative:</w:t>
      </w:r>
    </w:p>
    <w:p>
      <w:pPr>
        <w:spacing w:after="0" w:line="159" w:lineRule="exact"/>
        <w:rPr>
          <w:sz w:val="20"/>
          <w:szCs w:val="20"/>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Others may be able to make compounds that are the same as or similar to our product candidates but that are not covered by the claims of the patents that we may own or have exclusively licensed;</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We or our licensors or any future strategic partners might not have been the first to make the inventions covered by the issued patent or pending patent application that we may own or have exclusively licensed;</w:t>
      </w:r>
    </w:p>
    <w:p>
      <w:pPr>
        <w:spacing w:after="0" w:line="179" w:lineRule="exact"/>
        <w:rPr>
          <w:rFonts w:ascii="Arial" w:cs="Arial" w:eastAsia="Arial" w:hAnsi="Arial"/>
          <w:sz w:val="11"/>
          <w:szCs w:val="11"/>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We or our licensors or any future strategic partners might not have been the first to file patent applications covering certain of our inventions;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Others may independently develop similar or alternative technologies or duplicate any of our technologies without infringing our intellectual property rights;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Others may be able to develop technologies around some of our issued patents without infringing such patents;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It is possible that our pending patent applications will not lead to issued patents;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Issued patents that we own or have exclusively licensed may not provide us with any competitive advantages, or may be held invalid or unenforceable, as a result of legal challenges by our competitors;</w:t>
      </w:r>
    </w:p>
    <w:p>
      <w:pPr>
        <w:spacing w:after="0" w:line="168" w:lineRule="exact"/>
        <w:rPr>
          <w:rFonts w:ascii="Arial" w:cs="Arial" w:eastAsia="Arial" w:hAnsi="Arial"/>
          <w:sz w:val="12"/>
          <w:szCs w:val="12"/>
          <w:color w:val="auto"/>
        </w:rPr>
      </w:pPr>
    </w:p>
    <w:p>
      <w:pPr>
        <w:ind w:left="420" w:right="20" w:hanging="248"/>
        <w:spacing w:after="0" w:line="276" w:lineRule="auto"/>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32" w:lineRule="exact"/>
        <w:rPr>
          <w:rFonts w:ascii="Arial" w:cs="Arial" w:eastAsia="Arial" w:hAnsi="Arial"/>
          <w:sz w:val="12"/>
          <w:szCs w:val="12"/>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We may not develop additional proprietary technologies that are patentable; and</w:t>
      </w:r>
    </w:p>
    <w:p>
      <w:pPr>
        <w:spacing w:after="0" w:line="150" w:lineRule="exact"/>
        <w:rPr>
          <w:rFonts w:ascii="Arial" w:cs="Arial" w:eastAsia="Arial" w:hAnsi="Arial"/>
          <w:sz w:val="12"/>
          <w:szCs w:val="12"/>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patents of others may have an adverse effect on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U.S. patent law could diminish the value of patents in general, thereby impairing our ability to protect our products.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As is the case with other development stage biotechnology companies, our success is heavily dependent on intellectual property, particularly patents. Obtaining and enforcing patents in the biotechnology and pharmaceutical industries involve both technological and legal complexity. Therefore, obtaining and enforcing patents is costly, time-consuming and inherently uncertain. In addition, Congress has passed patent reform legislation which provides new limitations on attaining, maintaining and enforcing intellectual property. Further,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6" w:name="page37"/>
    <w:bookmarkEnd w:id="36"/>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not able to obtain and enforce patent protection or other commercial protection for AV-101, the value of AV-101 will be harmed.</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Commercial protection of AV-101, our small molecule drug candidate for neuropathic pain and other neurological conditions is important to our business. Our success related to AV-101 will depend in part on our or a potential collaborator’s ability to obtain and enforce potential patents and maintain our trade secrets and secure New Drug Product Exclusivity provided by the FDA under section 505(c)(3)(E) and 505(j)(5)(F) of the Federal Food, Drug, and Cosmetic Act.</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Additional patents may not be granted, and potential U.S. patents, if issued, might not provide us with commercial benefit or might be infringed upon, invalidated or circumvented by others. The principle U.S. method of use patent and its foreign counterparts for AV-101 have expired. Although we have recently filed three new U.S. patent applications relating to AV-101, we or others with whom we may collaborate for the development and commercialization of AV-101 may choose not to seek, or may be unable to obtain, patent protection in a country that could potentially be an important market for AV-101.</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subject to damages resulting from claims that we or our future employees have wrongfully used or disclosed alleged trade secrets of our employees’ former employers.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Our ability to execute on our business plan will depend on the talents and efforts of highly skilled individuals with specialized training in the field of stem cell research and bioassay development, as well as medicinal chemistry and in vitro drug candidate screening and nonclinical and clinical development. Our future success depends on our ability to identify, hire and retain these highly skilled personnel during our development stage. We may hire additional highly skilled scientific and technical employees, including employees who may have been previously employed at biopharmaceutical companies, including our competitors or potential competitors, and who may have executed invention assignments, nondisclosure agreements and/or non-competition agreements in connection with such previous employment. As to such future employees, we may become subject to claims that we, or these future employees,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Offering and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Purchasers in this Offering will experience immediate and substantial dilution in the book value of their investment.</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If we successfully sell all shares registered by this Offering, new investors will contribute approximately _____% of the total amount of equity capital raised by us through the date of this Offering, and will own approximately _____% of</w:t>
      </w:r>
    </w:p>
    <w:p>
      <w:pPr>
        <w:spacing w:after="0" w:line="2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outstanding shares. In addition, we may have issued options, warrants or other derivative securities to acquire common stock at prices below the public offering price. To the extent outstanding options, warrants or other derivative securities are ultimately exercised or converted, or if we issue restricted stock to our employees under our equity incentive plans, there will be further dilution to investors who purchase shares in this Offering. In addition, if we issue additional equity securities or derivative securities, investors purchasing shares in this Offering will experience additional dilution. For a further description of the dilution that you will experience immediately after this Offering, see “Dilution.”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7" w:name="page38"/>
    <w:bookmarkEnd w:id="37"/>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may allocate the net proceeds from this Offering in ways that differ from our estimates based on our current plans and assumptions discussed in the section titled "Use of Proceeds" and with which you may not agree.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allocation of net proceeds of the offering set forth in the “Use of Proceeds” section of this prospectus represents our estimates based upon our current plans and assumptions regarding industry and general economic conditions, our future revenues and expenditures. The amounts and timing of our actual expenditures will depend on numerous factors, including market conditions, cash generated by our operations, business developments and related rate of growth. We may find it necessary or advisable to use portions of the proceeds from this offering for other purposes. Circumstances that may give rise to a change in the use of proceeds and the alternate purposes for which the proceeds may be used are discussed in the section in this prospectus entitled “Use of Proceeds”. You may not have an opportunity to evaluate the economic, financial or other information on which we base our decisions on how to use our proceeds. As a result, you and other stockholders may not agree with our decisions. See “Use of Proceeds” for additional information.</w:t>
      </w:r>
    </w:p>
    <w:p>
      <w:pPr>
        <w:spacing w:after="0" w:line="14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auto"/>
        </w:rPr>
        <w:t>The number of shares of issued and outstanding common stock represents approximately 30% of our fully diluted shares of common stock. Additional issuances of shares of common stock upon conversion and/or exercise of convertible promissory notes, preferred stock, options to purchase common stock and warrants to purchase common stock will cause substantial dilution to existing stockholders.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At July 1, 2014, we had 25.5 million shares of common stock issued and outstanding. Up to an additional 61.0 million shares may be issued upon conversion of our Series A Preferred and all outstanding convertible promissory notes, and upon exercise of all outstanding options and warrants to purchase our common stock, which amount includes all reserves, resulting in a total of up to 86.5 million shares that may be issued and outstanding, assuming conversion of all outstanding convertible promissory notes, and exercise of all outstanding option and warrants to purchase our common stock. The issuance of any and all of the 61.0 million shares issuable upon exercise or conversion of our outstanding convertible securities will cause substantial dilution to existing stockholders and may depress the market price of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You will experience future dilution as a result of future equity offerings, including in the event we consummate a financing a sale of our common stock to Autilion AG.</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may in the future offer additional shares of our common stock or other securities convertible into or exchangeable for our common stock, including up to 72.0 million shares of common stock to Autilion AG (</w:t>
      </w:r>
      <w:r>
        <w:rPr>
          <w:rFonts w:ascii="Arial" w:cs="Arial" w:eastAsia="Arial" w:hAnsi="Arial"/>
          <w:sz w:val="11"/>
          <w:szCs w:val="11"/>
          <w:i w:val="1"/>
          <w:iCs w:val="1"/>
          <w:color w:val="auto"/>
        </w:rPr>
        <w:t>Autilion</w:t>
      </w:r>
      <w:r>
        <w:rPr>
          <w:rFonts w:ascii="Arial" w:cs="Arial" w:eastAsia="Arial" w:hAnsi="Arial"/>
          <w:sz w:val="11"/>
          <w:szCs w:val="11"/>
          <w:color w:val="auto"/>
        </w:rPr>
        <w:t>) under the terms of an existing Securities Purchase Agreement by and between the Company and Autilion (</w:t>
      </w:r>
      <w:r>
        <w:rPr>
          <w:rFonts w:ascii="Arial" w:cs="Arial" w:eastAsia="Arial" w:hAnsi="Arial"/>
          <w:sz w:val="11"/>
          <w:szCs w:val="11"/>
          <w:i w:val="1"/>
          <w:iCs w:val="1"/>
          <w:color w:val="auto"/>
        </w:rPr>
        <w:t>Autilion Financing</w:t>
      </w:r>
      <w:r>
        <w:rPr>
          <w:rFonts w:ascii="Arial" w:cs="Arial" w:eastAsia="Arial" w:hAnsi="Arial"/>
          <w:sz w:val="11"/>
          <w:szCs w:val="11"/>
          <w:color w:val="auto"/>
        </w:rPr>
        <w:t>). While Autilion is in default under the Securities Purchase Agreement, we have not formally terminated the Agreement. Although no assurances can be given that Autilion will consummate the Autilion Financing, in the event we elect to close, or in the event we sell shares of common stock or other securities convertible into shares of our common stock in the future, additional and substantial dilution will occur. In addition, investors purchasing shares or other securities in the future could have rights superior to investors in the Offering.</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may be additional issuances of shares of preferred stock in the future.</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Following approval by our stockholders in October 2011, our Articles of Incorporation permit us to issue up to 10.0 million shares of preferred stock and our board of directors has authorized the issuance of 500,000 shares of Series A Preferred, all of which shares are currently outstanding. In addition, our board of directors has authorized the creation of a new series of preferred stock, to be designated Series B Convertible Preferred Stock, for issuance promptly following consummation of the Offering upon conversion of certain outstanding indebtedness.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8" w:name="page39"/>
    <w:bookmarkEnd w:id="38"/>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 the event we complete a reverse split of our authorized and issued and outstanding common stock, the market price for our shares may decline.</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On July ___, 2014, our board of directors authorized a reverse split of our authorized and issued and outstanding common stock at a ratio of up to one-for-____, with the exact ratio to be determined by our board of directors (</w:t>
      </w:r>
      <w:r>
        <w:rPr>
          <w:rFonts w:ascii="Arial" w:cs="Arial" w:eastAsia="Arial" w:hAnsi="Arial"/>
          <w:sz w:val="11"/>
          <w:szCs w:val="11"/>
          <w:i w:val="1"/>
          <w:iCs w:val="1"/>
          <w:color w:val="auto"/>
        </w:rPr>
        <w:t>Stock</w:t>
      </w: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12"/>
          <w:szCs w:val="12"/>
          <w:i w:val="1"/>
          <w:iCs w:val="1"/>
          <w:color w:val="auto"/>
        </w:rPr>
        <w:t>Consolidation</w:t>
      </w:r>
      <w:r>
        <w:rPr>
          <w:rFonts w:ascii="Arial" w:cs="Arial" w:eastAsia="Arial" w:hAnsi="Arial"/>
          <w:sz w:val="12"/>
          <w:szCs w:val="12"/>
          <w:color w:val="auto"/>
        </w:rPr>
        <w:t>). If consummated, no assurances can be given that the Stock Consolidation will have a long-term positive effect on the market price of our common stock, facilitate our ability to consummate acquisitions or financing</w:t>
      </w:r>
      <w:r>
        <w:rPr>
          <w:rFonts w:ascii="Arial" w:cs="Arial" w:eastAsia="Arial" w:hAnsi="Arial"/>
          <w:sz w:val="12"/>
          <w:szCs w:val="12"/>
          <w:i w:val="1"/>
          <w:iCs w:val="1"/>
          <w:color w:val="auto"/>
        </w:rPr>
        <w:t xml:space="preserve"> </w:t>
      </w:r>
      <w:r>
        <w:rPr>
          <w:rFonts w:ascii="Arial" w:cs="Arial" w:eastAsia="Arial" w:hAnsi="Arial"/>
          <w:sz w:val="12"/>
          <w:szCs w:val="12"/>
          <w:color w:val="auto"/>
        </w:rPr>
        <w:t>arrangements in the future or our ability to list our shares on the NASDAQ Capital Market or other national exchange. The market price of our common stock is based on factors that may be unrelated to the number of shares outstanding. These factors include our performance, general economic and market conditions and other factors, many of which are beyond our control. The market price for our post-split shares may not rise or remain constant in proportion to the reduction in the number of pre-split shares outstanding before the Stock Consolidation. Accordingly, the total market capitalization of our common stock after the Stock Consolidation may be lower than the total market capitalization before the Stock Consolidation.</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Since we became a publicly traded company in May 2011, there has been a limited public market for shares of our common stock on the OTCQB Markets (</w:t>
      </w:r>
      <w:r>
        <w:rPr>
          <w:rFonts w:ascii="Arial" w:cs="Arial" w:eastAsia="Arial" w:hAnsi="Arial"/>
          <w:sz w:val="12"/>
          <w:szCs w:val="12"/>
          <w:i w:val="1"/>
          <w:iCs w:val="1"/>
          <w:color w:val="auto"/>
        </w:rPr>
        <w:t>OTCQB</w:t>
      </w:r>
      <w:r>
        <w:rPr>
          <w:rFonts w:ascii="Arial" w:cs="Arial" w:eastAsia="Arial" w:hAnsi="Arial"/>
          <w:sz w:val="12"/>
          <w:szCs w:val="12"/>
          <w:color w:val="auto"/>
        </w:rPr>
        <w:t>). We do not yet meet the initial listing standards of the New York Stock Exchange, the NASDAQ Capital Market, or other similar national securities exchanges. Until our common stock is listed on a broader exchange, we anticipate that it will remain quoted on the OTCQB, another over-the-counter quotation system, or in the “pink sheets.” In those venues,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cannot predict the extent to which investor interest in our company will lead to the development of a more active trading market on the OTCQB, whether we will meet the initial listing standards of the New York Stock Exchange, the NASDAQ Capital Market, or other similar national securities exchanges, or how liquid that market might become. We and the placement agent determined the Offering price of our common stock through negotiation. This price does not necessarily reflect the price at which investors in the market will be willing to buy and sell our shares following this Offering. If an active trading market does not develop, you may have difficulty selling any of the shares of our common stock that you buy. In addition, the trading price of our common stock may be highly volatile and could be subject to wide fluctuations in response to various factors, some of which are beyond our control. These factors include:</w:t>
      </w:r>
    </w:p>
    <w:p>
      <w:pPr>
        <w:spacing w:after="0" w:line="127" w:lineRule="exact"/>
        <w:rPr>
          <w:sz w:val="20"/>
          <w:szCs w:val="20"/>
          <w:color w:val="auto"/>
        </w:rPr>
      </w:pPr>
    </w:p>
    <w:p>
      <w:pPr>
        <w:ind w:left="420" w:hanging="248"/>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actual or anticipated quarterly variation in our results of operations or the results of our competitors;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announcements by us or our competitors of new commercial products, significant contracts, commercial relationships or capital commitments;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financial projections we may provide to the public, any changes to those projections, or our failure to meet those projections;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issuance of new or changed securities analysts’ reports or recommendations for our stock;</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developments or disputes concerning our intellectual property or other proprietary rights;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commencement of, or our involvement in, litigation;</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market conditions in the biopharmaceutical and life sciences sectors;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9" w:name="page40"/>
    <w:bookmarkEnd w:id="39"/>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ind w:left="420" w:hanging="248"/>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failure to complete significant sales;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legislation and government regulation;</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public concern regarding the safety, efficacy or other aspects of our products;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entering into, changing or terminating collaborative relationships;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any shares of our common stock or other securities eligible for future sale;</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any major change to the composition of our board of directors or management; and</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general economic conditions and slow or negative growth of our markets.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stock market in general, and small biotechnology-based companies like ours in particular, has from time to time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33"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prospectus, there has been a limited public market for shares of our common stock on the OTCQB. Future sales of substantial amounts of shares of our common stock, including up to 72 million shares of common stock to Autilion and shares otherwise issued or issuable upon the exchange or conversion of our preferred stock, conversion of convertible promissory notes and exercise of outstanding options and warrants for common stock, in the public market, or the possibility of these issuances and sales occurring, could cause the prevailing market price for our common stock to fall or impair our ability to raise equity capital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Certain of our current institutional stockholders and their respective affiliates beneficially own approximately 46% of our outstanding capital stock, as beneficial ownership is defined by SEC rules and regulations. Accordingly, these stockholders may continue to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For information regarding the ownership of our outstanding stock by such stockholders, refer to “Principal Stockholders” elsewhere in this prospectus.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0" w:name="page41"/>
    <w:bookmarkEnd w:id="40"/>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our stock price and trading volume could decline.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trading market for our common stock may depend in part on the research and reports that securities or industry analysts publish about us and our business. Securities and industry analysts do not currently, and may never, publish research on our company. If no or too few securities or industry analysts commence coverage of our company, the trading price for our stock would likely be negatively impacted. In the event securities or industry analysts initiate coverage, if one or more of the analysts who cover us downgrade our stock or publish inaccurate or unfavorable research about our business, our stock price would likely decline. In the event we obtain analyst coverage, we will not have any control of the analysts or the content and opinions included in their reports. If one or more equity research analysts cease coverage of our company or fail to publish reports on us regularly, demand for our stock could decrease, which in turn could cause our stock price or trading volume to decline.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our stock price and trading volume could decline.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trading market for our common stock will depend in part on the research and reports that securities or industry analysts publish about us and our business. Securities and industry analysts do not currently, and may never, publish research on the Company. If no or too few securities or industry analysts commence coverage of the Company, the trading price for our stock would likely be negatively impacted. In the event securities or industry analysts initiate coverage, if one or more of the analysts who cover us downgrade our stock or publish inaccurate or unfavorable research about our business, our stock price would likely decline. In the event we obtain analyst coverage, we will not have any control of the analysts or the content and opinions included in their reports. If one or more equity research analysts cease coverage of the Company or fail to publish reports on us regularly, demand for our stock could decrease, which in turn could cause our stock price or trading volume to decline.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common stock may be considered a “penny stock.”</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Since we became a publicly traded company in May 2011, our common stock has traded on the OTCQB at a price of less than $5.00 per share. The SEC has adopted regulations which generally define a “penny stock” as an equity security that has a market price of less than $5.00 per share, subject to specific exemptions. To the extent that the market price of our common stock is less than $5.00 per share and, therefore, may be considered a “penny stock,” brokers and dealers effecting transactions in our common stock must disclose certain information concerning the transaction, obtain a written agreement from the purchaser and determine that the purchaser is reasonably suitable to purchase the securities. These rules may restrict the ability of brokers or dealers to sell our common stock and may affect your ability to sell shares of our common stock. In addition, as long as our common stock remains quoted only on the OTCQB, investors may find it difficult to obtain accurate quotations of the stock, and may find few buyers to purchase such stock and few market makers to support its price.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never paid dividends on our capital stock, and we do not anticipate paying any cash dividends in the foreseeable future.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paid no cash dividends on any of our classes of capital stock to date and currently intend to retain our future earnings, if any, to fund the development and growth of our business. As a result, capital appreciation, if any, of our common stock will be your sole source of gain for the foreseeable future. Any payment of cash dividends will depend upon our financial condition, contractual restrictions, financing agreement covenants, solvency tests imposed by corporate law, results of operations, anticipated cash requirements and other factors and will be at the discretion of our board of directors. Furthermore, we may incur indebtedness that may severely restrict or prohibit the payment of dividends.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1" w:name="page42"/>
    <w:bookmarkEnd w:id="41"/>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incur significant costs to ensure compliance with corporate governance, federal securities law and accounting requirements.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Since becoming a public company by means of a strategic reverse merger in 2011, we have been subject to the reporting requirements of the Securities Exchange Act of 1934, as amended (</w:t>
      </w:r>
      <w:r>
        <w:rPr>
          <w:rFonts w:ascii="Arial" w:cs="Arial" w:eastAsia="Arial" w:hAnsi="Arial"/>
          <w:sz w:val="11"/>
          <w:szCs w:val="11"/>
          <w:i w:val="1"/>
          <w:iCs w:val="1"/>
          <w:color w:val="auto"/>
        </w:rPr>
        <w:t>Exchange Act</w:t>
      </w:r>
      <w:r>
        <w:rPr>
          <w:rFonts w:ascii="Arial" w:cs="Arial" w:eastAsia="Arial" w:hAnsi="Arial"/>
          <w:sz w:val="11"/>
          <w:szCs w:val="11"/>
          <w:color w:val="auto"/>
        </w:rPr>
        <w:t>), which requires that we file annual, quarterly and current reports with respect to our business and financial condition, and the rules and regulations implemented by the Securities and Exchange Commission (</w:t>
      </w:r>
      <w:r>
        <w:rPr>
          <w:rFonts w:ascii="Arial" w:cs="Arial" w:eastAsia="Arial" w:hAnsi="Arial"/>
          <w:sz w:val="11"/>
          <w:szCs w:val="11"/>
          <w:i w:val="1"/>
          <w:iCs w:val="1"/>
          <w:color w:val="auto"/>
        </w:rPr>
        <w:t>SEC</w:t>
      </w:r>
      <w:r>
        <w:rPr>
          <w:rFonts w:ascii="Arial" w:cs="Arial" w:eastAsia="Arial" w:hAnsi="Arial"/>
          <w:sz w:val="11"/>
          <w:szCs w:val="11"/>
          <w:color w:val="auto"/>
        </w:rPr>
        <w:t>),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filing and internal control reporting requirements imposed by federal securities laws, rules and regulations are rigorous and we may not be able to continue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federal securities laws, rules or regulations could subject us to fines or regulatory actions, which may materially adversely affect our business, results of operations and financial condition.</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This prospectus includes forward-looking statements. All statements contained in this prospectus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“Risk Factors” section.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2" w:name="page43"/>
    <w:bookmarkEnd w:id="42"/>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prospectus or to conform these statements to actual results or revised expectations. If we do update one or more forward-looking statements, no inference should be drawn that we will make additional updates with respect to those or other forward- looking statements.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We estimate that we will receive up to $__ million in net proceeds from the sale of common stock in this Offering, based on a price of $____ per share of common stock, assuming that (i) the</w:t>
      </w:r>
    </w:p>
    <w:p>
      <w:pPr>
        <w:spacing w:after="0" w:line="25"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maximum Offering amount is sold, and (ii) all holders of Convertible Notes aggregating approximately $2.5 million in principal and accrued interest at July 1, 2014 elect to waive their right to receive payment of principal and accrued interest for their Convertible Notes in cash in lieu of Automatic Conversion, and after deducting the placement agent’s commission and estimated Offering expenses payable by us. However, this is a best efforts offering, with no minimum, and no assurances can be given that we will receive significant proceeds. In the event certain holders of the Convertible Notes elect to receive cash in lieu of Automatic Conversion, and assuming gross proceeds from this Offering of at least $10.0 million, the net proceeds available to us will decrease by an amount calculated based on the total amount of principal and accrued interest due and payable to those holders of Convertible Notes who elect to receive cash in lieu of Automatic Conversion, which, as of July 1, 2014, was approximately $2.5 million.</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principal purposes of this Offering are to obtain additional capital for research and development, capital expenditures, extinguishment of indebtedness, and other general corporate purposes. As of the date of this prospectus, we cannot specify with certainty all of the particular uses for the net proceeds of this Offering, especially since we are unable to determine whether and the extent to which any holders of Convertible Notes will elect to receive payment of principal and accrued interest otherwise due under the terms of such Convertible Notes in lieu of Automatic Conversion. However, assuming we receive gross proceeds from the Offering in the amount of $15.0 million, the estimated use of proceeds is currently anticipated as follows, which illustrates the estimated use of proceeds assuming that all holders of Convertible Notes elect to receive cash in lieu of Automatic Conversion, and that no holders of Convertible Notes elect to receive cash:</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gridSpan w:val="5"/>
          </w:tcPr>
          <w:p>
            <w:pPr>
              <w:jc w:val="right"/>
              <w:ind w:right="320"/>
              <w:spacing w:after="0"/>
              <w:rPr>
                <w:sz w:val="20"/>
                <w:szCs w:val="20"/>
                <w:color w:val="auto"/>
              </w:rPr>
            </w:pPr>
            <w:r>
              <w:rPr>
                <w:rFonts w:ascii="Arial" w:cs="Arial" w:eastAsia="Arial" w:hAnsi="Arial"/>
                <w:sz w:val="12"/>
                <w:szCs w:val="12"/>
                <w:color w:val="auto"/>
                <w:w w:val="98"/>
              </w:rPr>
              <w:t>Assuming all holders of Convertible Notes: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320"/>
              <w:spacing w:after="0" w:line="133" w:lineRule="exact"/>
              <w:rPr>
                <w:sz w:val="20"/>
                <w:szCs w:val="20"/>
                <w:color w:val="auto"/>
              </w:rPr>
            </w:pPr>
            <w:r>
              <w:rPr>
                <w:rFonts w:ascii="Arial" w:cs="Arial" w:eastAsia="Arial" w:hAnsi="Arial"/>
                <w:sz w:val="12"/>
                <w:szCs w:val="12"/>
                <w:color w:val="auto"/>
                <w:w w:val="87"/>
              </w:rPr>
              <w:t>elect to receive cash</w:t>
            </w: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20"/>
              <w:spacing w:after="0" w:line="133" w:lineRule="exact"/>
              <w:rPr>
                <w:sz w:val="20"/>
                <w:szCs w:val="20"/>
                <w:color w:val="auto"/>
              </w:rPr>
            </w:pPr>
            <w:r>
              <w:rPr>
                <w:rFonts w:ascii="Arial" w:cs="Arial" w:eastAsia="Arial" w:hAnsi="Arial"/>
                <w:sz w:val="12"/>
                <w:szCs w:val="12"/>
                <w:color w:val="auto"/>
                <w:w w:val="92"/>
              </w:rPr>
              <w:t>elect Automatic</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2"/>
                <w:szCs w:val="12"/>
                <w:color w:val="auto"/>
                <w:w w:val="94"/>
              </w:rPr>
              <w:t>in lieu of Automatic</w:t>
            </w:r>
          </w:p>
        </w:tc>
        <w:tc>
          <w:tcPr>
            <w:tcW w:w="8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color w:val="auto"/>
                <w:w w:val="91"/>
              </w:rPr>
              <w:t>Conversion of</w:t>
            </w:r>
          </w:p>
        </w:tc>
        <w:tc>
          <w:tcPr>
            <w:tcW w:w="0" w:type="dxa"/>
            <w:vAlign w:val="bottom"/>
          </w:tcPr>
          <w:p>
            <w:pPr>
              <w:spacing w:after="0"/>
              <w:rPr>
                <w:sz w:val="1"/>
                <w:szCs w:val="1"/>
                <w:color w:val="auto"/>
              </w:rPr>
            </w:pPr>
          </w:p>
        </w:tc>
      </w:tr>
      <w:tr>
        <w:trPr>
          <w:trHeight w:val="153"/>
        </w:trPr>
        <w:tc>
          <w:tcPr>
            <w:tcW w:w="8840" w:type="dxa"/>
            <w:vAlign w:val="bottom"/>
            <w:gridSpan w:val="3"/>
          </w:tcPr>
          <w:p>
            <w:pPr>
              <w:spacing w:after="0"/>
              <w:rPr>
                <w:sz w:val="20"/>
                <w:szCs w:val="20"/>
                <w:color w:val="auto"/>
              </w:rPr>
            </w:pPr>
            <w:r>
              <w:rPr>
                <w:rFonts w:ascii="Arial" w:cs="Arial" w:eastAsia="Arial" w:hAnsi="Arial"/>
                <w:sz w:val="12"/>
                <w:szCs w:val="12"/>
                <w:color w:val="auto"/>
              </w:rPr>
              <w:t>(amounts in millions)</w:t>
            </w:r>
          </w:p>
        </w:tc>
        <w:tc>
          <w:tcPr>
            <w:tcW w:w="8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2"/>
                <w:szCs w:val="12"/>
                <w:color w:val="auto"/>
                <w:w w:val="92"/>
              </w:rPr>
              <w:t>Conversion</w:t>
            </w:r>
          </w:p>
        </w:tc>
        <w:tc>
          <w:tcPr>
            <w:tcW w:w="8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color w:val="auto"/>
                <w:w w:val="92"/>
              </w:rPr>
              <w:t>Convertible Notes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Assumed gross proceeds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Placement agent fees and offering expenses</w:t>
            </w: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proceeds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Research and development:</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w w:val="94"/>
              </w:rPr>
              <w:t>Drug rescue programs, development of customized human cellular assay systems for drug discovery and drug rescue, and pilot nonclinical regenerative medicine programs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gridSpan w:val="2"/>
          </w:tcPr>
          <w:p>
            <w:pPr>
              <w:ind w:left="200"/>
              <w:spacing w:after="0" w:line="136" w:lineRule="exact"/>
              <w:rPr>
                <w:sz w:val="20"/>
                <w:szCs w:val="20"/>
                <w:color w:val="auto"/>
              </w:rPr>
            </w:pPr>
            <w:r>
              <w:rPr>
                <w:rFonts w:ascii="Arial" w:cs="Arial" w:eastAsia="Arial" w:hAnsi="Arial"/>
                <w:sz w:val="12"/>
                <w:szCs w:val="12"/>
                <w:color w:val="auto"/>
                <w:w w:val="91"/>
              </w:rPr>
              <w:t>To extinguish, during the next twelve months, indebtedness related to prior research and development services, technology license fees and patent prosecution and maintenance</w:t>
            </w: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gridSpan w:val="2"/>
          </w:tcPr>
          <w:p>
            <w:pPr>
              <w:ind w:left="200"/>
              <w:spacing w:after="0"/>
              <w:rPr>
                <w:sz w:val="20"/>
                <w:szCs w:val="20"/>
                <w:color w:val="auto"/>
              </w:rPr>
            </w:pPr>
            <w:r>
              <w:rPr>
                <w:rFonts w:ascii="Arial" w:cs="Arial" w:eastAsia="Arial" w:hAnsi="Arial"/>
                <w:sz w:val="12"/>
                <w:szCs w:val="12"/>
                <w:color w:val="auto"/>
              </w:rPr>
              <w:t>expenses</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New property, plant and equipment</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Repayment of Convertible Notes</w:t>
            </w: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Working capital and other general and administrative purposes, including payment of approximately $0.9 million of certain professional service 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Pending other uses, we intend to invest our proceeds in short-term investments or hold them as cash. We cannot predict whether the proceeds invested will yield a favorable return. Our management will have broad discretion in the use of the net proceeds, and investors will be relying on the judgment of our management regarding the application of the net proceeds.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DILUTION</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If you invest in our common stock, your interest will be diluted immediately to the extent of the difference between the public offering price per share of our common stock and the pro forma net tangible book value per share of our common stock immediately after this Offering. As of March 31, 2014, our pro forma net tangible book value was approximately $(____) million, or $(____) per share of common stock. Pro forma net tangible book value per share</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represents the amount of our total tangible assets less total liabilities, divided by shares of common stock outstanding, after giving effect, in connection with the completion of this Offering, to the conversion of $_____ 2014 Unit Notes into</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________ shares of common stock.</w:t>
      </w:r>
    </w:p>
    <w:p>
      <w:pPr>
        <w:spacing w:after="0" w:line="30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Dilution in pro forma net tangible book value per share represents the difference between the amount per share paid by buyers of shares of our common stock in this Offering and the pro forma net tangible book value per share of our common stock immediately following this Offering. After giving effect to the receipt of the net proceeds from our sale of shares of common stock in this Offering at an assumed public offering price of $____ per share, and after deducting</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estimated placement agent commissions and estimated Offering expenses payable by us, our pro forma as adjusted net tangible book value as of March 31, 2014, would have been approximately $____ million, or $____ per share of</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common stock. This data represents an immediate increase in pro forma net tangible book value of $____ per share to existing stockholders and an immediate dilution of $____ per share to new investors purchasing shares at the public</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offering price.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15"/>
        </w:trPr>
        <w:tc>
          <w:tcPr>
            <w:tcW w:w="7620" w:type="dxa"/>
            <w:vAlign w:val="bottom"/>
            <w:gridSpan w:val="3"/>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620" w:type="dxa"/>
            <w:vAlign w:val="bottom"/>
            <w:gridSpan w:val="3"/>
          </w:tcPr>
          <w:p>
            <w:pPr>
              <w:spacing w:after="0"/>
              <w:rPr>
                <w:sz w:val="20"/>
                <w:szCs w:val="20"/>
                <w:color w:val="auto"/>
              </w:rPr>
            </w:pPr>
            <w:r>
              <w:rPr>
                <w:rFonts w:ascii="Arial" w:cs="Arial" w:eastAsia="Arial" w:hAnsi="Arial"/>
                <w:sz w:val="12"/>
                <w:szCs w:val="12"/>
                <w:color w:val="auto"/>
              </w:rPr>
              <w:t>The following table illustrates the per share dilution to investors in this Offering:</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Assumed public offering price per share</w:t>
            </w:r>
          </w:p>
        </w:tc>
        <w:tc>
          <w:tcPr>
            <w:tcW w:w="54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jc w:val="right"/>
              <w:ind w:right="1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0" w:type="dxa"/>
            <w:vAlign w:val="bottom"/>
            <w:gridSpan w:val="2"/>
          </w:tcPr>
          <w:p>
            <w:pPr>
              <w:spacing w:after="0" w:line="136" w:lineRule="exact"/>
              <w:rPr>
                <w:sz w:val="20"/>
                <w:szCs w:val="20"/>
                <w:color w:val="auto"/>
              </w:rPr>
            </w:pPr>
            <w:r>
              <w:rPr>
                <w:rFonts w:ascii="Arial" w:cs="Arial" w:eastAsia="Arial" w:hAnsi="Arial"/>
                <w:sz w:val="12"/>
                <w:szCs w:val="12"/>
                <w:color w:val="auto"/>
              </w:rPr>
              <w:t>Historical net tangible book value per share as of March 31, 2014</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620" w:type="dxa"/>
            <w:vAlign w:val="bottom"/>
            <w:gridSpan w:val="3"/>
          </w:tcPr>
          <w:p>
            <w:pPr>
              <w:spacing w:after="0"/>
              <w:rPr>
                <w:sz w:val="20"/>
                <w:szCs w:val="20"/>
                <w:color w:val="auto"/>
              </w:rPr>
            </w:pPr>
            <w:r>
              <w:rPr>
                <w:rFonts w:ascii="Arial" w:cs="Arial" w:eastAsia="Arial" w:hAnsi="Arial"/>
                <w:sz w:val="12"/>
                <w:szCs w:val="12"/>
                <w:color w:val="auto"/>
              </w:rPr>
              <w:t>Conversion of promissory notes into common stock</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20" w:type="dxa"/>
            <w:vAlign w:val="bottom"/>
            <w:gridSpan w:val="3"/>
          </w:tcPr>
          <w:p>
            <w:pPr>
              <w:spacing w:after="0"/>
              <w:rPr>
                <w:sz w:val="20"/>
                <w:szCs w:val="20"/>
                <w:color w:val="auto"/>
              </w:rPr>
            </w:pPr>
            <w:r>
              <w:rPr>
                <w:rFonts w:ascii="Arial" w:cs="Arial" w:eastAsia="Arial" w:hAnsi="Arial"/>
                <w:sz w:val="12"/>
                <w:szCs w:val="12"/>
                <w:color w:val="auto"/>
              </w:rPr>
              <w:t>Pro forma net tangible book value per share as of March 31, 2014</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____</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Increase in pro forma net tangible book value per share attributable to investors in this Offering</w:t>
            </w:r>
          </w:p>
        </w:tc>
        <w:tc>
          <w:tcPr>
            <w:tcW w:w="5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 forma net tangible book value per share as of March 31, 2014, as adjusted to give effect to this Offering</w:t>
            </w:r>
          </w:p>
        </w:tc>
        <w:tc>
          <w:tcPr>
            <w:tcW w:w="54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jc w:val="right"/>
              <w:ind w:right="1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69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Pro forma as adjusted dilution per share to investors in this Offering</w:t>
            </w:r>
          </w:p>
        </w:tc>
        <w:tc>
          <w:tcPr>
            <w:tcW w:w="54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jc w:val="right"/>
              <w:ind w:right="1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following table shows, on the pro forma basis described above, the difference between existing stockholders and new investors in this Offering with respect to the number of shares of common stock purchased from us, the total consideration paid and the average price paid per share, before deducting estimated offering expenses payable by us.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Shares purchased</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2"/>
                <w:szCs w:val="12"/>
                <w:b w:val="1"/>
                <w:bCs w:val="1"/>
                <w:color w:val="auto"/>
              </w:rPr>
              <w:t>Total consideration</w:t>
            </w:r>
          </w:p>
        </w:tc>
        <w:tc>
          <w:tcPr>
            <w:tcW w:w="8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60" w:type="dxa"/>
            <w:vAlign w:val="bottom"/>
            <w:gridSpan w:val="2"/>
          </w:tcPr>
          <w:p>
            <w:pPr>
              <w:jc w:val="center"/>
              <w:ind w:right="420"/>
              <w:spacing w:after="0" w:line="129"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3"/>
          </w:tcPr>
          <w:p>
            <w:pPr>
              <w:jc w:val="right"/>
              <w:ind w:right="1020"/>
              <w:spacing w:after="0"/>
              <w:rPr>
                <w:sz w:val="20"/>
                <w:szCs w:val="20"/>
                <w:color w:val="auto"/>
              </w:rPr>
            </w:pPr>
            <w:r>
              <w:rPr>
                <w:rFonts w:ascii="Arial" w:cs="Arial" w:eastAsia="Arial" w:hAnsi="Arial"/>
                <w:sz w:val="12"/>
                <w:szCs w:val="12"/>
                <w:b w:val="1"/>
                <w:bCs w:val="1"/>
                <w:color w:val="auto"/>
              </w:rPr>
              <w:t>Amount</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0"/>
              </w:rPr>
              <w:t>price per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800" w:type="dxa"/>
            <w:vAlign w:val="bottom"/>
            <w:tcBorders>
              <w:bottom w:val="single" w:sz="8" w:color="auto"/>
            </w:tcBorders>
          </w:tcPr>
          <w:p>
            <w:pPr>
              <w:jc w:val="right"/>
              <w:ind w:right="1020"/>
              <w:spacing w:after="0"/>
              <w:rPr>
                <w:sz w:val="20"/>
                <w:szCs w:val="20"/>
                <w:color w:val="auto"/>
              </w:rPr>
            </w:pPr>
            <w:r>
              <w:rPr>
                <w:rFonts w:ascii="Arial" w:cs="Arial" w:eastAsia="Arial" w:hAnsi="Arial"/>
                <w:sz w:val="12"/>
                <w:szCs w:val="12"/>
                <w:b w:val="1"/>
                <w:bCs w:val="1"/>
                <w:color w:val="auto"/>
              </w:rPr>
              <w:t>Number</w:t>
            </w: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w w:val="99"/>
              </w:rPr>
              <w:t>Percent</w:t>
            </w: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2"/>
                <w:szCs w:val="12"/>
                <w:b w:val="1"/>
                <w:bCs w:val="1"/>
                <w:color w:val="auto"/>
              </w:rPr>
              <w:t>(in thousands)</w:t>
            </w: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Percent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right="360"/>
              <w:spacing w:after="0"/>
              <w:rPr>
                <w:sz w:val="20"/>
                <w:szCs w:val="20"/>
                <w:color w:val="auto"/>
              </w:rPr>
            </w:pPr>
            <w:r>
              <w:rPr>
                <w:rFonts w:ascii="Arial" w:cs="Arial" w:eastAsia="Arial" w:hAnsi="Arial"/>
                <w:sz w:val="12"/>
                <w:szCs w:val="12"/>
                <w:b w:val="1"/>
                <w:bCs w:val="1"/>
                <w:color w:val="auto"/>
                <w:w w:val="87"/>
              </w:rPr>
              <w:t>share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2"/>
                <w:szCs w:val="12"/>
                <w:color w:val="auto"/>
              </w:rPr>
              <w:t>Existing stockholders</w:t>
            </w:r>
          </w:p>
        </w:tc>
        <w:tc>
          <w:tcPr>
            <w:tcW w:w="1800" w:type="dxa"/>
            <w:vAlign w:val="bottom"/>
            <w:shd w:val="clear" w:color="auto" w:fill="CCEEFF"/>
          </w:tcPr>
          <w:p>
            <w:pPr>
              <w:jc w:val="right"/>
              <w:ind w:right="700"/>
              <w:spacing w:after="0"/>
              <w:rPr>
                <w:sz w:val="20"/>
                <w:szCs w:val="20"/>
                <w:color w:val="auto"/>
              </w:rPr>
            </w:pPr>
            <w:r>
              <w:rPr>
                <w:rFonts w:ascii="Arial" w:cs="Arial" w:eastAsia="Arial" w:hAnsi="Arial"/>
                <w:sz w:val="12"/>
                <w:szCs w:val="12"/>
                <w:color w:val="auto"/>
              </w:rPr>
              <w:t>______</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__%</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9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______</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__%</w:t>
            </w: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60" w:type="dxa"/>
            <w:vAlign w:val="bottom"/>
          </w:tcPr>
          <w:p>
            <w:pPr>
              <w:spacing w:after="0"/>
              <w:rPr>
                <w:sz w:val="20"/>
                <w:szCs w:val="20"/>
                <w:color w:val="auto"/>
              </w:rPr>
            </w:pPr>
            <w:r>
              <w:rPr>
                <w:rFonts w:ascii="Arial" w:cs="Arial" w:eastAsia="Arial" w:hAnsi="Arial"/>
                <w:sz w:val="12"/>
                <w:szCs w:val="12"/>
                <w:color w:val="auto"/>
              </w:rPr>
              <w:t>New investors</w:t>
            </w:r>
          </w:p>
        </w:tc>
        <w:tc>
          <w:tcPr>
            <w:tcW w:w="1800" w:type="dxa"/>
            <w:vAlign w:val="bottom"/>
          </w:tcPr>
          <w:p>
            <w:pPr>
              <w:jc w:val="right"/>
              <w:ind w:right="700"/>
              <w:spacing w:after="0"/>
              <w:rPr>
                <w:sz w:val="20"/>
                <w:szCs w:val="20"/>
                <w:color w:val="auto"/>
              </w:rPr>
            </w:pPr>
            <w:r>
              <w:rPr>
                <w:rFonts w:ascii="Arial" w:cs="Arial" w:eastAsia="Arial" w:hAnsi="Arial"/>
                <w:sz w:val="12"/>
                <w:szCs w:val="12"/>
                <w:color w:val="auto"/>
              </w:rPr>
              <w:t>______</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__%</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920" w:type="dxa"/>
            <w:vAlign w:val="bottom"/>
            <w:gridSpan w:val="3"/>
          </w:tcPr>
          <w:p>
            <w:pPr>
              <w:jc w:val="right"/>
              <w:ind w:right="120"/>
              <w:spacing w:after="0"/>
              <w:rPr>
                <w:sz w:val="20"/>
                <w:szCs w:val="20"/>
                <w:color w:val="auto"/>
              </w:rPr>
            </w:pPr>
            <w:r>
              <w:rPr>
                <w:rFonts w:ascii="Arial" w:cs="Arial" w:eastAsia="Arial" w:hAnsi="Arial"/>
                <w:sz w:val="12"/>
                <w:szCs w:val="12"/>
                <w:color w:val="auto"/>
              </w:rPr>
              <w:t>______</w:t>
            </w: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__%</w:t>
            </w:r>
          </w:p>
        </w:tc>
        <w:tc>
          <w:tcPr>
            <w:tcW w:w="4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660" w:type="dxa"/>
            <w:vAlign w:val="bottom"/>
          </w:tcPr>
          <w:p>
            <w:pPr>
              <w:spacing w:after="0" w:line="124" w:lineRule="exact"/>
              <w:rPr>
                <w:sz w:val="20"/>
                <w:szCs w:val="20"/>
                <w:color w:val="auto"/>
              </w:rPr>
            </w:pPr>
            <w:r>
              <w:rPr>
                <w:rFonts w:ascii="Arial" w:cs="Arial" w:eastAsia="Arial" w:hAnsi="Arial"/>
                <w:sz w:val="12"/>
                <w:szCs w:val="12"/>
                <w:color w:val="auto"/>
              </w:rPr>
              <w:t>Total</w:t>
            </w:r>
          </w:p>
        </w:tc>
        <w:tc>
          <w:tcPr>
            <w:tcW w:w="1800" w:type="dxa"/>
            <w:vAlign w:val="bottom"/>
          </w:tcPr>
          <w:p>
            <w:pPr>
              <w:jc w:val="right"/>
              <w:ind w:right="700"/>
              <w:spacing w:after="0" w:line="124" w:lineRule="exact"/>
              <w:rPr>
                <w:sz w:val="20"/>
                <w:szCs w:val="20"/>
                <w:color w:val="auto"/>
              </w:rPr>
            </w:pPr>
            <w:r>
              <w:rPr>
                <w:rFonts w:ascii="Arial" w:cs="Arial" w:eastAsia="Arial" w:hAnsi="Arial"/>
                <w:sz w:val="12"/>
                <w:szCs w:val="12"/>
                <w:color w:val="auto"/>
              </w:rPr>
              <w:t>______</w:t>
            </w:r>
          </w:p>
        </w:tc>
        <w:tc>
          <w:tcPr>
            <w:tcW w:w="720" w:type="dxa"/>
            <w:vAlign w:val="bottom"/>
          </w:tcPr>
          <w:p>
            <w:pPr>
              <w:jc w:val="right"/>
              <w:spacing w:after="0" w:line="124" w:lineRule="exact"/>
              <w:rPr>
                <w:sz w:val="20"/>
                <w:szCs w:val="20"/>
                <w:color w:val="auto"/>
              </w:rPr>
            </w:pPr>
            <w:r>
              <w:rPr>
                <w:rFonts w:ascii="Arial" w:cs="Arial" w:eastAsia="Arial" w:hAnsi="Arial"/>
                <w:sz w:val="12"/>
                <w:szCs w:val="12"/>
                <w:color w:val="auto"/>
              </w:rPr>
              <w:t>___%</w:t>
            </w:r>
          </w:p>
        </w:tc>
        <w:tc>
          <w:tcPr>
            <w:tcW w:w="1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920" w:type="dxa"/>
            <w:vAlign w:val="bottom"/>
            <w:gridSpan w:val="3"/>
          </w:tcPr>
          <w:p>
            <w:pPr>
              <w:jc w:val="right"/>
              <w:ind w:right="120"/>
              <w:spacing w:after="0" w:line="124" w:lineRule="exact"/>
              <w:rPr>
                <w:sz w:val="20"/>
                <w:szCs w:val="20"/>
                <w:color w:val="auto"/>
              </w:rPr>
            </w:pPr>
            <w:r>
              <w:rPr>
                <w:rFonts w:ascii="Arial" w:cs="Arial" w:eastAsia="Arial" w:hAnsi="Arial"/>
                <w:sz w:val="12"/>
                <w:szCs w:val="12"/>
                <w:color w:val="auto"/>
              </w:rPr>
              <w:t>______</w:t>
            </w:r>
          </w:p>
        </w:tc>
        <w:tc>
          <w:tcPr>
            <w:tcW w:w="840" w:type="dxa"/>
            <w:vAlign w:val="bottom"/>
            <w:gridSpan w:val="2"/>
          </w:tcPr>
          <w:p>
            <w:pPr>
              <w:jc w:val="right"/>
              <w:ind w:right="40"/>
              <w:spacing w:after="0" w:line="124" w:lineRule="exact"/>
              <w:rPr>
                <w:sz w:val="20"/>
                <w:szCs w:val="20"/>
                <w:color w:val="auto"/>
              </w:rPr>
            </w:pPr>
            <w:r>
              <w:rPr>
                <w:rFonts w:ascii="Arial" w:cs="Arial" w:eastAsia="Arial" w:hAnsi="Arial"/>
                <w:sz w:val="12"/>
                <w:szCs w:val="12"/>
                <w:color w:val="auto"/>
              </w:rPr>
              <w:t>___%</w:t>
            </w:r>
          </w:p>
        </w:tc>
        <w:tc>
          <w:tcPr>
            <w:tcW w:w="460" w:type="dxa"/>
            <w:vAlign w:val="bottom"/>
            <w:gridSpan w:val="2"/>
          </w:tcPr>
          <w:p>
            <w:pPr>
              <w:jc w:val="right"/>
              <w:ind w:right="340"/>
              <w:spacing w:after="0" w:line="124" w:lineRule="exact"/>
              <w:rPr>
                <w:sz w:val="20"/>
                <w:szCs w:val="20"/>
                <w:color w:val="auto"/>
              </w:rPr>
            </w:pPr>
            <w:r>
              <w:rPr>
                <w:rFonts w:ascii="Arial" w:cs="Arial" w:eastAsia="Arial" w:hAnsi="Arial"/>
                <w:sz w:val="12"/>
                <w:szCs w:val="12"/>
                <w:color w:val="auto"/>
              </w:rPr>
              <w:t>$</w:t>
            </w:r>
          </w:p>
        </w:tc>
        <w:tc>
          <w:tcPr>
            <w:tcW w:w="1540" w:type="dxa"/>
            <w:vAlign w:val="bottom"/>
          </w:tcPr>
          <w:p>
            <w:pPr>
              <w:jc w:val="right"/>
              <w:spacing w:after="0" w:line="124" w:lineRule="exact"/>
              <w:rPr>
                <w:sz w:val="20"/>
                <w:szCs w:val="20"/>
                <w:color w:val="auto"/>
              </w:rPr>
            </w:pPr>
            <w:r>
              <w:rPr>
                <w:rFonts w:ascii="Arial" w:cs="Arial" w:eastAsia="Arial" w:hAnsi="Arial"/>
                <w:sz w:val="12"/>
                <w:szCs w:val="12"/>
                <w:color w:val="auto"/>
              </w:rPr>
              <w:t>$____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outstanding share information set forth above is as of March 31, 2014 and excludes:</w:t>
      </w:r>
    </w:p>
    <w:p>
      <w:pPr>
        <w:spacing w:after="0" w:line="168" w:lineRule="exact"/>
        <w:rPr>
          <w:sz w:val="20"/>
          <w:szCs w:val="20"/>
          <w:color w:val="auto"/>
        </w:rPr>
      </w:pPr>
    </w:p>
    <w:p>
      <w:pPr>
        <w:ind w:left="560" w:hanging="316"/>
        <w:spacing w:after="0"/>
        <w:tabs>
          <w:tab w:leader="none" w:pos="560" w:val="left"/>
        </w:tabs>
        <w:numPr>
          <w:ilvl w:val="1"/>
          <w:numId w:val="21"/>
        </w:numPr>
        <w:rPr>
          <w:rFonts w:ascii="Arial" w:cs="Arial" w:eastAsia="Arial" w:hAnsi="Arial"/>
          <w:sz w:val="12"/>
          <w:szCs w:val="12"/>
          <w:color w:val="auto"/>
        </w:rPr>
      </w:pPr>
      <w:r>
        <w:rPr>
          <w:rFonts w:ascii="Arial" w:cs="Arial" w:eastAsia="Arial" w:hAnsi="Arial"/>
          <w:sz w:val="12"/>
          <w:szCs w:val="12"/>
          <w:color w:val="auto"/>
        </w:rPr>
        <w:t>4,227,357 shares issuable upon the exercise of outstanding options under our 1999 Stock Incentive Plan and 2008 Stock Incentive Plan;</w:t>
      </w:r>
    </w:p>
    <w:p>
      <w:pPr>
        <w:spacing w:after="0" w:line="150" w:lineRule="exact"/>
        <w:rPr>
          <w:rFonts w:ascii="Arial" w:cs="Arial" w:eastAsia="Arial" w:hAnsi="Arial"/>
          <w:sz w:val="12"/>
          <w:szCs w:val="12"/>
          <w:color w:val="auto"/>
        </w:rPr>
      </w:pPr>
    </w:p>
    <w:p>
      <w:pPr>
        <w:ind w:left="560" w:hanging="325"/>
        <w:spacing w:after="0"/>
        <w:tabs>
          <w:tab w:leader="none" w:pos="560" w:val="left"/>
        </w:tabs>
        <w:numPr>
          <w:ilvl w:val="1"/>
          <w:numId w:val="21"/>
        </w:numPr>
        <w:rPr>
          <w:rFonts w:ascii="Arial" w:cs="Arial" w:eastAsia="Arial" w:hAnsi="Arial"/>
          <w:sz w:val="12"/>
          <w:szCs w:val="12"/>
          <w:color w:val="auto"/>
        </w:rPr>
      </w:pPr>
      <w:r>
        <w:rPr>
          <w:rFonts w:ascii="Arial" w:cs="Arial" w:eastAsia="Arial" w:hAnsi="Arial"/>
          <w:sz w:val="12"/>
          <w:szCs w:val="12"/>
          <w:color w:val="auto"/>
        </w:rPr>
        <w:t>735,200 shares of our common stock reserved for issuance in connection with future awards under our stock 2008 Stock Incentive Plan;</w:t>
      </w:r>
    </w:p>
    <w:p>
      <w:pPr>
        <w:spacing w:after="0" w:line="168" w:lineRule="exact"/>
        <w:rPr>
          <w:rFonts w:ascii="Arial" w:cs="Arial" w:eastAsia="Arial" w:hAnsi="Arial"/>
          <w:sz w:val="12"/>
          <w:szCs w:val="12"/>
          <w:color w:val="auto"/>
        </w:rPr>
      </w:pPr>
    </w:p>
    <w:p>
      <w:pPr>
        <w:ind w:left="560" w:hanging="325"/>
        <w:spacing w:after="0"/>
        <w:tabs>
          <w:tab w:leader="none" w:pos="560" w:val="left"/>
        </w:tabs>
        <w:numPr>
          <w:ilvl w:val="1"/>
          <w:numId w:val="21"/>
        </w:numPr>
        <w:rPr>
          <w:rFonts w:ascii="Arial" w:cs="Arial" w:eastAsia="Arial" w:hAnsi="Arial"/>
          <w:sz w:val="12"/>
          <w:szCs w:val="12"/>
          <w:color w:val="auto"/>
        </w:rPr>
      </w:pPr>
      <w:r>
        <w:rPr>
          <w:rFonts w:ascii="Arial" w:cs="Arial" w:eastAsia="Arial" w:hAnsi="Arial"/>
          <w:sz w:val="12"/>
          <w:szCs w:val="12"/>
          <w:color w:val="auto"/>
        </w:rPr>
        <w:t>18,981,490 shares of our common stock that have been reserved for issuance upon exercise of outstanding warrants;</w:t>
      </w:r>
    </w:p>
    <w:p>
      <w:pPr>
        <w:spacing w:after="0" w:line="150" w:lineRule="exact"/>
        <w:rPr>
          <w:rFonts w:ascii="Arial" w:cs="Arial" w:eastAsia="Arial" w:hAnsi="Arial"/>
          <w:sz w:val="12"/>
          <w:szCs w:val="12"/>
          <w:color w:val="auto"/>
        </w:rPr>
      </w:pPr>
    </w:p>
    <w:p>
      <w:pPr>
        <w:ind w:left="540" w:hanging="310"/>
        <w:spacing w:after="0"/>
        <w:tabs>
          <w:tab w:leader="none" w:pos="5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15,000,000 shares of our common stock issuable upon the exchange of our Series A Preferred Stock (</w:t>
      </w:r>
      <w:r>
        <w:rPr>
          <w:rFonts w:ascii="Arial" w:cs="Arial" w:eastAsia="Arial" w:hAnsi="Arial"/>
          <w:sz w:val="12"/>
          <w:szCs w:val="12"/>
          <w:i w:val="1"/>
          <w:iCs w:val="1"/>
          <w:color w:val="auto"/>
        </w:rPr>
        <w:t>Series A Preferred</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ind w:left="560" w:hanging="325"/>
        <w:spacing w:after="0"/>
        <w:tabs>
          <w:tab w:leader="none" w:pos="5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7,500,000 shares of our common stock issuable upon the exercise of warrants issuable upon the exchange of our Series A Preferred; and</w:t>
      </w:r>
    </w:p>
    <w:p>
      <w:pPr>
        <w:spacing w:after="0" w:line="168" w:lineRule="exact"/>
        <w:rPr>
          <w:rFonts w:ascii="Arial" w:cs="Arial" w:eastAsia="Arial" w:hAnsi="Arial"/>
          <w:sz w:val="12"/>
          <w:szCs w:val="12"/>
          <w:color w:val="auto"/>
        </w:rPr>
      </w:pPr>
    </w:p>
    <w:p>
      <w:pPr>
        <w:ind w:left="560" w:right="20" w:hanging="325"/>
        <w:spacing w:after="0" w:line="276" w:lineRule="auto"/>
        <w:tabs>
          <w:tab w:leader="none" w:pos="5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up to approximately [ ] shares of our common stock reserved for issuance upon the conversion of newly created Series B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which Series B Preferred will be issued upon conversion of outstanding convertible promissory notes and related accrued interest upon consummation of the Offering, assuming gross proceeds from the Offering of at least $10.0 million.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44" w:name="page45"/>
    <w:bookmarkEnd w:id="44"/>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CAPITALIZATION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our capitalization as of March 31, 2014 that is derived from our audited financial information included elsewhere in this prospectus: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60" w:type="dxa"/>
            <w:vAlign w:val="bottom"/>
          </w:tcPr>
          <w:p>
            <w:pPr>
              <w:ind w:left="320"/>
              <w:spacing w:after="0"/>
              <w:rPr>
                <w:sz w:val="20"/>
                <w:szCs w:val="20"/>
                <w:color w:val="auto"/>
              </w:rPr>
            </w:pPr>
            <w:r>
              <w:rPr>
                <w:rFonts w:ascii="Arial" w:cs="Arial" w:eastAsia="Arial" w:hAnsi="Arial"/>
                <w:sz w:val="12"/>
                <w:szCs w:val="12"/>
                <w:color w:val="auto"/>
              </w:rPr>
              <w:t>●</w:t>
            </w:r>
          </w:p>
        </w:tc>
        <w:tc>
          <w:tcPr>
            <w:tcW w:w="7120" w:type="dxa"/>
            <w:vAlign w:val="bottom"/>
          </w:tcPr>
          <w:p>
            <w:pPr>
              <w:ind w:left="160"/>
              <w:spacing w:after="0"/>
              <w:rPr>
                <w:sz w:val="20"/>
                <w:szCs w:val="20"/>
                <w:color w:val="auto"/>
              </w:rPr>
            </w:pPr>
            <w:r>
              <w:rPr>
                <w:rFonts w:ascii="Arial" w:cs="Arial" w:eastAsia="Arial" w:hAnsi="Arial"/>
                <w:sz w:val="12"/>
                <w:szCs w:val="12"/>
                <w:color w:val="auto"/>
              </w:rPr>
              <w:t>on an actual basis; and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2"/>
                <w:szCs w:val="12"/>
                <w:color w:val="auto"/>
              </w:rPr>
              <w:t>●</w:t>
            </w:r>
          </w:p>
        </w:tc>
        <w:tc>
          <w:tcPr>
            <w:tcW w:w="7120" w:type="dxa"/>
            <w:vAlign w:val="bottom"/>
          </w:tcPr>
          <w:p>
            <w:pPr>
              <w:ind w:left="160"/>
              <w:spacing w:after="0"/>
              <w:rPr>
                <w:sz w:val="20"/>
                <w:szCs w:val="20"/>
                <w:color w:val="auto"/>
              </w:rPr>
            </w:pPr>
            <w:r>
              <w:rPr>
                <w:rFonts w:ascii="Arial" w:cs="Arial" w:eastAsia="Arial" w:hAnsi="Arial"/>
                <w:sz w:val="12"/>
                <w:szCs w:val="12"/>
                <w:color w:val="auto"/>
              </w:rPr>
              <w:t>on a pro forma basis giving effect to net proceeds from this Offering of approximately $________.</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6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As of March 31, 2014 (Amounts in dollars)</w:t>
            </w:r>
          </w:p>
        </w:tc>
        <w:tc>
          <w:tcPr>
            <w:tcW w:w="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Actual</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Pro forma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80" w:type="dxa"/>
            <w:vAlign w:val="bottom"/>
            <w:gridSpan w:val="2"/>
          </w:tcPr>
          <w:p>
            <w:pPr>
              <w:spacing w:after="0"/>
              <w:rPr>
                <w:sz w:val="20"/>
                <w:szCs w:val="20"/>
                <w:color w:val="auto"/>
              </w:rPr>
            </w:pPr>
            <w:r>
              <w:rPr>
                <w:rFonts w:ascii="Arial" w:cs="Arial" w:eastAsia="Arial" w:hAnsi="Arial"/>
                <w:sz w:val="12"/>
                <w:szCs w:val="12"/>
                <w:color w:val="auto"/>
              </w:rPr>
              <w:t>Long-term debt, excluding current portion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4,784,500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80" w:type="dxa"/>
            <w:vAlign w:val="bottom"/>
            <w:gridSpan w:val="2"/>
          </w:tcPr>
          <w:p>
            <w:pPr>
              <w:spacing w:after="0" w:line="136" w:lineRule="exact"/>
              <w:rPr>
                <w:sz w:val="20"/>
                <w:szCs w:val="20"/>
                <w:color w:val="auto"/>
              </w:rPr>
            </w:pPr>
            <w:r>
              <w:rPr>
                <w:rFonts w:ascii="Arial" w:cs="Arial" w:eastAsia="Arial" w:hAnsi="Arial"/>
                <w:sz w:val="12"/>
                <w:szCs w:val="12"/>
                <w:color w:val="auto"/>
                <w:w w:val="90"/>
              </w:rPr>
              <w:t>Preferred stock, $0.001 par value, 10,000,000 shares authorized; 500,000 Series A Preferred shares authorized, 500,000 Series A Preferred shares issued and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700" w:type="dxa"/>
            <w:vAlign w:val="bottom"/>
            <w:gridSpan w:val="3"/>
          </w:tcPr>
          <w:p>
            <w:pPr>
              <w:spacing w:after="0"/>
              <w:rPr>
                <w:sz w:val="20"/>
                <w:szCs w:val="20"/>
                <w:color w:val="auto"/>
              </w:rPr>
            </w:pPr>
            <w:r>
              <w:rPr>
                <w:rFonts w:ascii="Arial" w:cs="Arial" w:eastAsia="Arial" w:hAnsi="Arial"/>
                <w:sz w:val="12"/>
                <w:szCs w:val="12"/>
                <w:color w:val="auto"/>
              </w:rPr>
              <w:t>outstanding, actual; ________ shares authorized, issued and outstanding, pro forma and pro forma as adjusted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_____</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2"/>
              </w:rPr>
              <w:t>Common stock, $0.001 par value, 200,000,000 shares authorized; 26,210,185 shares issued, 23,486,877 outstanding, actual; ________ shares issued and</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________ shares outstanding, proforma</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26,200</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80" w:type="dxa"/>
            <w:vAlign w:val="bottom"/>
            <w:gridSpan w:val="2"/>
          </w:tcPr>
          <w:p>
            <w:pPr>
              <w:spacing w:after="0"/>
              <w:rPr>
                <w:sz w:val="20"/>
                <w:szCs w:val="20"/>
                <w:color w:val="auto"/>
              </w:rPr>
            </w:pPr>
            <w:r>
              <w:rPr>
                <w:rFonts w:ascii="Arial" w:cs="Arial" w:eastAsia="Arial" w:hAnsi="Arial"/>
                <w:sz w:val="12"/>
                <w:szCs w:val="12"/>
                <w:color w:val="auto"/>
              </w:rPr>
              <w:t>Additional paid-in capital</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61,976,500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Treasury stock, at cost, 2,713,308 shares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(3,968,100)</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80" w:type="dxa"/>
            <w:vAlign w:val="bottom"/>
            <w:gridSpan w:val="2"/>
          </w:tcPr>
          <w:p>
            <w:pPr>
              <w:spacing w:after="0"/>
              <w:rPr>
                <w:sz w:val="20"/>
                <w:szCs w:val="20"/>
                <w:color w:val="auto"/>
              </w:rPr>
            </w:pPr>
            <w:r>
              <w:rPr>
                <w:rFonts w:ascii="Arial" w:cs="Arial" w:eastAsia="Arial" w:hAnsi="Arial"/>
                <w:sz w:val="12"/>
                <w:szCs w:val="12"/>
                <w:color w:val="auto"/>
              </w:rPr>
              <w:t>Note receivable from sale of common stock</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2"/>
                <w:szCs w:val="12"/>
                <w:color w:val="auto"/>
              </w:rPr>
              <w:t>(198,100)</w:t>
            </w:r>
          </w:p>
        </w:tc>
        <w:tc>
          <w:tcPr>
            <w:tcW w:w="2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(70,636,900)</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680" w:type="dxa"/>
            <w:vAlign w:val="bottom"/>
            <w:gridSpan w:val="2"/>
          </w:tcPr>
          <w:p>
            <w:pPr>
              <w:spacing w:after="0"/>
              <w:rPr>
                <w:sz w:val="20"/>
                <w:szCs w:val="20"/>
                <w:color w:val="auto"/>
              </w:rPr>
            </w:pPr>
            <w:r>
              <w:rPr>
                <w:rFonts w:ascii="Arial" w:cs="Arial" w:eastAsia="Arial" w:hAnsi="Arial"/>
                <w:sz w:val="12"/>
                <w:szCs w:val="12"/>
                <w:color w:val="auto"/>
              </w:rPr>
              <w:t>Total stockholders’ deficit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2"/>
                <w:szCs w:val="12"/>
                <w:color w:val="auto"/>
              </w:rPr>
              <w:t>(12,799,900)</w:t>
            </w:r>
          </w:p>
        </w:tc>
        <w:tc>
          <w:tcPr>
            <w:tcW w:w="2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_____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Total capitalization</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(8,015,400)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Common stock outstanding in the table above excludes the following shares as of March 31, 2014:</w:t>
      </w:r>
    </w:p>
    <w:p>
      <w:pPr>
        <w:spacing w:after="0" w:line="150" w:lineRule="exact"/>
        <w:rPr>
          <w:sz w:val="20"/>
          <w:szCs w:val="20"/>
          <w:color w:val="auto"/>
        </w:rPr>
      </w:pPr>
    </w:p>
    <w:p>
      <w:pPr>
        <w:ind w:left="560" w:hanging="316"/>
        <w:spacing w:after="0"/>
        <w:tabs>
          <w:tab w:leader="none" w:pos="5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4,227,357 shares issuable upon the exercise of outstanding options under our 1999 Stock Incentive Plan and 2008 Stock Incentive Plan;</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1"/>
          <w:numId w:val="22"/>
        </w:numPr>
        <w:rPr>
          <w:rFonts w:ascii="Arial" w:cs="Arial" w:eastAsia="Arial" w:hAnsi="Arial"/>
          <w:sz w:val="12"/>
          <w:szCs w:val="12"/>
          <w:color w:val="auto"/>
        </w:rPr>
      </w:pPr>
      <w:r>
        <w:rPr>
          <w:rFonts w:ascii="Arial" w:cs="Arial" w:eastAsia="Arial" w:hAnsi="Arial"/>
          <w:sz w:val="12"/>
          <w:szCs w:val="12"/>
          <w:color w:val="auto"/>
        </w:rPr>
        <w:t>17,095,633 shares of our common stock issuable upon the exercise of outstanding warrants;</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1"/>
          <w:numId w:val="22"/>
        </w:numPr>
        <w:rPr>
          <w:rFonts w:ascii="Arial" w:cs="Arial" w:eastAsia="Arial" w:hAnsi="Arial"/>
          <w:sz w:val="12"/>
          <w:szCs w:val="12"/>
          <w:color w:val="auto"/>
        </w:rPr>
      </w:pPr>
      <w:r>
        <w:rPr>
          <w:rFonts w:ascii="Arial" w:cs="Arial" w:eastAsia="Arial" w:hAnsi="Arial"/>
          <w:sz w:val="12"/>
          <w:szCs w:val="12"/>
          <w:color w:val="auto"/>
        </w:rPr>
        <w:t>735,200 shares of common stock reserved for issuance under our 2008 Equity Incentive Plan;</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1"/>
          <w:numId w:val="22"/>
        </w:numPr>
        <w:rPr>
          <w:rFonts w:ascii="Arial" w:cs="Arial" w:eastAsia="Arial" w:hAnsi="Arial"/>
          <w:sz w:val="12"/>
          <w:szCs w:val="12"/>
          <w:color w:val="auto"/>
        </w:rPr>
      </w:pPr>
      <w:r>
        <w:rPr>
          <w:rFonts w:ascii="Arial" w:cs="Arial" w:eastAsia="Arial" w:hAnsi="Arial"/>
          <w:sz w:val="12"/>
          <w:szCs w:val="12"/>
          <w:color w:val="auto"/>
        </w:rPr>
        <w:t>15,000,000 shares of our common stock issuable upon exchange of our Series A Preferred;</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1"/>
          <w:numId w:val="22"/>
        </w:numPr>
        <w:rPr>
          <w:rFonts w:ascii="Arial" w:cs="Arial" w:eastAsia="Arial" w:hAnsi="Arial"/>
          <w:sz w:val="12"/>
          <w:szCs w:val="12"/>
          <w:color w:val="auto"/>
        </w:rPr>
      </w:pPr>
      <w:r>
        <w:rPr>
          <w:rFonts w:ascii="Arial" w:cs="Arial" w:eastAsia="Arial" w:hAnsi="Arial"/>
          <w:sz w:val="12"/>
          <w:szCs w:val="12"/>
          <w:color w:val="auto"/>
        </w:rPr>
        <w:t>7,500,000 shares of our common stock issuable upon the exercise of warrants issuable upon the exchange of our Series A Preferred; and</w:t>
      </w:r>
    </w:p>
    <w:p>
      <w:pPr>
        <w:spacing w:after="0" w:line="150" w:lineRule="exact"/>
        <w:rPr>
          <w:rFonts w:ascii="Arial" w:cs="Arial" w:eastAsia="Arial" w:hAnsi="Arial"/>
          <w:sz w:val="12"/>
          <w:szCs w:val="12"/>
          <w:color w:val="auto"/>
        </w:rPr>
      </w:pPr>
    </w:p>
    <w:p>
      <w:pPr>
        <w:ind w:left="600" w:hanging="338"/>
        <w:spacing w:after="0" w:line="276" w:lineRule="auto"/>
        <w:tabs>
          <w:tab w:leader="none" w:pos="600" w:val="left"/>
        </w:tabs>
        <w:numPr>
          <w:ilvl w:val="1"/>
          <w:numId w:val="22"/>
        </w:numPr>
        <w:rPr>
          <w:rFonts w:ascii="Arial" w:cs="Arial" w:eastAsia="Arial" w:hAnsi="Arial"/>
          <w:sz w:val="12"/>
          <w:szCs w:val="12"/>
          <w:color w:val="auto"/>
        </w:rPr>
      </w:pPr>
      <w:r>
        <w:rPr>
          <w:rFonts w:ascii="Arial" w:cs="Arial" w:eastAsia="Arial" w:hAnsi="Arial"/>
          <w:sz w:val="12"/>
          <w:szCs w:val="12"/>
          <w:color w:val="auto"/>
        </w:rPr>
        <w:t>up to approximately [ ] shares of our common stock reserved for issuance upon the conversion of newly created Series B Preferred, which Series B Preferred will be issued upon conversion of outstanding convertible promissory notes and related accrued interest promptly upon consummation of the Offering, assuming gross proceeds from the Offering of at least $10.0 million.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5" w:name="page46"/>
    <w:bookmarkEnd w:id="45"/>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PLAN OF DISTRIBUTION</w:t>
      </w:r>
    </w:p>
    <w:p>
      <w:pPr>
        <w:spacing w:after="0" w:line="172" w:lineRule="exact"/>
        <w:rPr>
          <w:sz w:val="20"/>
          <w:szCs w:val="20"/>
          <w:color w:val="auto"/>
        </w:rPr>
      </w:pPr>
    </w:p>
    <w:p>
      <w:pPr>
        <w:spacing w:after="0"/>
        <w:tabs>
          <w:tab w:leader="none" w:pos="9740" w:val="left"/>
        </w:tabs>
        <w:rPr>
          <w:sz w:val="20"/>
          <w:szCs w:val="20"/>
          <w:color w:val="auto"/>
        </w:rPr>
      </w:pPr>
      <w:r>
        <w:rPr>
          <w:rFonts w:ascii="Arial" w:cs="Arial" w:eastAsia="Arial" w:hAnsi="Arial"/>
          <w:sz w:val="12"/>
          <w:szCs w:val="12"/>
          <w:color w:val="auto"/>
        </w:rPr>
        <w:t>We have entered into a placement agency agreement, dated as of [____], 2014, with Geller Biopharm (</w:t>
      </w:r>
      <w:r>
        <w:rPr>
          <w:rFonts w:ascii="Arial" w:cs="Arial" w:eastAsia="Arial" w:hAnsi="Arial"/>
          <w:sz w:val="12"/>
          <w:szCs w:val="12"/>
          <w:i w:val="1"/>
          <w:iCs w:val="1"/>
          <w:color w:val="auto"/>
        </w:rPr>
        <w:t>Geller Biopharm</w:t>
      </w:r>
      <w:r>
        <w:rPr>
          <w:rFonts w:ascii="Arial" w:cs="Arial" w:eastAsia="Arial" w:hAnsi="Arial"/>
          <w:sz w:val="12"/>
          <w:szCs w:val="12"/>
          <w:color w:val="auto"/>
        </w:rPr>
        <w:t xml:space="preserve"> or </w:t>
      </w:r>
      <w:r>
        <w:rPr>
          <w:rFonts w:ascii="Arial" w:cs="Arial" w:eastAsia="Arial" w:hAnsi="Arial"/>
          <w:sz w:val="12"/>
          <w:szCs w:val="12"/>
          <w:i w:val="1"/>
          <w:iCs w:val="1"/>
          <w:color w:val="auto"/>
        </w:rPr>
        <w:t>Agent</w:t>
      </w:r>
      <w:r>
        <w:rPr>
          <w:rFonts w:ascii="Arial" w:cs="Arial" w:eastAsia="Arial" w:hAnsi="Arial"/>
          <w:sz w:val="12"/>
          <w:szCs w:val="12"/>
          <w:color w:val="auto"/>
        </w:rPr>
        <w:t>), a healthcare investment banking division of Financial West Group.</w:t>
      </w:r>
      <w:r>
        <w:rPr>
          <w:sz w:val="20"/>
          <w:szCs w:val="20"/>
          <w:color w:val="auto"/>
        </w:rPr>
        <w:tab/>
      </w:r>
      <w:r>
        <w:rPr>
          <w:rFonts w:ascii="Arial" w:cs="Arial" w:eastAsia="Arial" w:hAnsi="Arial"/>
          <w:sz w:val="11"/>
          <w:szCs w:val="11"/>
          <w:color w:val="auto"/>
        </w:rPr>
        <w:t>Subject to the terms and conditions</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contained in the placement agency agreement, the placement agent has agreed to act as the placement agent in connection with the sale of our common stock. The placement agent may engage selected dealers to assist in the placement of the securities offered hereby. The placement agent is not purchasing or selling any securities offered by this prospectus, nor are they required to arrange the purchase or sale of any specific number or dollar amount of our securities. However, Geller Biopharm has agreed to use their best efforts to arrange for the sale of the securities offered hereby.</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color w:val="auto"/>
        </w:rPr>
        <w:t>Investors wishing to participate in the Offering will be required to deliver an executed subscription agreement to the placement agent and immediately available funds via wire transfer [or check payable to [______] as escrow agent for the</w:t>
      </w:r>
    </w:p>
    <w:p>
      <w:pPr>
        <w:spacing w:after="0" w:line="2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Company. All of the proceeds from the sale of the securities offered hereby will be deposited into an escrow account at the escrow agent. If the Company does not accept the subscription of a subscriber, all monies of such subscriber will be refunded promptly, without any earned interest, and without deduction for commissions or expenses, including costs of the escrow agent. The Offering period may continue until August 31, 2014 and may be extended by the placement agent and us until __________ __, 2014.</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escrow agent will notify the placement agent when funds to pay for the securities offered hereby have been received. The placement agent shall inform the escrow agent in writing of the name, address, and the tax identification number of the subscriber, the amount of securities subscribed for by such subscriber, and the aggregate dollar amount of such subscription.] There is no minimum amount necessary for a closing, but the placement agent and we will provide written instructions to the escrow agent when to release funds. Upon closing, we will deliver to each purchaser delivering funds the number of shares of common stock purchased by such purchaser. [If the conditions to this Offering are not satisfied or waived, then all investor funds that were deposited into escrow will be returned promptly to investors, without any earned interest, and without deduction for commissions or expenses, including costs of the escrow agent and this Offering will terminate. We will pay the escrow agent a fee in connection with the escrow services.]</w:t>
      </w:r>
    </w:p>
    <w:p>
      <w:pPr>
        <w:spacing w:after="0" w:line="14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placement agency agreement provides that the obligations of the placement agent and the purchasers are subject to certain conditions precedent, including, among other things, the absence of any material adverse change in our business and the receipt of customary legal opinions, letters and certificates.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We currently anticipate that the closing of the sale of the common stock offered hereby will take place on or before July 31, 2014.</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agreed to pay the placement agents an aggregate fee equal to 8.0% of the gross proceeds (equivalent to 8.0% per share of the per share Offering price of $[__]) of this Offering and expect the net proceeds from this Offering to be approximately $13.6 million, assuming the sale of the maximum Offering amount, after deducting up to approximately $1,200,000 in placement agent fees and $200,000 in our estimated Offering expenses. We have also agreed to pay the placement agent’s expenses relating to the Offering.</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We have paid a non-refundable deposit of $10,000 to Geller Biopharm as placement agent.</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agreed to indemnify the placement agent and certain other persons against certain liabilities, including civil liabilities under the Securities Act, and to contribute to payments that the placement agent may be required to make in respect of those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The placement agent has informed us that they will not engage in over-allotment, stabilizing transactions or syndicate covering transactions in connection with this Offering.</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6" w:name="page47"/>
    <w:bookmarkEnd w:id="46"/>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Lock-Up Agreements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Pursuant to certain “lock-up” agreements, we, our named executive officers and directors, and certain of our stockholders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common stock or securities convertible into or exchangeable or exercisable for any common stock, whether currently owned or subsequently acquired, without the prior written consent of the representative, for a period of one hundred and eighty (180) days after the date of the placement agency agreement.</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lock-up period described in the preceding paragraph will be automatically extended if: (1) during the last 17 days of the restricted period, we issue an earnings release or announce material news or a material event; or (2) prior to the expiration of the lock-up period, we announce that we will release earnings results during the 16-day period beginning on the last day of the lock-up period, in which case the restrictions described in the preceding paragraph will continue to apply until the expiration of the 18-day period beginning on the date of the earnings release, unless the representative waives this extension in writing.</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Payments in Connection with Autillion AG</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If we receive at least $25 million of funding from Autillion pursuant to the Securities Purchase Agreement, dated as of April 8, 2013, as amended, between the Company and Autillion prior to the consummation of this Offering, then we will be required to pay Geller Biopharm a non-refundable financial advisory fee equal to $500,000.</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Right of First Refusal</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Upon the closing of the Offering, for a period of twelve months from the expiration or termination of its engagement, Geller Biopharm shall have a right of first refusal to participate in any public offering of our securities or sale in one or more transactions by our existing security holders of their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Offer, Sale and Distribution of Shares</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 prospectus in electronic format may be made available on the websites maintained by one or more of the placement agents. Other than the prospectus in electronic format, the information on these websites is not part of, nor incorporated by reference into, this prospectus or the registration statement of which this prospectus forms a part, has not been approved or endorsed by us or the placement agents should not be relied upon by investors.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Relationships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From time to time in the ordinary course of business, the placement agents or their affiliates may in the future engage in investment banking, commercial banking and/or other services with us and our affiliates for which they may in the future receive customary fees and expenses.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Exchange of Notes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Of the total number of share of common stock that may be issued in connection with this Offering, up to _______ shares may be issued in exchange for certain promissory notes of the Company. The placement agent will not be paid a</w:t>
      </w:r>
    </w:p>
    <w:p>
      <w:pPr>
        <w:spacing w:after="0" w:line="2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commission in connection with the issuance of such shares, nor will the Company receive any proceeds from the issuance of such shares. Such shares will be issued directly by the Company to the holders of such promissory notes that elect to exchange such notes for shares of common stock in the Offering.</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7" w:name="page48"/>
    <w:bookmarkEnd w:id="47"/>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72"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Our authorized capital stock consists of 200 million shares of our common stock, $0.001 par value per share, and 10.0 million shares of preferred stock, $0.001 par value per share. The following is a description of our common stock and certain provisions of our Articles, and our amended and restated bylaws (</w:t>
      </w:r>
      <w:r>
        <w:rPr>
          <w:rFonts w:ascii="Arial" w:cs="Arial" w:eastAsia="Arial" w:hAnsi="Arial"/>
          <w:sz w:val="12"/>
          <w:szCs w:val="12"/>
          <w:i w:val="1"/>
          <w:iCs w:val="1"/>
          <w:color w:val="auto"/>
        </w:rPr>
        <w:t>Bylaws</w:t>
      </w:r>
      <w:r>
        <w:rPr>
          <w:rFonts w:ascii="Arial" w:cs="Arial" w:eastAsia="Arial" w:hAnsi="Arial"/>
          <w:sz w:val="12"/>
          <w:szCs w:val="12"/>
          <w:color w:val="auto"/>
        </w:rPr>
        <w:t>), and certain provisions of Nevada law. This summary does not purport to be complete and is qualified in its entirety by the provisions of our Articles and our Bylaws, copies of which have been filed with the SEC as exhibits to our periodic filings under the Securities Exchange Act.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As of July 1, 2014, there were issued and outstanding, or reserved for issuance:</w:t>
      </w:r>
    </w:p>
    <w:p>
      <w:pPr>
        <w:spacing w:after="0" w:line="168" w:lineRule="exact"/>
        <w:rPr>
          <w:sz w:val="20"/>
          <w:szCs w:val="20"/>
          <w:color w:val="auto"/>
        </w:rPr>
      </w:pPr>
    </w:p>
    <w:p>
      <w:pPr>
        <w:ind w:left="420" w:hanging="248"/>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25,506,872 shares of our common stock held by approximately 300 stockholders of record;</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15,000,000 shares of our common stock issuable upon exchange of our Series A Preferred held by one institutional investor;</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4,227,357 shares of our common stock issuable upon exercise of outstanding stock options under our 1999 Stock Incentive Plan and 2008 Stock Incentive Plan;</w:t>
      </w:r>
    </w:p>
    <w:p>
      <w:pPr>
        <w:spacing w:after="0" w:line="168" w:lineRule="exact"/>
        <w:rPr>
          <w:rFonts w:ascii="Arial" w:cs="Arial" w:eastAsia="Arial" w:hAnsi="Arial"/>
          <w:sz w:val="12"/>
          <w:szCs w:val="12"/>
          <w:color w:val="auto"/>
        </w:rPr>
      </w:pPr>
    </w:p>
    <w:p>
      <w:pPr>
        <w:ind w:left="420" w:hanging="248"/>
        <w:spacing w:after="0" w:line="276" w:lineRule="auto"/>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26,481,490 shares of our common stock issuable upon exercise of outstanding warrants, including warrants to purchase 7,500,000 shares of common stock, which warrants are issuable upon exchange of our Series A Preferred for common stock; and</w:t>
      </w:r>
    </w:p>
    <w:p>
      <w:pPr>
        <w:spacing w:after="0" w:line="132" w:lineRule="exact"/>
        <w:rPr>
          <w:rFonts w:ascii="Arial" w:cs="Arial" w:eastAsia="Arial" w:hAnsi="Arial"/>
          <w:sz w:val="12"/>
          <w:szCs w:val="12"/>
          <w:color w:val="auto"/>
        </w:rPr>
      </w:pPr>
    </w:p>
    <w:p>
      <w:pPr>
        <w:ind w:left="420" w:hanging="248"/>
        <w:spacing w:after="0" w:line="276" w:lineRule="auto"/>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up to approximately [ ] shares of our common stock reserved for issuance upon the conversion of newly issued Series B Preferred, which Series B Preferred will be issued upon conversion of outstanding convertible promissory notes and related accrued interest promptly upon consummation of the Offering, assuming gross proceeds from the Offering of at least $10.0 million.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Voting rights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 See “</w:t>
      </w:r>
      <w:r>
        <w:rPr>
          <w:rFonts w:ascii="Arial" w:cs="Arial" w:eastAsia="Arial" w:hAnsi="Arial"/>
          <w:sz w:val="12"/>
          <w:szCs w:val="12"/>
          <w:i w:val="1"/>
          <w:iCs w:val="1"/>
          <w:color w:val="auto"/>
        </w:rPr>
        <w:t>Dividend Policy</w:t>
      </w:r>
      <w:r>
        <w:rPr>
          <w:rFonts w:ascii="Arial" w:cs="Arial" w:eastAsia="Arial" w:hAnsi="Arial"/>
          <w:sz w:val="12"/>
          <w:szCs w:val="12"/>
          <w:color w:val="auto"/>
        </w:rPr>
        <w:t>” for more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Liquidation rights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8" w:name="page49"/>
    <w:bookmarkEnd w:id="48"/>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 preemptive or similar rights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Our common stock is not entitled to is not subject to conversion, redemption, sinking fund or similar provisions regarding the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Preferred Stock</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Series A Preferred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w:t>
      </w:r>
    </w:p>
    <w:p>
      <w:pPr>
        <w:spacing w:after="0" w:line="168"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 December 2011, our board of directors authorized the creation of a series of up to 500,000 shares of Series A Preferred. At July 1, 2014, there were 500,000 shares of Series A Preferred outstanding. By agreement with the sole holder thereof, each share of Series A Preferred is exchangeable at the option of the holder into thirty (30) shares of our common stock. The Series A Preferred ranks prior to our common stock for purposes of liquidation preference.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168"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(Record Date)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Voting rights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Except with respect to transactions upon which the Series A Preferred shall be entitled to vote separately as a class, the Series A Preferred has no voting rights. The common stock into which the Series A Preferred is exchangeable shall, upon issuance, have all of the same voting rights as other issued and outstanding shares of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Liquidation rights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9" w:name="page50"/>
    <w:bookmarkEnd w:id="4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Series B Preferred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w:t>
      </w:r>
    </w:p>
    <w:p>
      <w:pPr>
        <w:spacing w:after="0" w:line="168" w:lineRule="exact"/>
        <w:rPr>
          <w:sz w:val="20"/>
          <w:szCs w:val="20"/>
          <w:color w:val="auto"/>
        </w:rPr>
      </w:pPr>
    </w:p>
    <w:p>
      <w:pPr>
        <w:spacing w:after="0"/>
        <w:tabs>
          <w:tab w:leader="none" w:pos="5780" w:val="left"/>
        </w:tabs>
        <w:rPr>
          <w:sz w:val="20"/>
          <w:szCs w:val="20"/>
          <w:color w:val="auto"/>
        </w:rPr>
      </w:pPr>
      <w:r>
        <w:rPr>
          <w:rFonts w:ascii="Arial" w:cs="Arial" w:eastAsia="Arial" w:hAnsi="Arial"/>
          <w:sz w:val="12"/>
          <w:szCs w:val="12"/>
          <w:color w:val="auto"/>
        </w:rPr>
        <w:t>On July __, our board of directors authorized the creation of a series of up to _____ shares of Series B Preferred.</w:t>
      </w:r>
      <w:r>
        <w:rPr>
          <w:sz w:val="20"/>
          <w:szCs w:val="20"/>
          <w:color w:val="auto"/>
        </w:rPr>
        <w:tab/>
      </w:r>
      <w:r>
        <w:rPr>
          <w:rFonts w:ascii="Arial" w:cs="Arial" w:eastAsia="Arial" w:hAnsi="Arial"/>
          <w:sz w:val="11"/>
          <w:szCs w:val="11"/>
          <w:color w:val="auto"/>
        </w:rPr>
        <w:t>The Series B Preferred were authorized in order to provide for the conversion of certain promissory notes held by</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Platinum totally approximately $______ in principal and accrued interest at July 1, 2014 (</w:t>
      </w:r>
      <w:r>
        <w:rPr>
          <w:rFonts w:ascii="Arial" w:cs="Arial" w:eastAsia="Arial" w:hAnsi="Arial"/>
          <w:sz w:val="11"/>
          <w:szCs w:val="11"/>
          <w:i w:val="1"/>
          <w:iCs w:val="1"/>
          <w:color w:val="auto"/>
        </w:rPr>
        <w:t>Outstanding Balance</w:t>
      </w:r>
      <w:r>
        <w:rPr>
          <w:rFonts w:ascii="Arial" w:cs="Arial" w:eastAsia="Arial" w:hAnsi="Arial"/>
          <w:sz w:val="11"/>
          <w:szCs w:val="11"/>
          <w:color w:val="auto"/>
        </w:rPr>
        <w:t>) into Series B Preferred upon consummation of the Offering. We anticipate filing the certificate of designations for the Series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B Preferred immediately prior to consummation of the Offering.</w:t>
      </w:r>
    </w:p>
    <w:p>
      <w:pPr>
        <w:spacing w:after="0" w:line="15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number of shares of Series B Preferred to be issued will be calculated based on the liquidation preference for the Series B Preferred, which shall equal the Outstanding Balance as of the date of consummation of the Offering, divided by the lesser of (i) $.50 and (ii) the per-share common stock price sold in the Offering.</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By agreement with the sole holder thereof, each share of Series B Preferred will be exchangeable at the option of the holder into shares of our common stock at the price per-share of common stock sold in the Offering. The Series B Preferred will rank prior to our common stock for purposes of liquidation preference.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168"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The Series B Preferred will have no separate dividend rights. However, whenever the board of directors declares a dividend on the common stock, each holder of record of a share of Series B Preferred, or any fraction of a share of Series B Preferred, on the date set by the board of directors to determine the owners of the common stock of record entitled to receive such dividend (Record Date) shall be entitled to receive out of any assets at the time legally available therefor, an amount equal to such dividend declared on one share of common stock multiplied by the number of shares of common stock into which such share, or such fraction of a share, of Series B Preferred could be exchanged on the Record Date.</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Voting rights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Except with respect to transactions upon which the Series B Preferred shall be entitled to vote separately as a class, the Series B Preferred shall have no voting rights. The common stock into which the Series B Preferred shall be exchangeable shall, upon issuance, have all of the same voting rights as other issued and outstanding shares of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Liquidation rights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the event of the liquidation, dissolution or winding up of our affairs, after payment or provision for payment of our debts and other liabilities, the holders of Series B Preferred then outstanding shall be entitled to receive, out of our assets, if any, an amount per share of Series B Preferred calculated by taking the total amount available for distribution to holders of all of our outstanding common stock before deduction of any preference payments for the Series B Preferred, divided by the total of (x), all of the then outstanding shares of our common stock, plus (y) all of the shares of our common stock into which all of the outstanding shares of the Series B Preferred can be exchanged before any payment shall be made or any assets distributed to the holders of the common stock or any other junior stock.</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As of July 1, 2014, we had options to purchase 4,227,357 shares of our common stock outstanding pursuant to our 1999 Plan and our 2008 Plan.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of July 1, 2014, warrants to purchase 18,981,490 shares of our common stock were outstanding, excluding warrants to purchase 7,500,000 shares of common stock issuable in connection with the exchange of our Series A Preferred for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Transfer Agent and Registrar</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transfer agent and registrar for our common stock is Registrar and Transfer Company. The transfer agent’s address is 10 Commerce Drive, Cranford, NJ 07016.</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6">
              <w:r>
                <w:rPr>
                  <w:rFonts w:ascii="Arial" w:cs="Arial" w:eastAsia="Arial" w:hAnsi="Arial"/>
                  <w:sz w:val="11"/>
                  <w:szCs w:val="11"/>
                  <w:i w:val="1"/>
                  <w:iCs w:val="1"/>
                  <w:color w:val="0000EE"/>
                  <w:w w:val="85"/>
                </w:rPr>
                <w:t>Table of Contents</w:t>
              </w:r>
            </w:hyperlink>
          </w:p>
        </w:tc>
        <w:tc>
          <w:tcPr>
            <w:tcW w:w="6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780" w:type="dxa"/>
            <w:vAlign w:val="bottom"/>
            <w:gridSpan w:val="3"/>
          </w:tcPr>
          <w:p>
            <w:pPr>
              <w:spacing w:after="0"/>
              <w:rPr>
                <w:sz w:val="20"/>
                <w:szCs w:val="20"/>
                <w:color w:val="auto"/>
              </w:rPr>
            </w:pPr>
            <w:r>
              <w:rPr>
                <w:rFonts w:ascii="Arial" w:cs="Arial" w:eastAsia="Arial" w:hAnsi="Arial"/>
                <w:sz w:val="12"/>
                <w:szCs w:val="12"/>
                <w:b w:val="1"/>
                <w:bCs w:val="1"/>
                <w:color w:val="auto"/>
              </w:rPr>
              <w:t>Securities Authorized for Issuance Under Equity Compensation Plans as of July 1, 2014</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Number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securities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remaining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available for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Number of</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future issuance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securities to be</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under equity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issued upon</w:t>
            </w:r>
          </w:p>
        </w:tc>
        <w:tc>
          <w:tcPr>
            <w:tcW w:w="280" w:type="dxa"/>
            <w:vAlign w:val="bottom"/>
          </w:tcPr>
          <w:p>
            <w:pPr>
              <w:spacing w:after="0"/>
              <w:rPr>
                <w:sz w:val="12"/>
                <w:szCs w:val="12"/>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88"/>
              </w:rPr>
              <w:t>Weighted-average</w:t>
            </w: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compensation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exercise of</w:t>
            </w:r>
          </w:p>
        </w:tc>
        <w:tc>
          <w:tcPr>
            <w:tcW w:w="280" w:type="dxa"/>
            <w:vAlign w:val="bottom"/>
          </w:tcPr>
          <w:p>
            <w:pPr>
              <w:spacing w:after="0"/>
              <w:rPr>
                <w:sz w:val="12"/>
                <w:szCs w:val="12"/>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86"/>
              </w:rPr>
              <w:t>exercise price of</w:t>
            </w: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plans [excluding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Outstanding</w:t>
            </w:r>
          </w:p>
        </w:tc>
        <w:tc>
          <w:tcPr>
            <w:tcW w:w="280" w:type="dxa"/>
            <w:vAlign w:val="bottom"/>
          </w:tcPr>
          <w:p>
            <w:pPr>
              <w:spacing w:after="0"/>
              <w:rPr>
                <w:sz w:val="12"/>
                <w:szCs w:val="12"/>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87"/>
              </w:rPr>
              <w:t>outstanding</w:t>
            </w: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securities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options, warrants</w:t>
            </w:r>
          </w:p>
        </w:tc>
        <w:tc>
          <w:tcPr>
            <w:tcW w:w="280" w:type="dxa"/>
            <w:vAlign w:val="bottom"/>
          </w:tcPr>
          <w:p>
            <w:pPr>
              <w:spacing w:after="0"/>
              <w:rPr>
                <w:sz w:val="12"/>
                <w:szCs w:val="12"/>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89"/>
              </w:rPr>
              <w:t>options, warrants</w:t>
            </w: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reflected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and rights (a)</w:t>
            </w:r>
          </w:p>
        </w:tc>
        <w:tc>
          <w:tcPr>
            <w:tcW w:w="280" w:type="dxa"/>
            <w:vAlign w:val="bottom"/>
          </w:tcPr>
          <w:p>
            <w:pPr>
              <w:spacing w:after="0"/>
              <w:rPr>
                <w:sz w:val="13"/>
                <w:szCs w:val="13"/>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1"/>
              </w:rPr>
              <w:t>and rights (b)</w:t>
            </w: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in column (a)]</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Compensation plans approved by security holders</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3,964,800</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0.50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735,200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60" w:type="dxa"/>
            <w:vAlign w:val="bottom"/>
            <w:gridSpan w:val="2"/>
          </w:tcPr>
          <w:p>
            <w:pPr>
              <w:spacing w:after="0"/>
              <w:rPr>
                <w:sz w:val="20"/>
                <w:szCs w:val="20"/>
                <w:color w:val="auto"/>
              </w:rPr>
            </w:pPr>
            <w:r>
              <w:rPr>
                <w:rFonts w:ascii="Arial" w:cs="Arial" w:eastAsia="Arial" w:hAnsi="Arial"/>
                <w:sz w:val="12"/>
                <w:szCs w:val="12"/>
                <w:color w:val="auto"/>
              </w:rPr>
              <w:t>Equity Compensation plans not approved by security holders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262,557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0.58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6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140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4,227,537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1560" w:type="dxa"/>
            <w:vAlign w:val="bottom"/>
            <w:gridSpan w:val="2"/>
            <w:shd w:val="clear" w:color="auto" w:fill="CCEEFF"/>
          </w:tcPr>
          <w:p>
            <w:pPr>
              <w:jc w:val="right"/>
              <w:ind w:right="220"/>
              <w:spacing w:after="0" w:line="124" w:lineRule="exact"/>
              <w:rPr>
                <w:sz w:val="20"/>
                <w:szCs w:val="20"/>
                <w:color w:val="auto"/>
              </w:rPr>
            </w:pPr>
            <w:r>
              <w:rPr>
                <w:rFonts w:ascii="Arial" w:cs="Arial" w:eastAsia="Arial" w:hAnsi="Arial"/>
                <w:sz w:val="12"/>
                <w:szCs w:val="12"/>
                <w:color w:val="auto"/>
              </w:rPr>
              <w:t>0.50</w:t>
            </w:r>
          </w:p>
        </w:tc>
        <w:tc>
          <w:tcPr>
            <w:tcW w:w="136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735,200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780" w:type="dxa"/>
            <w:vAlign w:val="bottom"/>
            <w:gridSpan w:val="3"/>
          </w:tcPr>
          <w:p>
            <w:pPr>
              <w:spacing w:after="0"/>
              <w:rPr>
                <w:sz w:val="20"/>
                <w:szCs w:val="20"/>
                <w:color w:val="auto"/>
              </w:rPr>
            </w:pPr>
            <w:r>
              <w:rPr>
                <w:rFonts w:ascii="Arial" w:cs="Arial" w:eastAsia="Arial" w:hAnsi="Arial"/>
                <w:sz w:val="12"/>
                <w:szCs w:val="12"/>
                <w:b w:val="1"/>
                <w:bCs w:val="1"/>
                <w:color w:val="auto"/>
              </w:rPr>
              <w:t>Transfer Agent and Registrar</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The transfer agent and registrar for our common stock is Registrar and Transfer Company. The transfer agent’s address is 10 Commerce Drive, Cranford, NJ 07016.</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SHARES ELIGIBLE FOR FUTURE SALE</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Prior to this Offering, there has a limited public market for shares of our common stock. Future sales of substantial amounts of shares of our common stock, including sales of shares issued upon the conversion of outstanding convertible promissory notes, exchange of outstanding preferred stock and exercise of outstanding options and warrants, in the public market after this Offering or the possibility of these issuances and sales occurring, could cause the prevailing market price for our common stock to fall or impair our ability to raise equity capital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Upon the completion of this Offering, based on the number of shares outstanding as of July 1, 2014, we will have ________ shares of common stock outstanding, assuming exercise of outstanding options or warrants and conversion of our</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preferred stock and convertible promissory notes. Of these outstanding shares, all ______ shares of common stock sold by us in this Offering will be freely tradable in the public market without restriction or further registration under the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Securities Act, and ________ shares of common stock held by our affiliates, as that term is defined in Rule 144 under the Securities Act, may only be sold in compliance with the limitations described below. The remaining ______ shares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of common stock, and all shares of Series A Preferred and Series B Preferred outstanding after this Offering, will be deemed restricted under the Federal securities laws.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51" w:name="page52"/>
    <w:bookmarkEnd w:id="51"/>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Rule 144</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In general, under Rule 144 as currently in effect,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person has beneficially owned the shares proposed to be sold for at least one year, including the holding period of any prior owner other than our affiliates, then that person is entitled to sell those shares without complying with the requirements of Rule 144, subject to the availability of current public information about us.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general, under Rule 144 as currently in effect, our affiliates or persons selling shares on behalf of our affiliates are entitled to sell upon the expiration of the lock-up agreements described above, within any three month period, a number of shares that does not exceed the greater of:</w:t>
      </w:r>
    </w:p>
    <w:p>
      <w:pPr>
        <w:spacing w:after="0" w:line="115" w:lineRule="exact"/>
        <w:rPr>
          <w:sz w:val="20"/>
          <w:szCs w:val="20"/>
          <w:color w:val="auto"/>
        </w:rPr>
      </w:pPr>
    </w:p>
    <w:p>
      <w:pPr>
        <w:ind w:left="560" w:hanging="316"/>
        <w:spacing w:after="0"/>
        <w:tabs>
          <w:tab w:leader="none" w:pos="5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1% of the number of shares of common stock then outstanding, which will equal approximately _______ shares immediately after this Offering; or</w:t>
      </w:r>
    </w:p>
    <w:p>
      <w:pPr>
        <w:spacing w:after="0" w:line="99" w:lineRule="exact"/>
        <w:rPr>
          <w:rFonts w:ascii="Arial" w:cs="Arial" w:eastAsia="Arial" w:hAnsi="Arial"/>
          <w:sz w:val="12"/>
          <w:szCs w:val="12"/>
          <w:color w:val="auto"/>
        </w:rPr>
      </w:pPr>
    </w:p>
    <w:p>
      <w:pPr>
        <w:ind w:left="560" w:hanging="316"/>
        <w:spacing w:after="0"/>
        <w:tabs>
          <w:tab w:leader="none" w:pos="560" w:val="left"/>
        </w:tabs>
        <w:numPr>
          <w:ilvl w:val="0"/>
          <w:numId w:val="24"/>
        </w:numPr>
        <w:rPr>
          <w:rFonts w:ascii="Arial" w:cs="Arial" w:eastAsia="Arial" w:hAnsi="Arial"/>
          <w:sz w:val="24"/>
          <w:szCs w:val="24"/>
          <w:color w:val="auto"/>
          <w:vertAlign w:val="superscript"/>
        </w:rPr>
      </w:pPr>
      <w:r>
        <w:rPr>
          <w:rFonts w:ascii="Arial" w:cs="Arial" w:eastAsia="Arial" w:hAnsi="Arial"/>
          <w:sz w:val="12"/>
          <w:szCs w:val="12"/>
          <w:color w:val="auto"/>
        </w:rPr>
        <w:t>the average weekly trading volume of the common stock during the four calendar weeks preceding the filing of a notice on Form 144 with respect to such sale.</w:t>
      </w:r>
    </w:p>
    <w:p>
      <w:pPr>
        <w:spacing w:after="0" w:line="207" w:lineRule="exact"/>
        <w:rPr>
          <w:sz w:val="20"/>
          <w:szCs w:val="20"/>
          <w:color w:val="auto"/>
        </w:rPr>
      </w:pPr>
    </w:p>
    <w:p>
      <w:pPr>
        <w:spacing w:after="0"/>
        <w:rPr>
          <w:sz w:val="20"/>
          <w:szCs w:val="20"/>
          <w:color w:val="auto"/>
        </w:rPr>
      </w:pPr>
      <w:r>
        <w:rPr>
          <w:rFonts w:ascii="Arial" w:cs="Arial" w:eastAsia="Arial" w:hAnsi="Arial"/>
          <w:sz w:val="11"/>
          <w:szCs w:val="11"/>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2" w:name="page53"/>
    <w:bookmarkEnd w:id="52"/>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BUSINESS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are a stem cell company headquartered in South San Francisco, California and focused on drug rescue and regenerative medicine. We believe </w:t>
      </w:r>
      <w:r>
        <w:rPr>
          <w:rFonts w:ascii="Arial" w:cs="Arial" w:eastAsia="Arial" w:hAnsi="Arial"/>
          <w:sz w:val="12"/>
          <w:szCs w:val="12"/>
          <w:i w:val="1"/>
          <w:iCs w:val="1"/>
          <w:color w:val="auto"/>
        </w:rPr>
        <w:t>better cells lead to better medicines</w:t>
      </w:r>
      <w:r>
        <w:rPr>
          <w:rFonts w:ascii="Arial" w:cs="Arial" w:eastAsia="Arial" w:hAnsi="Arial"/>
          <w:sz w:val="12"/>
          <w:szCs w:val="12"/>
          <w:color w:val="auto"/>
        </w:rPr>
        <w:t>™ and that the key to making better cells is precisely controlling the differentiation of human pluripotent stem cells, which are the building blocks of all cells of the human body. For over 15 years, our stem cell research and development teams and collaborators have focused on controlling the differentiation of pluripotent stem cells to produce multiple types of mature, functional, adult human cells, with emphasis on human heart and liver cells, and using such cells to design customized biological assay systems for drug discovery and drug rescue, as well as regenerative medicine applications.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stem cell technology platform - Human Clinical Trials in a Test Tube™</w:t>
      </w:r>
    </w:p>
    <w:p>
      <w:pPr>
        <w:spacing w:after="0" w:line="150"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 xml:space="preserve">Our stem cell technology platform, which we refer to as </w:t>
      </w:r>
      <w:r>
        <w:rPr>
          <w:rFonts w:ascii="Arial" w:cs="Arial" w:eastAsia="Arial" w:hAnsi="Arial"/>
          <w:sz w:val="10"/>
          <w:szCs w:val="10"/>
          <w:i w:val="1"/>
          <w:iCs w:val="1"/>
          <w:color w:val="auto"/>
        </w:rPr>
        <w:t>Human Clinical Trials in a Test Tube</w:t>
      </w:r>
      <w:r>
        <w:rPr>
          <w:rFonts w:ascii="Arial" w:cs="Arial" w:eastAsia="Arial" w:hAnsi="Arial"/>
          <w:sz w:val="10"/>
          <w:szCs w:val="10"/>
          <w:color w:val="auto"/>
        </w:rPr>
        <w:t>, is based on a combination of proprietary and exclusively licensed technologies for controlling the differentiation of human pluripotent stem cells into multiple types of mature, functional, adult human cells that we use, or plan to develop, to reproduce complex human biology and disease. We are currently producing heart cells and liver cells for our drug rescue applications. Upon completion of this Offering, we intend to focus on the drug rescue applications utilizing human heart and liver cells, and further advance, through collaborative research projects, pharmaceutical applications of stem cell-derived blood, bone, cartilage, heart, liver and pancreatic beta-islet cells, including exploring opportunities to leverage our stem cell technology platform for regenerative medicine purposes. Our emphasis in the regenerative medicine arena will be on developing novel human disease models for discovery of small molecule drugs and biologics that activate the endogenous growth and healing processes enabling the body to repair tissue damage caused by certain degenerative diseases.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Using mature cardiomyocytes (heart cells) differentiated from human pluripotent stem cells, we have developed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 a novel,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 used to assess new drug candidates for potential cardiac toxicity before they are tested in humans.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capable of predicting the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cardiac effects, both toxic and non-toxic, of small molecule drug candidates with greater speed and precision than the long-established, surrogate safety models most often used in drug development, including models using animal cells or live animals, and cellular assays using cadaver, immortalized or transformed cells. Our pluripotent stem cell derived cardiomyocytes (heart cells) and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are key components of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and drug rescue programs.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Using mature, functional adult hepatocytes (liver cells) derived from human pluripotent stem cells, we are currently correlating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second novel stem cell technology-based bioassay system, with reported clinical results of drugs with liver toxicity. We believe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will enable us to assess, early in development, new drug candidates for potential drug-induced liver injury and metabolism issues that can result in serious adverse drug-drug interactions, before animal or human testing. We plan to use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 the clinically predictive liver biology insight we believe it will provide us, to expand the scope of our commercial opportunities related to drug rescue.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Drug Rescue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believe drug rescue using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the foundation of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is the highest-value near term commercial application of the human cells we produce. Detailed information is available to us in the public domain regarding the efficacy, pharmacology, formulation and toxicity of promising small molecule drug candidates developed by pharmaceutical and biotechnology companies which have failed due to unexpected heart or liver toxicity. These failed but still promising drug candidates, which we refer to as </w:t>
      </w:r>
      <w:r>
        <w:rPr>
          <w:rFonts w:ascii="Arial" w:cs="Arial" w:eastAsia="Arial" w:hAnsi="Arial"/>
          <w:sz w:val="12"/>
          <w:szCs w:val="12"/>
          <w:i w:val="1"/>
          <w:iCs w:val="1"/>
          <w:color w:val="auto"/>
        </w:rPr>
        <w:t>Drug Rescue Candidate</w:t>
      </w:r>
      <w:r>
        <w:rPr>
          <w:rFonts w:ascii="Arial" w:cs="Arial" w:eastAsia="Arial" w:hAnsi="Arial"/>
          <w:sz w:val="12"/>
          <w:szCs w:val="12"/>
          <w:color w:val="auto"/>
        </w:rPr>
        <w:t>s, have already been optimized and tested by a pharmaceutical or biotechnology company and assessed preliminarily for efficacy and their commercial potential.</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3" w:name="page54"/>
    <w:bookmarkEnd w:id="53"/>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We believe the human heart and liver cells we produce and use in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offer a new paradigm for evaluating potential heart and liver toxicity early in drug development, long before costly, high risk human clinical trials. While efforts of pharmaceutical and biotechnology companies to improve their prediction of such human toxicity for new drug candidates is ongoing, our access to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offers us an opportunity to use our stem cell technology platform to take advantage of prior third-party investment in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by attempting to significantly reduce the toxicity that caused them to be terminated, and bring new, potentially safer versions back into development protected by new intellectual property. We refer to the new, potentially safer versions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we intend to produce as </w:t>
      </w:r>
      <w:r>
        <w:rPr>
          <w:rFonts w:ascii="Arial" w:cs="Arial" w:eastAsia="Arial" w:hAnsi="Arial"/>
          <w:sz w:val="11"/>
          <w:szCs w:val="11"/>
          <w:i w:val="1"/>
          <w:iCs w:val="1"/>
          <w:color w:val="auto"/>
        </w:rPr>
        <w:t>Drug Rescue Variants</w:t>
      </w:r>
      <w:r>
        <w:rPr>
          <w:rFonts w:ascii="Arial" w:cs="Arial" w:eastAsia="Arial" w:hAnsi="Arial"/>
          <w:sz w:val="11"/>
          <w:szCs w:val="11"/>
          <w:color w:val="auto"/>
        </w:rPr>
        <w:t>™.</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By applying our stem cell technology platform to drug rescue opportunities, we intend to become a leading source of proprietary, small molecule drug candidates to the global pharmaceutical industry. We have designed our drug rescue model to leverage publicly available information and substantial prior investment by pharmaceutical companies and others in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We believe the pre-existing public domain knowledge base supporting the therapeutic and commercial potential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will provide us with a valuable head start as we launch our drug rescue programs. Leveraging the substantial prior investments by global pharmaceutical companies and others in discovery, optimization and efficacy validation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is an essential component of our drug rescue strategy.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Drug Rescue Strategy</w:t>
      </w:r>
    </w:p>
    <w:p>
      <w:pPr>
        <w:spacing w:after="0" w:line="150"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 xml:space="preserve">We believe the pre-existing public domain knowledge base supporting the therapeutic and commercial potential of our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will provide us with a valuable head start as we launch our drug rescue programs. Leveraging the substantial prior investments by global pharmaceutical companies and others in discovery, optimization and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efficacy validation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is an essential component of our drug rescue strategy.</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Our current drug rescue emphasis is on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discontinued prior to FDA market approval due to unexpected cardiac safety concerns. By using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platform to enhance our understanding of the cardiac liability profile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biological insight not previously available when the </w:t>
      </w:r>
      <w:r>
        <w:rPr>
          <w:rFonts w:ascii="Arial" w:cs="Arial" w:eastAsia="Arial" w:hAnsi="Arial"/>
          <w:sz w:val="12"/>
          <w:szCs w:val="12"/>
          <w:i w:val="1"/>
          <w:iCs w:val="1"/>
          <w:color w:val="auto"/>
        </w:rPr>
        <w:t>Drug Rescue Candidate</w:t>
      </w:r>
      <w:r>
        <w:rPr>
          <w:rFonts w:ascii="Arial" w:cs="Arial" w:eastAsia="Arial" w:hAnsi="Arial"/>
          <w:sz w:val="12"/>
          <w:szCs w:val="12"/>
          <w:color w:val="auto"/>
        </w:rPr>
        <w:t xml:space="preserve"> was originally discovered and developed, we believe we can demonstrate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proof-of-concept as to the efficacy and safety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earlier in development and with substantially less investment in discovery,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efficacy optimization and development than was required of the pharmaceutical companies prior to their decision to terminate the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key elements of our current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drug rescue strategy are as follows:</w:t>
      </w:r>
    </w:p>
    <w:p>
      <w:pPr>
        <w:spacing w:after="0" w:line="150" w:lineRule="exact"/>
        <w:rPr>
          <w:sz w:val="20"/>
          <w:szCs w:val="20"/>
          <w:color w:val="auto"/>
        </w:rPr>
      </w:pPr>
    </w:p>
    <w:p>
      <w:pPr>
        <w:jc w:val="both"/>
        <w:ind w:left="420" w:hanging="248"/>
        <w:spacing w:after="0" w:line="263" w:lineRule="auto"/>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 xml:space="preserve">identify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with heart safety issues utilizing drug discovery and development information available in the public domain through open source, licensed databases, and published patents, as well as through our strategic relationships with our drug rescue and scientific advisors and consultants, including Synterys, Inc. and Cato Research Ltd., our providers of contract medicinal chemistry and contract clinical development services and regulatory expertise, respectively;</w:t>
      </w:r>
    </w:p>
    <w:p>
      <w:pPr>
        <w:spacing w:after="0" w:line="122" w:lineRule="exact"/>
        <w:rPr>
          <w:rFonts w:ascii="Arial" w:cs="Arial" w:eastAsia="Arial" w:hAnsi="Arial"/>
          <w:sz w:val="12"/>
          <w:szCs w:val="12"/>
          <w:color w:val="auto"/>
        </w:rPr>
      </w:pPr>
    </w:p>
    <w:p>
      <w:pPr>
        <w:ind w:left="420" w:right="20" w:hanging="248"/>
        <w:spacing w:after="0" w:line="276" w:lineRule="auto"/>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 xml:space="preserve">leverage substantial prior research and development investments made by global pharmaceutical companies and others to support the therapeutic and commercial potential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as important criteria for selection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potential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420" w:hanging="248"/>
        <w:spacing w:after="0" w:line="276" w:lineRule="auto"/>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 xml:space="preserve">use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platform to enhance our understanding of the cardiac liability profile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important and more comprehensive biological insights not previously available when the </w:t>
      </w:r>
      <w:r>
        <w:rPr>
          <w:rFonts w:ascii="Arial" w:cs="Arial" w:eastAsia="Arial" w:hAnsi="Arial"/>
          <w:sz w:val="12"/>
          <w:szCs w:val="12"/>
          <w:i w:val="1"/>
          <w:iCs w:val="1"/>
          <w:color w:val="auto"/>
        </w:rPr>
        <w:t>Drug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Rescue Candidates </w:t>
      </w:r>
      <w:r>
        <w:rPr>
          <w:rFonts w:ascii="Arial" w:cs="Arial" w:eastAsia="Arial" w:hAnsi="Arial"/>
          <w:sz w:val="12"/>
          <w:szCs w:val="12"/>
          <w:color w:val="auto"/>
        </w:rPr>
        <w:t>were originally discovered, optimized and developed by pharmaceutical companies;</w:t>
      </w:r>
    </w:p>
    <w:p>
      <w:pPr>
        <w:spacing w:after="0" w:line="114" w:lineRule="exact"/>
        <w:rPr>
          <w:rFonts w:ascii="Arial" w:cs="Arial" w:eastAsia="Arial" w:hAnsi="Arial"/>
          <w:sz w:val="12"/>
          <w:szCs w:val="12"/>
          <w:color w:val="auto"/>
        </w:rPr>
      </w:pPr>
    </w:p>
    <w:p>
      <w:pPr>
        <w:ind w:left="420" w:hanging="248"/>
        <w:spacing w:after="0" w:line="276" w:lineRule="auto"/>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 xml:space="preserve">leverage our internal knowledgebase about each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specific chemistry to design and produce, with our contract medicinal chemistry collaborator, a portfolio of novel potential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for each </w:t>
      </w:r>
      <w:r>
        <w:rPr>
          <w:rFonts w:ascii="Arial" w:cs="Arial" w:eastAsia="Arial" w:hAnsi="Arial"/>
          <w:sz w:val="12"/>
          <w:szCs w:val="12"/>
          <w:i w:val="1"/>
          <w:iCs w:val="1"/>
          <w:color w:val="auto"/>
        </w:rPr>
        <w:t>Drug Rescue Candidate</w:t>
      </w:r>
      <w:r>
        <w:rPr>
          <w:rFonts w:ascii="Arial" w:cs="Arial" w:eastAsia="Arial" w:hAnsi="Arial"/>
          <w:sz w:val="12"/>
          <w:szCs w:val="12"/>
          <w:color w:val="auto"/>
        </w:rPr>
        <w: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4" w:name="page55"/>
    <w:bookmarkEnd w:id="54"/>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ind w:left="420" w:hanging="248"/>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 xml:space="preserve">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pre-existing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efficacy models to assess the efficacy and cardiac safety of potential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identify and validate a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and</w:t>
      </w:r>
    </w:p>
    <w:p>
      <w:pPr>
        <w:spacing w:after="0" w:line="150" w:lineRule="exact"/>
        <w:rPr>
          <w:rFonts w:ascii="Arial" w:cs="Arial" w:eastAsia="Arial" w:hAnsi="Arial"/>
          <w:sz w:val="12"/>
          <w:szCs w:val="12"/>
          <w:color w:val="auto"/>
        </w:rPr>
      </w:pPr>
    </w:p>
    <w:p>
      <w:pPr>
        <w:ind w:left="420" w:right="20" w:hanging="248"/>
        <w:spacing w:after="0" w:line="276" w:lineRule="auto"/>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 xml:space="preserve">internally develop optimized and validated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or out-license them to a pharmaceutical or biotechnology company in a revenue-generating agreements providing for the development, market approval and commercial sale of the </w:t>
      </w:r>
      <w:r>
        <w:rPr>
          <w:rFonts w:ascii="Arial" w:cs="Arial" w:eastAsia="Arial" w:hAnsi="Arial"/>
          <w:sz w:val="12"/>
          <w:szCs w:val="12"/>
          <w:i w:val="1"/>
          <w:iCs w:val="1"/>
          <w:color w:val="auto"/>
        </w:rPr>
        <w:t>Drug Rescue Variant</w:t>
      </w:r>
      <w:r>
        <w:rPr>
          <w:rFonts w:ascii="Arial" w:cs="Arial" w:eastAsia="Arial" w:hAnsi="Arial"/>
          <w:sz w:val="12"/>
          <w:szCs w:val="12"/>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Drug Rescue Candidates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Our current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are set forth in the table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00" w:type="dxa"/>
            <w:vAlign w:val="bottom"/>
            <w:gridSpan w:val="2"/>
          </w:tcPr>
          <w:p>
            <w:pPr>
              <w:spacing w:after="0"/>
              <w:rPr>
                <w:sz w:val="20"/>
                <w:szCs w:val="20"/>
                <w:color w:val="auto"/>
              </w:rPr>
            </w:pPr>
            <w:r>
              <w:rPr>
                <w:rFonts w:ascii="Arial" w:cs="Arial" w:eastAsia="Arial" w:hAnsi="Arial"/>
                <w:sz w:val="12"/>
                <w:szCs w:val="12"/>
                <w:b w:val="1"/>
                <w:bCs w:val="1"/>
                <w:color w:val="auto"/>
              </w:rPr>
              <w:t>Drug Rescue Candidate</w:t>
            </w:r>
          </w:p>
        </w:tc>
        <w:tc>
          <w:tcPr>
            <w:tcW w:w="2140" w:type="dxa"/>
            <w:vAlign w:val="bottom"/>
          </w:tcPr>
          <w:p>
            <w:pPr>
              <w:ind w:left="480"/>
              <w:spacing w:after="0"/>
              <w:rPr>
                <w:sz w:val="20"/>
                <w:szCs w:val="20"/>
                <w:color w:val="auto"/>
              </w:rPr>
            </w:pPr>
            <w:r>
              <w:rPr>
                <w:rFonts w:ascii="Arial" w:cs="Arial" w:eastAsia="Arial" w:hAnsi="Arial"/>
                <w:sz w:val="12"/>
                <w:szCs w:val="12"/>
                <w:b w:val="1"/>
                <w:bCs w:val="1"/>
                <w:color w:val="auto"/>
              </w:rPr>
              <w:t>Indication</w:t>
            </w:r>
          </w:p>
        </w:tc>
        <w:tc>
          <w:tcPr>
            <w:tcW w:w="1880" w:type="dxa"/>
            <w:vAlign w:val="bottom"/>
          </w:tcPr>
          <w:p>
            <w:pPr>
              <w:ind w:left="880"/>
              <w:spacing w:after="0"/>
              <w:rPr>
                <w:sz w:val="20"/>
                <w:szCs w:val="20"/>
                <w:color w:val="auto"/>
              </w:rPr>
            </w:pPr>
            <w:r>
              <w:rPr>
                <w:rFonts w:ascii="Arial" w:cs="Arial" w:eastAsia="Arial" w:hAnsi="Arial"/>
                <w:sz w:val="12"/>
                <w:szCs w:val="12"/>
                <w:b w:val="1"/>
                <w:bCs w:val="1"/>
                <w:color w:val="auto"/>
              </w:rPr>
              <w:t>Developer</w:t>
            </w:r>
          </w:p>
        </w:tc>
        <w:tc>
          <w:tcPr>
            <w:tcW w:w="1360" w:type="dxa"/>
            <w:vAlign w:val="bottom"/>
          </w:tcPr>
          <w:p>
            <w:pPr>
              <w:ind w:left="480"/>
              <w:spacing w:after="0"/>
              <w:rPr>
                <w:sz w:val="20"/>
                <w:szCs w:val="20"/>
                <w:color w:val="auto"/>
              </w:rPr>
            </w:pPr>
            <w:r>
              <w:rPr>
                <w:rFonts w:ascii="Arial" w:cs="Arial" w:eastAsia="Arial" w:hAnsi="Arial"/>
                <w:sz w:val="12"/>
                <w:szCs w:val="12"/>
                <w:b w:val="1"/>
                <w:bCs w:val="1"/>
                <w:color w:val="auto"/>
              </w:rPr>
              <w:t>Terminated</w:t>
            </w:r>
          </w:p>
        </w:tc>
        <w:tc>
          <w:tcPr>
            <w:tcW w:w="1800" w:type="dxa"/>
            <w:vAlign w:val="bottom"/>
          </w:tcPr>
          <w:p>
            <w:pPr>
              <w:ind w:left="280"/>
              <w:spacing w:after="0"/>
              <w:rPr>
                <w:sz w:val="20"/>
                <w:szCs w:val="20"/>
                <w:color w:val="auto"/>
              </w:rPr>
            </w:pPr>
            <w:r>
              <w:rPr>
                <w:rFonts w:ascii="Arial" w:cs="Arial" w:eastAsia="Arial" w:hAnsi="Arial"/>
                <w:sz w:val="12"/>
                <w:szCs w:val="12"/>
                <w:b w:val="1"/>
                <w:bCs w:val="1"/>
                <w:color w:val="auto"/>
              </w:rPr>
              <w:t>Reason for Termination</w:t>
            </w:r>
          </w:p>
        </w:tc>
        <w:tc>
          <w:tcPr>
            <w:tcW w:w="2600" w:type="dxa"/>
            <w:vAlign w:val="bottom"/>
            <w:gridSpan w:val="2"/>
          </w:tcPr>
          <w:p>
            <w:pPr>
              <w:ind w:left="300"/>
              <w:spacing w:after="0"/>
              <w:rPr>
                <w:sz w:val="20"/>
                <w:szCs w:val="20"/>
                <w:color w:val="auto"/>
              </w:rPr>
            </w:pPr>
            <w:r>
              <w:rPr>
                <w:rFonts w:ascii="Arial" w:cs="Arial" w:eastAsia="Arial" w:hAnsi="Arial"/>
                <w:sz w:val="12"/>
                <w:szCs w:val="12"/>
                <w:b w:val="1"/>
                <w:bCs w:val="1"/>
                <w:color w:val="auto"/>
              </w:rPr>
              <w:t>Mechanism</w:t>
            </w:r>
          </w:p>
        </w:tc>
      </w:tr>
      <w:tr>
        <w:trPr>
          <w:trHeight w:val="142"/>
        </w:trPr>
        <w:tc>
          <w:tcPr>
            <w:tcW w:w="20" w:type="dxa"/>
            <w:vAlign w:val="bottom"/>
          </w:tcPr>
          <w:p>
            <w:pPr>
              <w:spacing w:after="0"/>
              <w:rPr>
                <w:sz w:val="12"/>
                <w:szCs w:val="12"/>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VSTA-1C05</w:t>
            </w:r>
          </w:p>
        </w:tc>
        <w:tc>
          <w:tcPr>
            <w:tcW w:w="21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rPr>
              <w:t>Cancer</w:t>
            </w:r>
          </w:p>
        </w:tc>
        <w:tc>
          <w:tcPr>
            <w:tcW w:w="18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2"/>
                <w:szCs w:val="12"/>
                <w:color w:val="auto"/>
              </w:rPr>
              <w:t>Pharma</w:t>
            </w:r>
          </w:p>
        </w:tc>
        <w:tc>
          <w:tcPr>
            <w:tcW w:w="13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rPr>
              <w:t>Phase 1/2</w:t>
            </w:r>
          </w:p>
        </w:tc>
        <w:tc>
          <w:tcPr>
            <w:tcW w:w="18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2"/>
                <w:szCs w:val="12"/>
                <w:color w:val="auto"/>
              </w:rPr>
              <w:t>Cardiotoxicity</w:t>
            </w:r>
          </w:p>
        </w:tc>
        <w:tc>
          <w:tcPr>
            <w:tcW w:w="22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2"/>
                <w:szCs w:val="12"/>
                <w:color w:val="auto"/>
              </w:rPr>
              <w:t>Aurora kinase inhibitors</w:t>
            </w:r>
          </w:p>
        </w:tc>
        <w:tc>
          <w:tcPr>
            <w:tcW w:w="34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680" w:type="dxa"/>
            <w:vAlign w:val="bottom"/>
          </w:tcPr>
          <w:p>
            <w:pPr>
              <w:spacing w:after="0"/>
              <w:rPr>
                <w:sz w:val="20"/>
                <w:szCs w:val="20"/>
                <w:color w:val="auto"/>
              </w:rPr>
            </w:pPr>
            <w:r>
              <w:rPr>
                <w:rFonts w:ascii="Arial" w:cs="Arial" w:eastAsia="Arial" w:hAnsi="Arial"/>
                <w:sz w:val="12"/>
                <w:szCs w:val="12"/>
                <w:color w:val="auto"/>
              </w:rPr>
              <w:t>VSTA-1A08</w:t>
            </w:r>
          </w:p>
        </w:tc>
        <w:tc>
          <w:tcPr>
            <w:tcW w:w="2140" w:type="dxa"/>
            <w:vAlign w:val="bottom"/>
          </w:tcPr>
          <w:p>
            <w:pPr>
              <w:ind w:left="480"/>
              <w:spacing w:after="0"/>
              <w:rPr>
                <w:sz w:val="20"/>
                <w:szCs w:val="20"/>
                <w:color w:val="auto"/>
              </w:rPr>
            </w:pPr>
            <w:r>
              <w:rPr>
                <w:rFonts w:ascii="Arial" w:cs="Arial" w:eastAsia="Arial" w:hAnsi="Arial"/>
                <w:sz w:val="12"/>
                <w:szCs w:val="12"/>
                <w:color w:val="auto"/>
              </w:rPr>
              <w:t>Cancer</w:t>
            </w:r>
          </w:p>
        </w:tc>
        <w:tc>
          <w:tcPr>
            <w:tcW w:w="1880" w:type="dxa"/>
            <w:vAlign w:val="bottom"/>
          </w:tcPr>
          <w:p>
            <w:pPr>
              <w:ind w:left="880"/>
              <w:spacing w:after="0"/>
              <w:rPr>
                <w:sz w:val="20"/>
                <w:szCs w:val="20"/>
                <w:color w:val="auto"/>
              </w:rPr>
            </w:pPr>
            <w:r>
              <w:rPr>
                <w:rFonts w:ascii="Arial" w:cs="Arial" w:eastAsia="Arial" w:hAnsi="Arial"/>
                <w:sz w:val="12"/>
                <w:szCs w:val="12"/>
                <w:color w:val="auto"/>
              </w:rPr>
              <w:t>Biotech</w:t>
            </w:r>
          </w:p>
        </w:tc>
        <w:tc>
          <w:tcPr>
            <w:tcW w:w="1360" w:type="dxa"/>
            <w:vAlign w:val="bottom"/>
          </w:tcPr>
          <w:p>
            <w:pPr>
              <w:ind w:left="480"/>
              <w:spacing w:after="0"/>
              <w:rPr>
                <w:sz w:val="20"/>
                <w:szCs w:val="20"/>
                <w:color w:val="auto"/>
              </w:rPr>
            </w:pPr>
            <w:r>
              <w:rPr>
                <w:rFonts w:ascii="Arial" w:cs="Arial" w:eastAsia="Arial" w:hAnsi="Arial"/>
                <w:sz w:val="12"/>
                <w:szCs w:val="12"/>
                <w:color w:val="auto"/>
              </w:rPr>
              <w:t>Preclinical</w:t>
            </w:r>
          </w:p>
        </w:tc>
        <w:tc>
          <w:tcPr>
            <w:tcW w:w="1800" w:type="dxa"/>
            <w:vAlign w:val="bottom"/>
          </w:tcPr>
          <w:p>
            <w:pPr>
              <w:ind w:left="280"/>
              <w:spacing w:after="0"/>
              <w:rPr>
                <w:sz w:val="20"/>
                <w:szCs w:val="20"/>
                <w:color w:val="auto"/>
              </w:rPr>
            </w:pPr>
            <w:r>
              <w:rPr>
                <w:rFonts w:ascii="Arial" w:cs="Arial" w:eastAsia="Arial" w:hAnsi="Arial"/>
                <w:sz w:val="12"/>
                <w:szCs w:val="12"/>
                <w:color w:val="auto"/>
              </w:rPr>
              <w:t>Cardiotoxicity</w:t>
            </w:r>
          </w:p>
        </w:tc>
        <w:tc>
          <w:tcPr>
            <w:tcW w:w="2600" w:type="dxa"/>
            <w:vAlign w:val="bottom"/>
            <w:gridSpan w:val="2"/>
          </w:tcPr>
          <w:p>
            <w:pPr>
              <w:ind w:left="300"/>
              <w:spacing w:after="0"/>
              <w:rPr>
                <w:sz w:val="20"/>
                <w:szCs w:val="20"/>
                <w:color w:val="auto"/>
              </w:rPr>
            </w:pPr>
            <w:r>
              <w:rPr>
                <w:rFonts w:ascii="Arial" w:cs="Arial" w:eastAsia="Arial" w:hAnsi="Arial"/>
                <w:sz w:val="12"/>
                <w:szCs w:val="12"/>
                <w:color w:val="auto"/>
              </w:rPr>
              <w:t>PI3 kinase inhibitor</w:t>
            </w:r>
          </w:p>
        </w:tc>
      </w:tr>
      <w:tr>
        <w:trPr>
          <w:trHeight w:val="144"/>
        </w:trPr>
        <w:tc>
          <w:tcPr>
            <w:tcW w:w="20" w:type="dxa"/>
            <w:vAlign w:val="bottom"/>
          </w:tcPr>
          <w:p>
            <w:pPr>
              <w:spacing w:after="0"/>
              <w:rPr>
                <w:sz w:val="12"/>
                <w:szCs w:val="12"/>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2"/>
                <w:szCs w:val="12"/>
                <w:color w:val="auto"/>
              </w:rPr>
              <w:t>VSTA-2A21</w:t>
            </w:r>
          </w:p>
        </w:tc>
        <w:tc>
          <w:tcPr>
            <w:tcW w:w="21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Dementia</w:t>
            </w:r>
          </w:p>
        </w:tc>
        <w:tc>
          <w:tcPr>
            <w:tcW w:w="1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Pharma</w:t>
            </w:r>
          </w:p>
        </w:tc>
        <w:tc>
          <w:tcPr>
            <w:tcW w:w="13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Preclinical</w:t>
            </w:r>
          </w:p>
        </w:tc>
        <w:tc>
          <w:tcPr>
            <w:tcW w:w="18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Cardiotoxicity</w:t>
            </w: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Nicotinic a7 receptors</w:t>
            </w:r>
          </w:p>
        </w:tc>
      </w:tr>
      <w:tr>
        <w:trPr>
          <w:trHeight w:val="144"/>
        </w:trPr>
        <w:tc>
          <w:tcPr>
            <w:tcW w:w="20" w:type="dxa"/>
            <w:vAlign w:val="bottom"/>
          </w:tcPr>
          <w:p>
            <w:pPr>
              <w:spacing w:after="0"/>
              <w:rPr>
                <w:sz w:val="12"/>
                <w:szCs w:val="12"/>
                <w:color w:val="auto"/>
              </w:rPr>
            </w:pPr>
          </w:p>
        </w:tc>
        <w:tc>
          <w:tcPr>
            <w:tcW w:w="1680" w:type="dxa"/>
            <w:vAlign w:val="bottom"/>
          </w:tcPr>
          <w:p>
            <w:pPr>
              <w:spacing w:after="0"/>
              <w:rPr>
                <w:sz w:val="20"/>
                <w:szCs w:val="20"/>
                <w:color w:val="auto"/>
              </w:rPr>
            </w:pPr>
            <w:r>
              <w:rPr>
                <w:rFonts w:ascii="Arial" w:cs="Arial" w:eastAsia="Arial" w:hAnsi="Arial"/>
                <w:sz w:val="12"/>
                <w:szCs w:val="12"/>
                <w:color w:val="auto"/>
              </w:rPr>
              <w:t>VSTA-5A03</w:t>
            </w:r>
          </w:p>
        </w:tc>
        <w:tc>
          <w:tcPr>
            <w:tcW w:w="2140" w:type="dxa"/>
            <w:vAlign w:val="bottom"/>
          </w:tcPr>
          <w:p>
            <w:pPr>
              <w:ind w:left="480"/>
              <w:spacing w:after="0"/>
              <w:rPr>
                <w:sz w:val="20"/>
                <w:szCs w:val="20"/>
                <w:color w:val="auto"/>
              </w:rPr>
            </w:pPr>
            <w:r>
              <w:rPr>
                <w:rFonts w:ascii="Arial" w:cs="Arial" w:eastAsia="Arial" w:hAnsi="Arial"/>
                <w:sz w:val="12"/>
                <w:szCs w:val="12"/>
                <w:color w:val="auto"/>
              </w:rPr>
              <w:t>HIV</w:t>
            </w:r>
          </w:p>
        </w:tc>
        <w:tc>
          <w:tcPr>
            <w:tcW w:w="1880" w:type="dxa"/>
            <w:vAlign w:val="bottom"/>
          </w:tcPr>
          <w:p>
            <w:pPr>
              <w:ind w:left="880"/>
              <w:spacing w:after="0"/>
              <w:rPr>
                <w:sz w:val="20"/>
                <w:szCs w:val="20"/>
                <w:color w:val="auto"/>
              </w:rPr>
            </w:pPr>
            <w:r>
              <w:rPr>
                <w:rFonts w:ascii="Arial" w:cs="Arial" w:eastAsia="Arial" w:hAnsi="Arial"/>
                <w:sz w:val="12"/>
                <w:szCs w:val="12"/>
                <w:color w:val="auto"/>
              </w:rPr>
              <w:t>Pharma</w:t>
            </w:r>
          </w:p>
        </w:tc>
        <w:tc>
          <w:tcPr>
            <w:tcW w:w="1360" w:type="dxa"/>
            <w:vAlign w:val="bottom"/>
          </w:tcPr>
          <w:p>
            <w:pPr>
              <w:ind w:left="480"/>
              <w:spacing w:after="0"/>
              <w:rPr>
                <w:sz w:val="20"/>
                <w:szCs w:val="20"/>
                <w:color w:val="auto"/>
              </w:rPr>
            </w:pPr>
            <w:r>
              <w:rPr>
                <w:rFonts w:ascii="Arial" w:cs="Arial" w:eastAsia="Arial" w:hAnsi="Arial"/>
                <w:sz w:val="12"/>
                <w:szCs w:val="12"/>
                <w:color w:val="auto"/>
              </w:rPr>
              <w:t>Preclinical</w:t>
            </w:r>
          </w:p>
        </w:tc>
        <w:tc>
          <w:tcPr>
            <w:tcW w:w="1800" w:type="dxa"/>
            <w:vAlign w:val="bottom"/>
          </w:tcPr>
          <w:p>
            <w:pPr>
              <w:ind w:left="280"/>
              <w:spacing w:after="0"/>
              <w:rPr>
                <w:sz w:val="20"/>
                <w:szCs w:val="20"/>
                <w:color w:val="auto"/>
              </w:rPr>
            </w:pPr>
            <w:r>
              <w:rPr>
                <w:rFonts w:ascii="Arial" w:cs="Arial" w:eastAsia="Arial" w:hAnsi="Arial"/>
                <w:sz w:val="12"/>
                <w:szCs w:val="12"/>
                <w:color w:val="auto"/>
              </w:rPr>
              <w:t>Cardiotoxicity</w:t>
            </w:r>
          </w:p>
        </w:tc>
        <w:tc>
          <w:tcPr>
            <w:tcW w:w="2600" w:type="dxa"/>
            <w:vAlign w:val="bottom"/>
            <w:gridSpan w:val="2"/>
          </w:tcPr>
          <w:p>
            <w:pPr>
              <w:ind w:left="300"/>
              <w:spacing w:after="0"/>
              <w:rPr>
                <w:sz w:val="20"/>
                <w:szCs w:val="20"/>
                <w:color w:val="auto"/>
              </w:rPr>
            </w:pPr>
            <w:r>
              <w:rPr>
                <w:rFonts w:ascii="Arial" w:cs="Arial" w:eastAsia="Arial" w:hAnsi="Arial"/>
                <w:sz w:val="12"/>
                <w:szCs w:val="12"/>
                <w:color w:val="auto"/>
              </w:rPr>
              <w:t>Integrase inhibitor</w:t>
            </w:r>
          </w:p>
        </w:tc>
      </w:tr>
      <w:tr>
        <w:trPr>
          <w:trHeight w:val="144"/>
        </w:trPr>
        <w:tc>
          <w:tcPr>
            <w:tcW w:w="20" w:type="dxa"/>
            <w:vAlign w:val="bottom"/>
          </w:tcPr>
          <w:p>
            <w:pPr>
              <w:spacing w:after="0"/>
              <w:rPr>
                <w:sz w:val="12"/>
                <w:szCs w:val="12"/>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2"/>
                <w:szCs w:val="12"/>
                <w:color w:val="auto"/>
              </w:rPr>
              <w:t>VSTA-4E15</w:t>
            </w:r>
          </w:p>
        </w:tc>
        <w:tc>
          <w:tcPr>
            <w:tcW w:w="21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Type 2 Diabetes</w:t>
            </w:r>
          </w:p>
        </w:tc>
        <w:tc>
          <w:tcPr>
            <w:tcW w:w="1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Pharma</w:t>
            </w:r>
          </w:p>
        </w:tc>
        <w:tc>
          <w:tcPr>
            <w:tcW w:w="13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Post-NDA</w:t>
            </w:r>
          </w:p>
        </w:tc>
        <w:tc>
          <w:tcPr>
            <w:tcW w:w="18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Cardiotoxicity</w:t>
            </w: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Insulin sensitizer; PPAR gamma agonist</w:t>
            </w:r>
          </w:p>
        </w:tc>
      </w:tr>
    </w:tbl>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believe our exclusive focus on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with established, therapeutic and commercial potential, and our ability to build on that valuable head start using our expertise in human biology, will help us to generate </w:t>
      </w:r>
      <w:r>
        <w:rPr>
          <w:rFonts w:ascii="Arial" w:cs="Arial" w:eastAsia="Arial" w:hAnsi="Arial"/>
          <w:sz w:val="12"/>
          <w:szCs w:val="12"/>
          <w:i w:val="1"/>
          <w:iCs w:val="1"/>
          <w:color w:val="auto"/>
        </w:rPr>
        <w:t>Drug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Rescue Variants </w:t>
      </w:r>
      <w:r>
        <w:rPr>
          <w:rFonts w:ascii="Arial" w:cs="Arial" w:eastAsia="Arial" w:hAnsi="Arial"/>
          <w:sz w:val="12"/>
          <w:szCs w:val="12"/>
          <w:color w:val="auto"/>
        </w:rPr>
        <w:t>without incurring certain high costs and risks typically inherent in drug discovery and development. Although we plan to continue to identify</w:t>
      </w:r>
      <w:r>
        <w:rPr>
          <w:rFonts w:ascii="Arial" w:cs="Arial" w:eastAsia="Arial" w:hAnsi="Arial"/>
          <w:sz w:val="12"/>
          <w:szCs w:val="12"/>
          <w:i w:val="1"/>
          <w:iCs w:val="1"/>
          <w:color w:val="auto"/>
        </w:rPr>
        <w:t xml:space="preserve"> Drug Rescue Candidates </w:t>
      </w:r>
      <w:r>
        <w:rPr>
          <w:rFonts w:ascii="Arial" w:cs="Arial" w:eastAsia="Arial" w:hAnsi="Arial"/>
          <w:sz w:val="12"/>
          <w:szCs w:val="12"/>
          <w:color w:val="auto"/>
        </w:rPr>
        <w:t>in the public domain, we may also seek to acquire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rights to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not available to us in the public domain by entering into contractual arrangements with third-parties.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Strategic Development and Commercialization of Drug Rescue Variants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believe many pharmaceutical companies are experiencing, and will continue to experience, critical research and development productivity issues, as measured by their lack of, or very low number of, FDA-approved products each year during the past decade. In 2013, the U.S. pharmaceutical industry invested over $51 billion in research and development, while the FDA only approved 34 new treatments, including 27 medications approved by the FDA’s Center for Drug Evaluation and Research (</w:t>
      </w:r>
      <w:r>
        <w:rPr>
          <w:rFonts w:ascii="Arial" w:cs="Arial" w:eastAsia="Arial" w:hAnsi="Arial"/>
          <w:sz w:val="12"/>
          <w:szCs w:val="12"/>
          <w:i w:val="1"/>
          <w:iCs w:val="1"/>
          <w:color w:val="auto"/>
        </w:rPr>
        <w:t>CDER</w:t>
      </w:r>
      <w:r>
        <w:rPr>
          <w:rFonts w:ascii="Arial" w:cs="Arial" w:eastAsia="Arial" w:hAnsi="Arial"/>
          <w:sz w:val="12"/>
          <w:szCs w:val="12"/>
          <w:color w:val="auto"/>
        </w:rPr>
        <w:t>). Considering CDER only approved an average of 26 medications per year between 2004 and 2012, we expect the disparity between annual spending on research and development by the U.S. pharmaceutical industry and the number of medications approved by CDER to continue.</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As a result of research and development productivity issues and diminishing product pipelines, as well as generic competition for established products that are no longer patent protected, we believe there is and will continue to be a critical need among pharmaceutical companies to acquire or in-license the new, potentially safer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are focused on developing, including companies that originally discovered, developed and ultimately discontinued the </w:t>
      </w:r>
      <w:r>
        <w:rPr>
          <w:rFonts w:ascii="Arial" w:cs="Arial" w:eastAsia="Arial" w:hAnsi="Arial"/>
          <w:sz w:val="12"/>
          <w:szCs w:val="12"/>
          <w:i w:val="1"/>
          <w:iCs w:val="1"/>
          <w:color w:val="auto"/>
        </w:rPr>
        <w:t xml:space="preserve">Drug Rescue Candidates </w:t>
      </w:r>
      <w:r>
        <w:rPr>
          <w:rFonts w:ascii="Arial" w:cs="Arial" w:eastAsia="Arial" w:hAnsi="Arial"/>
          <w:sz w:val="12"/>
          <w:szCs w:val="12"/>
          <w:color w:val="auto"/>
        </w:rPr>
        <w:t>we select for our drug rescue programs.</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Once we achieve proof-of-concept (</w:t>
      </w:r>
      <w:r>
        <w:rPr>
          <w:rFonts w:ascii="Arial" w:cs="Arial" w:eastAsia="Arial" w:hAnsi="Arial"/>
          <w:sz w:val="11"/>
          <w:szCs w:val="11"/>
          <w:i w:val="1"/>
          <w:iCs w:val="1"/>
          <w:color w:val="auto"/>
        </w:rPr>
        <w:t>POC</w:t>
      </w:r>
      <w:r>
        <w:rPr>
          <w:rFonts w:ascii="Arial" w:cs="Arial" w:eastAsia="Arial" w:hAnsi="Arial"/>
          <w:sz w:val="11"/>
          <w:szCs w:val="11"/>
          <w:color w:val="auto"/>
        </w:rPr>
        <w:t xml:space="preserve">)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as to the efficacy and safety of a lead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we intend to announce the results of our internal POC studies and, at that time, consider whether we will seek to out-license that </w:t>
      </w:r>
      <w:r>
        <w:rPr>
          <w:rFonts w:ascii="Arial" w:cs="Arial" w:eastAsia="Arial" w:hAnsi="Arial"/>
          <w:sz w:val="11"/>
          <w:szCs w:val="11"/>
          <w:i w:val="1"/>
          <w:iCs w:val="1"/>
          <w:color w:val="auto"/>
        </w:rPr>
        <w:t xml:space="preserve">Drug Rescue Variant </w:t>
      </w:r>
      <w:r>
        <w:rPr>
          <w:rFonts w:ascii="Arial" w:cs="Arial" w:eastAsia="Arial" w:hAnsi="Arial"/>
          <w:sz w:val="11"/>
          <w:szCs w:val="11"/>
          <w:color w:val="auto"/>
        </w:rPr>
        <w:t>to a pharmaceutical company, including, potentially, the company that developed the</w:t>
      </w:r>
      <w:r>
        <w:rPr>
          <w:rFonts w:ascii="Arial" w:cs="Arial" w:eastAsia="Arial" w:hAnsi="Arial"/>
          <w:sz w:val="11"/>
          <w:szCs w:val="11"/>
          <w:i w:val="1"/>
          <w:iCs w:val="1"/>
          <w:color w:val="auto"/>
        </w:rPr>
        <w:t xml:space="preserve"> Drug Rescue Candidate</w:t>
      </w:r>
      <w:r>
        <w:rPr>
          <w:rFonts w:ascii="Arial" w:cs="Arial" w:eastAsia="Arial" w:hAnsi="Arial"/>
          <w:sz w:val="11"/>
          <w:szCs w:val="11"/>
          <w:color w:val="auto"/>
        </w:rPr>
        <w:t>, or further develop it internally. If we decide to out-license a lead</w:t>
      </w:r>
      <w:r>
        <w:rPr>
          <w:rFonts w:ascii="Arial" w:cs="Arial" w:eastAsia="Arial" w:hAnsi="Arial"/>
          <w:sz w:val="11"/>
          <w:szCs w:val="11"/>
          <w:i w:val="1"/>
          <w:iCs w:val="1"/>
          <w:color w:val="auto"/>
        </w:rPr>
        <w:t xml:space="preserve"> Drug Rescue Variant </w:t>
      </w:r>
      <w:r>
        <w:rPr>
          <w:rFonts w:ascii="Arial" w:cs="Arial" w:eastAsia="Arial" w:hAnsi="Arial"/>
          <w:sz w:val="11"/>
          <w:szCs w:val="11"/>
          <w:color w:val="auto"/>
        </w:rPr>
        <w:t>to a pharmaceutical</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company, through a form of license arrangement we believe is generally accepted in the pharmaceutical industry, we anticipate that the pharmaceutical company will be responsible for all subsequent development, manufacturing, regulatory approval, marketing and sale of the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and that we will receive licensing revenue through payments to us from the license upon signing the license agreement, achievement of development and regulatory milestones, and, if approved and marketed, upon commercial sales, although no assurances can be given that the terms of such a beneficial arrangement will be available or offered to us.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5" w:name="page56"/>
    <w:bookmarkEnd w:id="55"/>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Regenerative Medicine and Drug Discovery</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Although we believe the best and most valuable near term commercial application of our stem cell technology platform,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is for small molecule drug rescue, we also believe stem cell technology-based regenerative medicine has the potential to transform healthcare in the U.S. over the next decade by altering the fundamental mechanisms of disease. Upon completion of this Offering, we intend to explore opportunities to leverage our stem cell technology platform for regenerative medicine purposes, with emphasis on developing novel human disease models for discovery of small molecule drugs with regenerative and therapeutic potential. Our regenerative medicine focus will be based on our expertise in human biology, differentiation of human pluripotent stem cells to develop functional adult human cells and tissues involved in human disease, including blood, bone, cartilage, heart, liver and insulin-producing pancreatic beta-islet cells, and our expertise in designingnovel, customized biological assay systems with the cells we produce. Upon completion of this Offering, among our key objectives will be to explore regenerative medicine opportunities through exploratory nonclinical POC studies, after which we intend to assess any potential opportunities for further development and commercialization of therapeutically and commercially promising regenerative medicine programs and novel, customized, disease-specific biological assay systems for drug discovery, either on our own or with strategic partners.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 for Neuropathic Pain, Epilepsy and Depression</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With $8.8 million of grant funding awarded from the U.S. National Institutes of Health (</w:t>
      </w:r>
      <w:r>
        <w:rPr>
          <w:rFonts w:ascii="Arial" w:cs="Arial" w:eastAsia="Arial" w:hAnsi="Arial"/>
          <w:sz w:val="11"/>
          <w:szCs w:val="11"/>
          <w:i w:val="1"/>
          <w:iCs w:val="1"/>
          <w:color w:val="auto"/>
        </w:rPr>
        <w:t>NIH</w:t>
      </w:r>
      <w:r>
        <w:rPr>
          <w:rFonts w:ascii="Arial" w:cs="Arial" w:eastAsia="Arial" w:hAnsi="Arial"/>
          <w:sz w:val="11"/>
          <w:szCs w:val="11"/>
          <w:color w:val="auto"/>
        </w:rPr>
        <w:t>), we have successfully completed Phase 1 development of AV-101. AV-101, also known as “L-4-chlorokynurenine” and “4-Cl-KYN”, is an orally-available, non-sedating small molecule prodrug candidate aimed at the multi-billion dollar neurological disease and disorders market, including neuropathic pain, a serious and chronic condition causing pain after an injury or disease of the peripheral or central nervous system, epilepsy, depression and Parkinson’s disease. Our AV-101 IND application on file at the FDA covers clinical development for neuropathic pain. However, we believe the Phase 1 AV-101 safety studies we have completed to date will support development of AV-101 for multiple indications, including epilepsy, depression and Parkinson’s disease. Upon completion of this Offering, we intend to seek potential opportunities for further clinical development and commercialization of AV-101 for neuropathic pain, epilepsy, depression and Parkinson’s disease, either on our own or through one strategic partnering arrangements. In the event that we successfully complete one or more strategic partnering arrangements for AV-101, we plan to use the net proceeds from such arrangement(s) to expand our stem cell technology-based drug rescue and regenerative medicine programs.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Scientific Background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Stem Cell Basics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Stem cells are the building blocks of all cells of the human body. They have the potential to develop into many different mature cell types. Stem cells are defined by a minimum of two key characteristics: (1) their capacity to self-renew, or divide in a way that results in more stem cells; and (2)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125"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Human pluripotent stem cells (hPSCs)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6" w:name="page57"/>
    <w:bookmarkEnd w:id="56"/>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Human pluripotent stem cells are either embryonic stem cells (</w:t>
      </w:r>
      <w:r>
        <w:rPr>
          <w:rFonts w:ascii="Arial" w:cs="Arial" w:eastAsia="Arial" w:hAnsi="Arial"/>
          <w:sz w:val="12"/>
          <w:szCs w:val="12"/>
          <w:i w:val="1"/>
          <w:iCs w:val="1"/>
          <w:color w:val="auto"/>
        </w:rPr>
        <w:t>hESCs</w:t>
      </w:r>
      <w:r>
        <w:rPr>
          <w:rFonts w:ascii="Arial" w:cs="Arial" w:eastAsia="Arial" w:hAnsi="Arial"/>
          <w:sz w:val="12"/>
          <w:szCs w:val="12"/>
          <w:color w:val="auto"/>
        </w:rPr>
        <w:t>) or induced pluripotent stem cells (</w:t>
      </w:r>
      <w:r>
        <w:rPr>
          <w:rFonts w:ascii="Arial" w:cs="Arial" w:eastAsia="Arial" w:hAnsi="Arial"/>
          <w:sz w:val="12"/>
          <w:szCs w:val="12"/>
          <w:i w:val="1"/>
          <w:iCs w:val="1"/>
          <w:color w:val="auto"/>
        </w:rPr>
        <w:t>iPSCs</w:t>
      </w:r>
      <w:r>
        <w:rPr>
          <w:rFonts w:ascii="Arial" w:cs="Arial" w:eastAsia="Arial" w:hAnsi="Arial"/>
          <w:sz w:val="12"/>
          <w:szCs w:val="12"/>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these mature cells as the basis to design and develop our novel, customized bioassay systems to test the safety and efficacy of new drug candidates </w:t>
      </w:r>
      <w:r>
        <w:rPr>
          <w:rFonts w:ascii="Arial" w:cs="Arial" w:eastAsia="Arial" w:hAnsi="Arial"/>
          <w:sz w:val="12"/>
          <w:szCs w:val="12"/>
          <w:i w:val="1"/>
          <w:iCs w:val="1"/>
          <w:color w:val="auto"/>
        </w:rPr>
        <w:t>in vitro</w:t>
      </w:r>
      <w:r>
        <w:rPr>
          <w:rFonts w:ascii="Arial" w:cs="Arial" w:eastAsia="Arial" w:hAnsi="Arial"/>
          <w:sz w:val="12"/>
          <w:szCs w:val="12"/>
          <w:color w:val="auto"/>
        </w:rPr>
        <w:t>. These cells also have potential for diverse regenerative medicine applications.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Human Embryonic Stem Cells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According to the NIH, human embryonic stem cells are derived from excess embryos that develop from eggs that have been fertilized in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fertilization (</w:t>
      </w:r>
      <w:r>
        <w:rPr>
          <w:rFonts w:ascii="Arial" w:cs="Arial" w:eastAsia="Arial" w:hAnsi="Arial"/>
          <w:sz w:val="12"/>
          <w:szCs w:val="12"/>
          <w:i w:val="1"/>
          <w:iCs w:val="1"/>
          <w:color w:val="auto"/>
        </w:rPr>
        <w:t>IVF</w:t>
      </w:r>
      <w:r>
        <w:rPr>
          <w:rFonts w:ascii="Arial" w:cs="Arial" w:eastAsia="Arial" w:hAnsi="Arial"/>
          <w:sz w:val="12"/>
          <w:szCs w:val="12"/>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123"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Human embryonic stem cells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Induced Pluripotent Stem Cells</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It is also possible to obtain hPSC lines from individuals without the use of embryos. Induced pluripotent stem cells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Although there are remaining questions in the field about the lifespan, clinical utility and safety of iPSCs, we believe the biology and differentiation capabilities of hESCs and iPSCs are likely to be comparable for drug rescue purposes.</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There are, however, specific situations in which we may prefer to use one or the other type of hPSC. For example, we may prefer to use iPSCs for potential drug discovery applications based on the relative ease of generating iPSCs from:</w:t>
      </w:r>
    </w:p>
    <w:p>
      <w:pPr>
        <w:spacing w:after="0" w:line="164" w:lineRule="exact"/>
        <w:rPr>
          <w:sz w:val="20"/>
          <w:szCs w:val="20"/>
          <w:color w:val="auto"/>
        </w:rPr>
      </w:pPr>
    </w:p>
    <w:p>
      <w:pPr>
        <w:ind w:left="560" w:hanging="316"/>
        <w:spacing w:after="0"/>
        <w:tabs>
          <w:tab w:leader="none" w:pos="5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individuals with specific inheritable diseases and conditions that predispose the individual to respond differently to drugs; or</w:t>
      </w:r>
    </w:p>
    <w:p>
      <w:pPr>
        <w:spacing w:after="0" w:line="150" w:lineRule="exact"/>
        <w:rPr>
          <w:rFonts w:ascii="Arial" w:cs="Arial" w:eastAsia="Arial" w:hAnsi="Arial"/>
          <w:sz w:val="12"/>
          <w:szCs w:val="12"/>
          <w:color w:val="auto"/>
        </w:rPr>
      </w:pPr>
    </w:p>
    <w:p>
      <w:pPr>
        <w:ind w:left="560" w:hanging="316"/>
        <w:spacing w:after="0"/>
        <w:tabs>
          <w:tab w:leader="none" w:pos="5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individuals with specific variations in genes that directly affect drug levels in the body or alter the manner or efficiency of their metabolism, breakdown and/or elimination of drugs.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7" w:name="page58"/>
    <w:bookmarkEnd w:id="57"/>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Proprietary Stem Cell Differentiation Protocols</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Over fifteen years of research, together with Dr. Gordon Keller, our co-founder and Chair of our Scientific Advisory Board, we have developed proprietary differentiation protocols covering key conditions involved in the differentiation of hPSCs into multiple types of mature human cells. The human cells generated by following these proprietary differentiation protocols are integral to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We believe they support more clinically-predictive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systems than animal testing or cellular assays currently used in drug discovery and development. Our strategic technology licenses from National Jewish Health in Denver, the Icahn School of Medicine at Mount Sinai in New York and the University Health Network in Toronto relate to proprietary stem cell differentiation protocols developed by Dr. Keller and involve precisely-coordinated temporal and quantitative conditions and interaction of biological molecules including the following:</w:t>
      </w:r>
    </w:p>
    <w:p>
      <w:pPr>
        <w:spacing w:after="0" w:line="126" w:lineRule="exact"/>
        <w:rPr>
          <w:sz w:val="20"/>
          <w:szCs w:val="20"/>
          <w:color w:val="auto"/>
        </w:rPr>
      </w:pPr>
    </w:p>
    <w:p>
      <w:pPr>
        <w:ind w:left="600" w:hanging="338"/>
        <w:spacing w:after="0"/>
        <w:tabs>
          <w:tab w:leader="none" w:pos="6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specific growth and differentiation factors used in the tissue culture medium, applied in specific combinations, at critical concentrations, and at critical times unique to each desired human cell type;</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experimentally controlled regulation of developmental genes, which is critical for determining what differentiation path a human cell will take; and</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28"/>
        </w:numPr>
        <w:rPr>
          <w:rFonts w:ascii="Arial" w:cs="Arial" w:eastAsia="Arial" w:hAnsi="Arial"/>
          <w:sz w:val="11"/>
          <w:szCs w:val="11"/>
          <w:color w:val="auto"/>
        </w:rPr>
      </w:pPr>
      <w:r>
        <w:rPr>
          <w:rFonts w:ascii="Arial" w:cs="Arial" w:eastAsia="Arial" w:hAnsi="Arial"/>
          <w:sz w:val="11"/>
          <w:szCs w:val="11"/>
          <w:color w:val="auto"/>
        </w:rPr>
        <w:t>biological markers characteristic of precursor cells, which are committed to becoming specific human cells and tissues, and which can be used to identify, enrich and purify the desired mature human cell type.</w:t>
      </w:r>
    </w:p>
    <w:p>
      <w:pPr>
        <w:spacing w:after="0" w:line="16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We believe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will allow us to assess the toxicity profile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other new drug candidates for a wide range of diseases and conditions with greater speed and precision than nonclinical surrogate safety models most often currently used in drug development.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Growth Factors that Direct and Stimulate the Differentiation Process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The proprietary and licensed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allow us to direct and stimulate the differentiation process of hPSCs. As an example, for hESCs, the epiblast is the first stage in differentiation. One biological factor that controls the first fate decision of the epiblast is the relative concentrations of serum growth factors and activin, a protein involved in early differentiation and many cell fate decisions. Substituting explicit amounts of defined growth factors in place of ill-defined animal serum, and adding the optimal amount of activin is an important step in inducing the reproducible development of functional cells and, in our view, is essential for the development of a robust, efficient, and reproducible model of human cellular differentiation suitable for drug rescue. The use of activin in these applications is core to many of the claims in the patent applications underlying our licensed hPSC technology. Replacing activin with continuous exposure to ill-defined and variable animal serum results in an inefficient and variable differentiation of the human heart, liver, blood and cells of other organs. See “Intellectual Property – Icahn School of Medicine at Mount Sinai Exclusive Licenses.”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addition to activin, Dr. Keller’s studies have identified a number of other growth and developmental factors that play important roles in the differentiation of hESCs. Some of the patents and patent applications underlying our licensed hPSC technology are directed to the use of a variety of specific growth factors that increase the efficiency (yield) and reproducibility of the hPSC differentiation process. We have exclusive rights to certain patents and patent applications with claims relating to growth factor concentrations for hESC differentiation that we believe are core and essential for drug rescue and development. See “Intellectual Property – Icahn School of Medicine at Mount Sinai Exclusive Licenses” and “National Jewish Health Exclusive Licenses.”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8" w:name="page59"/>
    <w:bookmarkEnd w:id="58"/>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Developmental Genes that Direct and Stimulate the Stem Cell Differentiation Process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For the purpose of creating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we further control the differentiation process by controlling regulation of key developmental genes. By studying natural organ and tissue development, researchers have identified many genes that are critical to the normal differentiation, growth and functioning of tissues of the body. We engineer hESCs in a way that enables us to regulate genes that have been identified as critical to control and direct the normal development of specific types of cells. We can then mimic human biology in a way that allows us to turn on and off the expression of a selected gene by the addition of a specific compound to a culture medium. By adding specific compounds, we have the ability to influence the expression of key genes that are critically important to the normal biology of the cell.</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Cell Purification Approaches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proprietary protocols we have licensed and developed internally for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also establish specific marker genes and proteins which can be used to identify, enrich, purify, and study important populations of intermediate precursor cells that have made specific fate decisions and are on a specific developmental pathway towards a certain type of functionally mature cell. These proprietary protocols enable a significant increase in the efficiency, reproducibility, and purity of final cell populations. For example, we are able to isolate millions of purified specific precursor cells which, together with a specific combination of growth factors, develop full culture wells of functional, beating human cardiomyocytes. Due to their functionality and purity, we believe these cell cultures are ideal for drug rescue.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3D “Micro-Organ” Culture Systems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In addition to standard two-dimensional (2D) cultures which work well for some cell types and cellular assays, the proprietary hPSC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enable us to grow large numbers of normal, non-transformed, mature human cells to produce novel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3D “micro-organ” culture systems. For example, for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we grow large numbers of normal, non-transformed, human heart cells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 3D micro-organ culture systems. The 3D micro-organ cultures induce the cells to grow, mature, and develop 3D cell networks and tissue structures. We believe these 3D cell networks and structures more accurately reflect the structures and biology inside the human body than traditional flat, 2D, single cell layers grown on plastic, that are widely used by pharmaceutical companies today. We believe that the more representative human biology afforded by the 3D system will yield responses to drug candidates that are more predictive of human drug responses.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Medicinal Chemistry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Medicinal chemistry involves designing, synthesizing, or modifying a small molecule compound or drug suitable for clinical development. It is a highly interdisciplinary science combining organic chemistry, biochemistry, physical chemistry, computational chemistry, pharmacology, and statistics. The combination of medicinal chemistry with the proprietary and licensed hPSC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are core components of our drug rescue business model. Working with our strategic contract medicinal chemistry partner, Synterys, Inc., we are focused on using our stem cell biology to generate a pipeline of effective and safe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Variants </w:t>
      </w:r>
      <w:r>
        <w:rPr>
          <w:rFonts w:ascii="Arial" w:cs="Arial" w:eastAsia="Arial" w:hAnsi="Arial"/>
          <w:sz w:val="12"/>
          <w:szCs w:val="12"/>
          <w:color w:val="auto"/>
        </w:rPr>
        <w:t>of once-promising company drug candidates in a more efficient and cost-effective manner than the processes currently used for drug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limitations of current preclinical drug testing systems used by pharmaceutical companies contribute to the high failure rate of drug candidates. According to articles published in the Journal of Applied Toxicology, Stem Cell Research and Current Opinion in Cardiology, unexpected cardiotoxicity is one of the top two major safety-related reasons for failure of both drugs and drug candidates. Incorporating human pluripotent stem cell-derived cardiomyocyte (hPSC-CM) assays early in preclinical development offers the potential to improve clinical predictability, decrease rescue and development costs, and avoid adverse patient effects, late-stage clinical termination, and product recall from the market.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9" w:name="page60"/>
    <w:bookmarkEnd w:id="59"/>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With our proprietary human pluripotent stem cell technology, we can generate fully-functional hPSC-CMs at a high level of purity (&gt;95%), without genetic modification or antibiotic selection. This is important because genetic modification and antibiotic selection can distort the ratio of cardiac cell types and have a direct impact on the ultimate results and clinical predictivity of the assay. In addition to expressing all of the key ion channels of the human heart (calcium, potassium and sodium) and various cardiomyocytic markers of the human heart, our hPSC-CMs function reliably in all cardiac toxicity assays relevant to cardiac drug effects developed and tested to date.</w:t>
      </w:r>
    </w:p>
    <w:p>
      <w:pPr>
        <w:spacing w:after="0" w:line="123"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 xml:space="preserve">Utilizing fully functional hPSC-CMs that underlie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we have validated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to screen for both cardiomyopathy (or direct cardiomyocyte cytotoxicity) and arrhythmogenesis (or development of irregular beating patterns).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sensitive, stable, reproducible and capable of generating data enabling a more accurate prediction of the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cardiac effects of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Variants </w:t>
      </w:r>
      <w:r>
        <w:rPr>
          <w:rFonts w:ascii="Arial" w:cs="Arial" w:eastAsia="Arial" w:hAnsi="Arial"/>
          <w:sz w:val="12"/>
          <w:szCs w:val="12"/>
          <w:color w:val="auto"/>
        </w:rPr>
        <w:t>and other new drug candidates than is possible with existing preclinical testing systems.</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We have developed and validated two functional components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screening system to assess multiple categories of cardiac toxicities. The first consists of a suite of five fluorescence or luminescence based high-throughput hPSC-CM assays. These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assays measure drug-induced cardiomyopathy, including the following:</w:t>
      </w:r>
    </w:p>
    <w:p>
      <w:pPr>
        <w:spacing w:after="0" w:line="133" w:lineRule="exact"/>
        <w:rPr>
          <w:sz w:val="20"/>
          <w:szCs w:val="20"/>
          <w:color w:val="auto"/>
        </w:rPr>
      </w:pPr>
    </w:p>
    <w:p>
      <w:pPr>
        <w:ind w:left="1120" w:hanging="155"/>
        <w:spacing w:after="0"/>
        <w:tabs>
          <w:tab w:leader="none" w:pos="11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cell viability;</w:t>
      </w:r>
    </w:p>
    <w:p>
      <w:pPr>
        <w:spacing w:after="0" w:line="14" w:lineRule="exact"/>
        <w:rPr>
          <w:rFonts w:ascii="Arial" w:cs="Arial" w:eastAsia="Arial" w:hAnsi="Arial"/>
          <w:sz w:val="12"/>
          <w:szCs w:val="12"/>
          <w:color w:val="auto"/>
        </w:rPr>
      </w:pPr>
    </w:p>
    <w:p>
      <w:pPr>
        <w:ind w:left="1120" w:hanging="155"/>
        <w:spacing w:after="0"/>
        <w:tabs>
          <w:tab w:leader="none" w:pos="11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apoptosis;</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mitochondrial membrane depolarization;</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oxidative stress; and</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energy metabolism disruption.</w:t>
      </w:r>
    </w:p>
    <w:p>
      <w:pPr>
        <w:spacing w:after="0" w:line="159"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These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biological assays were correlated to reported clinical results using reference compounds known to be cardiotoxic in humans versus compounds known to be safe in humans. These reference compounds were representative of eight different drug classes, including:</w:t>
      </w:r>
    </w:p>
    <w:p>
      <w:pPr>
        <w:spacing w:after="0" w:line="133" w:lineRule="exact"/>
        <w:rPr>
          <w:sz w:val="20"/>
          <w:szCs w:val="20"/>
          <w:color w:val="auto"/>
        </w:rPr>
      </w:pPr>
    </w:p>
    <w:p>
      <w:pPr>
        <w:ind w:left="1120" w:hanging="155"/>
        <w:spacing w:after="0"/>
        <w:tabs>
          <w:tab w:leader="none" w:pos="11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Ion channel blockers: amiodarone, nifedipine;</w:t>
      </w:r>
    </w:p>
    <w:p>
      <w:pPr>
        <w:spacing w:after="0" w:line="14" w:lineRule="exact"/>
        <w:rPr>
          <w:rFonts w:ascii="Arial" w:cs="Arial" w:eastAsia="Arial" w:hAnsi="Arial"/>
          <w:sz w:val="12"/>
          <w:szCs w:val="12"/>
          <w:color w:val="auto"/>
        </w:rPr>
      </w:pPr>
    </w:p>
    <w:p>
      <w:pPr>
        <w:ind w:left="1120" w:hanging="155"/>
        <w:spacing w:after="0"/>
        <w:tabs>
          <w:tab w:leader="none" w:pos="11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hERG trafficking blockers: pentamidine, amoxapine;</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α-1 adrenoreceptors: doxazosin;</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Protein and DNA synthesis inhibitors: emetine;</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DNA intercalating agents: doxorubicin;</w:t>
      </w:r>
    </w:p>
    <w:p>
      <w:pPr>
        <w:spacing w:after="0" w:line="6" w:lineRule="exact"/>
        <w:rPr>
          <w:rFonts w:ascii="Arial" w:cs="Arial" w:eastAsia="Arial" w:hAnsi="Arial"/>
          <w:sz w:val="12"/>
          <w:szCs w:val="12"/>
          <w:color w:val="auto"/>
        </w:rPr>
      </w:pPr>
    </w:p>
    <w:p>
      <w:pPr>
        <w:ind w:left="1100" w:hanging="135"/>
        <w:spacing w:after="0"/>
        <w:tabs>
          <w:tab w:leader="none" w:pos="11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Antibiotics: ampicillin, cefazolin;</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NSAID: aspirin; and</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Kinase inhibitors: staurosporine.</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This suite of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assays provided measurement of cardiac drug effects with high sensitivity that are consistent with the expected cardiac responses to each of these compounds. Based on our results, we believe our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assays provide valuable and more comprehensive bioanalytical tools for both assessing the effects of pharmaceutical compounds on cardiac cytotoxicity and for elucidating the specific mechanisms of cardiac toxicity,</w:t>
      </w:r>
      <w:r>
        <w:rPr>
          <w:rFonts w:ascii="Arial" w:cs="Arial" w:eastAsia="Arial" w:hAnsi="Arial"/>
          <w:sz w:val="12"/>
          <w:szCs w:val="12"/>
          <w:i w:val="1"/>
          <w:iCs w:val="1"/>
          <w:color w:val="auto"/>
        </w:rPr>
        <w:t xml:space="preserve"> </w:t>
      </w:r>
      <w:r>
        <w:rPr>
          <w:rFonts w:ascii="Arial" w:cs="Arial" w:eastAsia="Arial" w:hAnsi="Arial"/>
          <w:sz w:val="12"/>
          <w:szCs w:val="12"/>
          <w:color w:val="auto"/>
        </w:rPr>
        <w:t>thereby laying what we believe is a solid foundation for our drug rescue programs.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The other component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is a sensitive and reliable medium throughput multi-electrode array (</w:t>
      </w:r>
      <w:r>
        <w:rPr>
          <w:rFonts w:ascii="Arial" w:cs="Arial" w:eastAsia="Arial" w:hAnsi="Arial"/>
          <w:sz w:val="12"/>
          <w:szCs w:val="12"/>
          <w:i w:val="1"/>
          <w:iCs w:val="1"/>
          <w:color w:val="auto"/>
        </w:rPr>
        <w:t>MEA</w:t>
      </w:r>
      <w:r>
        <w:rPr>
          <w:rFonts w:ascii="Arial" w:cs="Arial" w:eastAsia="Arial" w:hAnsi="Arial"/>
          <w:sz w:val="12"/>
          <w:szCs w:val="12"/>
          <w:color w:val="auto"/>
        </w:rPr>
        <w:t xml:space="preserve">) assay developed to predict drug-induced alterations of electrophysiological function of the human heart. We have validated (correlated with reported clinical results) this key component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with twelve drugs, each with known toxic or non-toxic cardiac effects in humans. These twelve validation compounds are as follows:</w:t>
      </w:r>
    </w:p>
    <w:p>
      <w:pPr>
        <w:spacing w:after="0" w:line="123" w:lineRule="exact"/>
        <w:rPr>
          <w:sz w:val="20"/>
          <w:szCs w:val="20"/>
          <w:color w:val="auto"/>
        </w:rPr>
      </w:pPr>
    </w:p>
    <w:p>
      <w:pPr>
        <w:ind w:left="1600" w:hanging="146"/>
        <w:spacing w:after="0"/>
        <w:tabs>
          <w:tab w:leader="none" w:pos="16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One FDA-approved drug (aspirin) without cardiac liability to serve as a negative control;</w:t>
      </w:r>
    </w:p>
    <w:p>
      <w:pPr>
        <w:spacing w:after="0" w:line="14" w:lineRule="exact"/>
        <w:rPr>
          <w:rFonts w:ascii="Arial" w:cs="Arial" w:eastAsia="Arial" w:hAnsi="Arial"/>
          <w:sz w:val="12"/>
          <w:szCs w:val="12"/>
          <w:color w:val="auto"/>
        </w:rPr>
      </w:pPr>
    </w:p>
    <w:p>
      <w:pPr>
        <w:ind w:left="1600" w:hanging="146"/>
        <w:spacing w:after="0" w:line="187" w:lineRule="auto"/>
        <w:tabs>
          <w:tab w:leader="none" w:pos="1600" w:val="left"/>
        </w:tabs>
        <w:numPr>
          <w:ilvl w:val="0"/>
          <w:numId w:val="31"/>
        </w:numPr>
        <w:rPr>
          <w:rFonts w:ascii="Arial" w:cs="Arial" w:eastAsia="Arial" w:hAnsi="Arial"/>
          <w:sz w:val="24"/>
          <w:szCs w:val="24"/>
          <w:color w:val="auto"/>
          <w:vertAlign w:val="superscript"/>
        </w:rPr>
      </w:pPr>
      <w:r>
        <w:rPr>
          <w:rFonts w:ascii="Arial" w:cs="Arial" w:eastAsia="Arial" w:hAnsi="Arial"/>
          <w:sz w:val="12"/>
          <w:szCs w:val="12"/>
          <w:color w:val="auto"/>
        </w:rPr>
        <w:t>Five FDA-approved drugs (astemizole, sotalol, cisapride, terfenadine and sertindole) that were withdrawn from the market due to heart toxicity concerns;</w:t>
      </w:r>
    </w:p>
    <w:p>
      <w:pPr>
        <w:spacing w:after="0" w:line="74" w:lineRule="exact"/>
        <w:rPr>
          <w:rFonts w:ascii="Arial" w:cs="Arial" w:eastAsia="Arial" w:hAnsi="Arial"/>
          <w:sz w:val="24"/>
          <w:szCs w:val="24"/>
          <w:color w:val="auto"/>
          <w:vertAlign w:val="superscript"/>
        </w:rPr>
      </w:pPr>
    </w:p>
    <w:p>
      <w:pPr>
        <w:ind w:left="1600" w:hanging="146"/>
        <w:spacing w:after="0" w:line="249" w:lineRule="auto"/>
        <w:tabs>
          <w:tab w:leader="none" w:pos="16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Five FDA-approved drugs (fexofenadine, nifedipine, verapamil, lidocaine and propranolol) that have certain measurable clinical non-toxic cardiac effects. Note: fexofenadine is a non-cardiotoxic drug variant of terfenadine; and</w:t>
      </w:r>
    </w:p>
    <w:p>
      <w:pPr>
        <w:ind w:left="1600" w:hanging="146"/>
        <w:spacing w:after="0" w:line="187" w:lineRule="auto"/>
        <w:tabs>
          <w:tab w:leader="none" w:pos="1600" w:val="left"/>
        </w:tabs>
        <w:numPr>
          <w:ilvl w:val="0"/>
          <w:numId w:val="31"/>
        </w:numPr>
        <w:rPr>
          <w:rFonts w:ascii="Arial" w:cs="Arial" w:eastAsia="Arial" w:hAnsi="Arial"/>
          <w:sz w:val="24"/>
          <w:szCs w:val="24"/>
          <w:color w:val="auto"/>
          <w:vertAlign w:val="superscript"/>
        </w:rPr>
      </w:pPr>
      <w:r>
        <w:rPr>
          <w:rFonts w:ascii="Arial" w:cs="Arial" w:eastAsia="Arial" w:hAnsi="Arial"/>
          <w:sz w:val="12"/>
          <w:szCs w:val="12"/>
          <w:color w:val="auto"/>
        </w:rPr>
        <w:t>One research compound (E-4031) failed in Phase I human clinical study before being discontinued due to heart toxicity concerns.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0" w:name="page61"/>
    <w:bookmarkEnd w:id="60"/>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We have validated that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MEA assay was reproducible and consistent with the known human cardiac effects of all the twelve compounds studied, based on the mechanisms of action and dosage of the compounds. For instance, by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we were able to distinguish between the cardiac effects of terfenadine (SeldaneTM), withdrawn by the FDA due to cardiotoxicity, and the cardiac effects of the close structurally related fexofenadine (AllegraTM), the non-cardiotoxic chemical variant of terfenadine, which remains on the market. Our validation data suggest that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provides valuable and more comprehensive bioanalytical tools for preclinical cardiac safety screening, which we believe will contribute to the efficient and rapid identification of novel, potentially safer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in our drug rescue programs.</w:t>
      </w:r>
    </w:p>
    <w:p>
      <w:pPr>
        <w:spacing w:after="0" w:line="10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To further evaluate the potential of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to predict cardiac toxicity of drug candidates, including </w:t>
      </w:r>
      <w:r>
        <w:rPr>
          <w:rFonts w:ascii="Arial" w:cs="Arial" w:eastAsia="Arial" w:hAnsi="Arial"/>
          <w:sz w:val="11"/>
          <w:szCs w:val="11"/>
          <w:i w:val="1"/>
          <w:iCs w:val="1"/>
          <w:color w:val="auto"/>
        </w:rPr>
        <w:t>Drug Rescue Variants</w:t>
      </w:r>
      <w:r>
        <w:rPr>
          <w:rFonts w:ascii="Arial" w:cs="Arial" w:eastAsia="Arial" w:hAnsi="Arial"/>
          <w:sz w:val="11"/>
          <w:szCs w:val="11"/>
          <w:color w:val="auto"/>
        </w:rPr>
        <w:t>, we have assessed cardiac effects induced by small molecule kinase inhibitors (</w:t>
      </w:r>
      <w:r>
        <w:rPr>
          <w:rFonts w:ascii="Arial" w:cs="Arial" w:eastAsia="Arial" w:hAnsi="Arial"/>
          <w:sz w:val="11"/>
          <w:szCs w:val="11"/>
          <w:i w:val="1"/>
          <w:iCs w:val="1"/>
          <w:color w:val="auto"/>
        </w:rPr>
        <w:t>KI</w:t>
      </w:r>
      <w:r>
        <w:rPr>
          <w:rFonts w:ascii="Arial" w:cs="Arial" w:eastAsia="Arial" w:hAnsi="Arial"/>
          <w:sz w:val="11"/>
          <w:szCs w:val="11"/>
          <w:color w:val="auto"/>
        </w:rPr>
        <w:t>s), which belong to a new category of drugs that have revolutionized cancer therapy due to decreased systemic toxicity and an increased tumor cell specific effect compared to classic cancer drugs. Since 1998, the FDA has approved eighteen small molecule KIs for cancer therapy. However, many of these FDA-approved KIs have been implicated in causing serious adverse cardiac events in patients which were not identified during drug development.</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In our KI-induced cardiotoxicity study, we evaluated well-known anti-cancer KIs with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some of which are FDA-approved and have been documented as cardiotoxic. This important validation set of anti-cancer KI compounds is as follows:</w:t>
      </w:r>
    </w:p>
    <w:p>
      <w:pPr>
        <w:spacing w:after="0" w:line="115" w:lineRule="exact"/>
        <w:rPr>
          <w:sz w:val="20"/>
          <w:szCs w:val="20"/>
          <w:color w:val="auto"/>
        </w:rPr>
      </w:pPr>
    </w:p>
    <w:p>
      <w:pPr>
        <w:ind w:left="960" w:hanging="428"/>
        <w:spacing w:after="0"/>
        <w:tabs>
          <w:tab w:leader="none" w:pos="9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Inhibitors to growth factor receptors: sunitinib, axitinib, imatinib, dasatinib, sorafenib, erlotinib, lapatinib, tyrphostin and AG1478;</w:t>
      </w:r>
    </w:p>
    <w:p>
      <w:pPr>
        <w:spacing w:after="0" w:line="14" w:lineRule="exact"/>
        <w:rPr>
          <w:rFonts w:ascii="Arial" w:cs="Arial" w:eastAsia="Arial" w:hAnsi="Arial"/>
          <w:sz w:val="12"/>
          <w:szCs w:val="12"/>
          <w:color w:val="auto"/>
        </w:rPr>
      </w:pPr>
    </w:p>
    <w:p>
      <w:pPr>
        <w:ind w:left="960" w:hanging="428"/>
        <w:spacing w:after="0"/>
        <w:tabs>
          <w:tab w:leader="none" w:pos="9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Inhibitors to the mTOR pathway: everolimus, temsirolimus;</w:t>
      </w:r>
    </w:p>
    <w:p>
      <w:pPr>
        <w:spacing w:after="0" w:line="6" w:lineRule="exact"/>
        <w:rPr>
          <w:rFonts w:ascii="Arial" w:cs="Arial" w:eastAsia="Arial" w:hAnsi="Arial"/>
          <w:sz w:val="12"/>
          <w:szCs w:val="12"/>
          <w:color w:val="auto"/>
        </w:rPr>
      </w:pPr>
    </w:p>
    <w:p>
      <w:pPr>
        <w:ind w:left="960" w:hanging="428"/>
        <w:spacing w:after="0"/>
        <w:tabs>
          <w:tab w:leader="none" w:pos="9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Inhibitors to cell cycle regulators: tozasertib, barasertib, alvocidib;</w:t>
      </w:r>
    </w:p>
    <w:p>
      <w:pPr>
        <w:spacing w:after="0" w:line="6" w:lineRule="exact"/>
        <w:rPr>
          <w:rFonts w:ascii="Arial" w:cs="Arial" w:eastAsia="Arial" w:hAnsi="Arial"/>
          <w:sz w:val="12"/>
          <w:szCs w:val="12"/>
          <w:color w:val="auto"/>
        </w:rPr>
      </w:pPr>
    </w:p>
    <w:p>
      <w:pPr>
        <w:ind w:left="960" w:hanging="428"/>
        <w:spacing w:after="0"/>
        <w:tabs>
          <w:tab w:leader="none" w:pos="9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Inhibitors to the PI3K pathway : perifosine, LY294002, XL765;</w:t>
      </w:r>
    </w:p>
    <w:p>
      <w:pPr>
        <w:spacing w:after="0" w:line="6" w:lineRule="exact"/>
        <w:rPr>
          <w:rFonts w:ascii="Arial" w:cs="Arial" w:eastAsia="Arial" w:hAnsi="Arial"/>
          <w:sz w:val="12"/>
          <w:szCs w:val="12"/>
          <w:color w:val="auto"/>
        </w:rPr>
      </w:pPr>
    </w:p>
    <w:p>
      <w:pPr>
        <w:ind w:left="960" w:hanging="428"/>
        <w:spacing w:after="0"/>
        <w:tabs>
          <w:tab w:leader="none" w:pos="9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Inhibitors to the MEK pathway: PD325901, AZD6264; and</w:t>
      </w:r>
    </w:p>
    <w:p>
      <w:pPr>
        <w:spacing w:after="0" w:line="6" w:lineRule="exact"/>
        <w:rPr>
          <w:rFonts w:ascii="Arial" w:cs="Arial" w:eastAsia="Arial" w:hAnsi="Arial"/>
          <w:sz w:val="12"/>
          <w:szCs w:val="12"/>
          <w:color w:val="auto"/>
        </w:rPr>
      </w:pPr>
    </w:p>
    <w:p>
      <w:pPr>
        <w:ind w:left="960" w:hanging="428"/>
        <w:spacing w:after="0"/>
        <w:tabs>
          <w:tab w:leader="none" w:pos="9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Inhibitors to the JAK and other pathways: lestaurtinib.</w:t>
      </w:r>
    </w:p>
    <w:p>
      <w:pPr>
        <w:spacing w:after="0" w:line="159"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 xml:space="preserve">Our validation data indicate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successfully detected cardiotoxicity induced by each of the representative compounds, cardiotoxicity associated with clinical adverse cardiac events, in each of the foregoing six different KI categories.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is able to distinguish between cardiotoxic and safe compounds, and even as between those compounds which inhibit the same kinase pathways. For instance, both sunitinib and axitinib inhibit VEGFR, PDGFR and c-Kit pathways, and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assays indicate that sunitinib is cardiotoxic and axitinib is safe, which is consistent with the reported clinical outcomes.</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Furthermore, the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profile of each KI provided clues to the potential mechanism(s) causing cardiotoxicity. For example, cardiotoxicity induced by perifosine showed apoptotic responses at lower concentrations, while imatinib was most active in the oxidative stress assays. In addition, no cardiac toxicity or alteration in electrophysiology was detected with drugs that do not have a cardiac liability, emphasizing the specificity of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Having information on the pathways associated with the cardiotoxic effects of compounds provides important clues for novel medicinal chemistry approaches and compound modifications for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drug rescue programs.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enables the sensitive measurement of drug effects with results that are consistent with reported clinical responses to the compounds. For example, our data indicated that sunitinib and dasatinib caused QT prolongation, arrhythmia, and/or altered contraction rates in hPSC-CMs, which are consistent with clinical observations.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1" w:name="page62"/>
    <w:bookmarkEnd w:id="61"/>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We believe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correlation data demonstrated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will improve clinical predictivity as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helping not only to identify potential cardiac toxicities early in development, but also to discover important potential mechanisms of cardiotoxicity. We believe the results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studies indicate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may be effectively used to identify novel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with reduced heart toxicity. By providing more accurate and timely indications of alterations in electrophysiological activity, as well as direct heart toxicity of drug candidates, than animal models or cellular assay systems currently used by pharmaceutical companies, we believe the results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studies support the central premise of our drug rescue business model: by using our hPSC-derived human heart and liver cell bioassay systems at the front end of the drug development process, we have the opportunity to take advantage of substantial prior investment by pharmaceutical companies and others in drug discovery and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efficacy optimization of once and still-promising drug candidates that have been terminated prior to FDA approval due to unexpected heart or liver toxicity concerns.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LiverSafe </w:t>
      </w:r>
      <w:r>
        <w:rPr>
          <w:rFonts w:ascii="Arial" w:cs="Arial" w:eastAsia="Arial" w:hAnsi="Arial"/>
          <w:sz w:val="12"/>
          <w:szCs w:val="12"/>
          <w:b w:val="1"/>
          <w:bCs w:val="1"/>
          <w:color w:val="auto"/>
        </w:rPr>
        <w:t>3D</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 xml:space="preserve">LiverSafe </w:t>
      </w:r>
      <w:r>
        <w:rPr>
          <w:rFonts w:ascii="Arial" w:cs="Arial" w:eastAsia="Arial" w:hAnsi="Arial"/>
          <w:sz w:val="12"/>
          <w:szCs w:val="12"/>
          <w:color w:val="auto"/>
        </w:rPr>
        <w:t>3D is a powerful new</w:t>
      </w:r>
      <w:r>
        <w:rPr>
          <w:rFonts w:ascii="Arial" w:cs="Arial" w:eastAsia="Arial" w:hAnsi="Arial"/>
          <w:sz w:val="12"/>
          <w:szCs w:val="12"/>
          <w:i w:val="1"/>
          <w:iCs w:val="1"/>
          <w:color w:val="auto"/>
        </w:rPr>
        <w:t xml:space="preserve"> in vitro </w:t>
      </w:r>
      <w:r>
        <w:rPr>
          <w:rFonts w:ascii="Arial" w:cs="Arial" w:eastAsia="Arial" w:hAnsi="Arial"/>
          <w:sz w:val="12"/>
          <w:szCs w:val="12"/>
          <w:color w:val="auto"/>
        </w:rPr>
        <w:t>hepatotoxicity assay system that goes a step beyond the current commercially available gold standard primary (human cadaver cell-based) hepatocyte assays. By combining the flexibility of an</w:t>
      </w:r>
      <w:r>
        <w:rPr>
          <w:rFonts w:ascii="Arial" w:cs="Arial" w:eastAsia="Arial" w:hAnsi="Arial"/>
          <w:sz w:val="12"/>
          <w:szCs w:val="12"/>
          <w:i w:val="1"/>
          <w:iCs w:val="1"/>
          <w:color w:val="auto"/>
        </w:rPr>
        <w:t xml:space="preserve"> in vitro</w:t>
      </w:r>
      <w:r>
        <w:rPr>
          <w:rFonts w:ascii="Arial" w:cs="Arial" w:eastAsia="Arial" w:hAnsi="Arial"/>
          <w:sz w:val="12"/>
          <w:szCs w:val="12"/>
          <w:color w:val="auto"/>
        </w:rPr>
        <w:t>, non-transformed human cell-based assay system with the renewable, reproducible sourcing of human pluripotent stem cells (hPSCs), the functional hPSC-derived hepatocytes we produce for</w:t>
      </w:r>
      <w:r>
        <w:rPr>
          <w:rFonts w:ascii="Arial" w:cs="Arial" w:eastAsia="Arial" w:hAnsi="Arial"/>
          <w:sz w:val="12"/>
          <w:szCs w:val="12"/>
          <w:i w:val="1"/>
          <w:iCs w:val="1"/>
          <w:color w:val="auto"/>
        </w:rPr>
        <w:t xml:space="preserve"> LiverSafe </w:t>
      </w:r>
      <w:r>
        <w:rPr>
          <w:rFonts w:ascii="Arial" w:cs="Arial" w:eastAsia="Arial" w:hAnsi="Arial"/>
          <w:sz w:val="12"/>
          <w:szCs w:val="12"/>
          <w:color w:val="auto"/>
        </w:rPr>
        <w:t>3D can be maintained in a</w:t>
      </w:r>
      <w:r>
        <w:rPr>
          <w:rFonts w:ascii="Arial" w:cs="Arial" w:eastAsia="Arial" w:hAnsi="Arial"/>
          <w:sz w:val="12"/>
          <w:szCs w:val="12"/>
          <w:i w:val="1"/>
          <w:iCs w:val="1"/>
          <w:color w:val="auto"/>
        </w:rPr>
        <w:t xml:space="preserve"> </w:t>
      </w:r>
      <w:r>
        <w:rPr>
          <w:rFonts w:ascii="Arial" w:cs="Arial" w:eastAsia="Arial" w:hAnsi="Arial"/>
          <w:sz w:val="12"/>
          <w:szCs w:val="12"/>
          <w:color w:val="auto"/>
        </w:rPr>
        <w:t>healthy state for much longer than the current gold standard hepatocyte assays, greatly enhancing the reliability of hepatotoxicity testing for our drug rescue programs.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Until now, reliable human cell-based hepatotoxicity screening platforms have been difficult to establish for high throughput drug development with currently available primary hepatocyte systems. Primary hepatocytes have a short lifespan in culture, during which time they rapidly lose their drug metabolizing capabilities and develop signs of cellular stress. Furthermore, these commercially available primary hepatocytes have significant batch-to-batch genetic variation that alters the function of drug metabolism genes and their critical enzyme activity levels due to the use of hepatocytes from different sources. Additionally, primary hepatocytes are derived from individuals with significant differences in health status, with unknown effects on hepatocyte function. Consequently, it is difficult to maintain quantitative reproducibility using currently available primary hepatocyte assays, and this leads to limitations in the quality and clinical predictiviy of the results and conclusions drawn from these assays.</w:t>
      </w:r>
    </w:p>
    <w:p>
      <w:pPr>
        <w:spacing w:after="0" w:line="144"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The foregoing limitations have led many in the field to believe that hPSC-derived hepatocyte assays offer a better alternative to the current gold standard primary hepatocyte assays. This belief is mainly due to the fact that hepatocytes derived from the same hPSC line are genetically identical, normal, non-transformed (that is, not tumor-derived) human cells derived from hPSCs. Importantly, hPSC-derived hepatocytes can be indefinitely propagated and frozen down into large, uniform, quality-controlled cell banks. The challenge to using hPSC-derived hepatocytes has been differentiating the stem cells into mature hepatocytes that express a full complement of functional drug metabolizing enzymes, nuclear receptors, and transporters at least as well as primary hepatocytes. While many groups have taken on this challenge in recent years, published reports indicate that current hPSC differentiation protocols yield immature hepatocytes, especially with respect to extremely low expression of certain key drug metabolizing enzymes, such as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w:t>
      </w:r>
      <w:r>
        <w:rPr>
          <w:rFonts w:ascii="Arial" w:cs="Arial" w:eastAsia="Arial" w:hAnsi="Arial"/>
          <w:sz w:val="11"/>
          <w:szCs w:val="11"/>
          <w:i w:val="1"/>
          <w:iCs w:val="1"/>
          <w:color w:val="auto"/>
        </w:rPr>
        <w:t>CYP3A4</w:t>
      </w:r>
      <w:r>
        <w:rPr>
          <w:rFonts w:ascii="Arial" w:cs="Arial" w:eastAsia="Arial" w:hAnsi="Arial"/>
          <w:sz w:val="11"/>
          <w:szCs w:val="11"/>
          <w:color w:val="auto"/>
        </w:rPr>
        <w:t xml:space="preserve"> is a critical liver enzyme responsible for metabolizing approximately 50% of the FDA-approved drugs currently available on the market. It is an important and well-accepted functional gene found almost exclusively in mature, adult hepatocytes.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is the key functional marker that we have used to optimize our hepatocyte differentiation cultures for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We believe our optimized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assay system enables us to generate more mature hPSC-derived hepatocytes than are currently available from others in the field and that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system provides the unique ability to specifically select for mature </w:t>
      </w:r>
      <w:r>
        <w:rPr>
          <w:rFonts w:ascii="Arial" w:cs="Arial" w:eastAsia="Arial" w:hAnsi="Arial"/>
          <w:sz w:val="11"/>
          <w:szCs w:val="11"/>
          <w:i w:val="1"/>
          <w:iCs w:val="1"/>
          <w:color w:val="auto"/>
        </w:rPr>
        <w:t>CYP3A4</w:t>
      </w:r>
      <w:r>
        <w:rPr>
          <w:rFonts w:ascii="Arial" w:cs="Arial" w:eastAsia="Arial" w:hAnsi="Arial"/>
          <w:sz w:val="11"/>
          <w:szCs w:val="11"/>
          <w:color w:val="auto"/>
        </w:rPr>
        <w:t>-expressing human hepatocytes.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2" w:name="page63"/>
    <w:bookmarkEnd w:id="62"/>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We developed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using hPSC differentiation protocols adapted from the laboratory of our co-founder, Dr. Gordon Keller, and our proprietary hPSC cell line, 3A4BLA. This 3A4BLA cell line is a human embryonic stem cell (hESC) line that contains a humanized BLA functional “reporter” that targets the </w:t>
      </w:r>
      <w:r>
        <w:rPr>
          <w:rFonts w:ascii="Arial" w:cs="Arial" w:eastAsia="Arial" w:hAnsi="Arial"/>
          <w:sz w:val="11"/>
          <w:szCs w:val="11"/>
          <w:i w:val="1"/>
          <w:iCs w:val="1"/>
          <w:color w:val="auto"/>
        </w:rPr>
        <w:t>CYP3A4</w:t>
      </w:r>
      <w:r>
        <w:rPr>
          <w:rFonts w:ascii="Arial" w:cs="Arial" w:eastAsia="Arial" w:hAnsi="Arial"/>
          <w:sz w:val="11"/>
          <w:szCs w:val="11"/>
          <w:color w:val="auto"/>
        </w:rPr>
        <w:t xml:space="preserve"> gene in a manner resulting in the expression of BLA only in cells that also express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This allows us to visualize by fluorescence cells that express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based on expression of the BLA reporter. By producing a cell line capable of tracking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we have been able to optimize our hPSC differentiation protocols to increase expression of mature hepatocyte markers and drug metabolizing enzymes and to enrich for </w:t>
      </w:r>
      <w:r>
        <w:rPr>
          <w:rFonts w:ascii="Arial" w:cs="Arial" w:eastAsia="Arial" w:hAnsi="Arial"/>
          <w:sz w:val="11"/>
          <w:szCs w:val="11"/>
          <w:i w:val="1"/>
          <w:iCs w:val="1"/>
          <w:color w:val="auto"/>
        </w:rPr>
        <w:t>CYP3A4</w:t>
      </w:r>
      <w:r>
        <w:rPr>
          <w:rFonts w:ascii="Arial" w:cs="Arial" w:eastAsia="Arial" w:hAnsi="Arial"/>
          <w:sz w:val="11"/>
          <w:szCs w:val="11"/>
          <w:color w:val="auto"/>
        </w:rPr>
        <w:t xml:space="preserve">-expressing cells by cell sorting. However, even in the absence of cell sorting,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hepatocyte populations contain greater than 80% ALBUMIN-positive cells and greater than 40%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with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mRNA expression reaching levels nearly 60-fold higher than side-by-side 38-week human fetal liver controls.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hepatocytes secrete urea and ALBUMIN at levels that exceed commercially-available primary hepatocytes, and they also store both glycogen and lipids, characteristics that are required of functional, mature adult hepatocytes. Importantly, expression of fetal liver markers decreases over the time course of differentiation of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hepatocytes. This decreased expression is expected and essential during maturation of hepatocytes, but it has rarely been reported by others in publications describing their hPSC-derived hepatocytes. With the addition of cell sorting,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hepatocyte populations can be highly enriched for </w:t>
      </w:r>
      <w:r>
        <w:rPr>
          <w:rFonts w:ascii="Arial" w:cs="Arial" w:eastAsia="Arial" w:hAnsi="Arial"/>
          <w:sz w:val="11"/>
          <w:szCs w:val="11"/>
          <w:i w:val="1"/>
          <w:iCs w:val="1"/>
          <w:color w:val="auto"/>
        </w:rPr>
        <w:t>CYP3A4</w:t>
      </w:r>
      <w:r>
        <w:rPr>
          <w:rFonts w:ascii="Arial" w:cs="Arial" w:eastAsia="Arial" w:hAnsi="Arial"/>
          <w:sz w:val="11"/>
          <w:szCs w:val="11"/>
          <w:color w:val="auto"/>
        </w:rPr>
        <w:t xml:space="preserve">-BLA-positive cells, with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message in the positive cell population reaching greater than 30% that of an adult human liver pool control. To our knowledge, this level of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exceeds levels reported by others in the literature.</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The most important capabilities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relate to “Phase I” and “Phase II” drug metabolism, which are functional characteristics of mature adult hepatocytes. We have validated these capabilities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by demonstrating its ability to metabolize known substrates, such as testosterone, and its ability to respond properly to known inducers of Phase I-mediated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metabolism, such as rifampicin. Moreover,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hepatocytes demonstrate Phase II-mediated testosterone metabolism levels that exceed commercially available primary hepatocytes. These functional characteristics of mature adult hepatocytes are critical to the development of a reliable and clinically predictive hepatotoxicity screening platform for our drug rescue programs. We are currently focused on expanding our panel of validation assays and compounds to include more P450 substrates, inducers, and inhibitors, as well as adapting the cellular toxicity assays that have been developed for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to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assay system and to apply specific hepatotoxic screening assays, such as ALBUMIN and urea secretion assays.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We believe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is a genetically identical, renewable, and reproducible hepatotoxicity assay system for drug rescue and development that provides advantages over currently available primary hepatocyte assays. We have demonstrated that our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hepatocyte populations, even in the absence of cell sorting, secrete adult hepatocyte levels of ALBUMIN and urea and contain greater than 40% </w:t>
      </w:r>
      <w:r>
        <w:rPr>
          <w:rFonts w:ascii="Arial" w:cs="Arial" w:eastAsia="Arial" w:hAnsi="Arial"/>
          <w:sz w:val="12"/>
          <w:szCs w:val="12"/>
          <w:i w:val="1"/>
          <w:iCs w:val="1"/>
          <w:color w:val="auto"/>
        </w:rPr>
        <w:t>CYP3A4</w:t>
      </w:r>
      <w:r>
        <w:rPr>
          <w:rFonts w:ascii="Arial" w:cs="Arial" w:eastAsia="Arial" w:hAnsi="Arial"/>
          <w:sz w:val="12"/>
          <w:szCs w:val="12"/>
          <w:color w:val="auto"/>
        </w:rPr>
        <w:t xml:space="preserve">-positive cells, historically difficult to achieve in hPSC differentiation cultures. The proprietary 3A4BLA cell line component of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allows us the unique opportunity to enrich </w:t>
      </w:r>
      <w:r>
        <w:rPr>
          <w:rFonts w:ascii="Arial" w:cs="Arial" w:eastAsia="Arial" w:hAnsi="Arial"/>
          <w:sz w:val="12"/>
          <w:szCs w:val="12"/>
          <w:i w:val="1"/>
          <w:iCs w:val="1"/>
          <w:color w:val="auto"/>
        </w:rPr>
        <w:t>CYP3A4</w:t>
      </w:r>
      <w:r>
        <w:rPr>
          <w:rFonts w:ascii="Arial" w:cs="Arial" w:eastAsia="Arial" w:hAnsi="Arial"/>
          <w:sz w:val="12"/>
          <w:szCs w:val="12"/>
          <w:color w:val="auto"/>
        </w:rPr>
        <w:t xml:space="preserve">-positive cells, resulting in </w:t>
      </w:r>
      <w:r>
        <w:rPr>
          <w:rFonts w:ascii="Arial" w:cs="Arial" w:eastAsia="Arial" w:hAnsi="Arial"/>
          <w:sz w:val="12"/>
          <w:szCs w:val="12"/>
          <w:i w:val="1"/>
          <w:iCs w:val="1"/>
          <w:color w:val="auto"/>
        </w:rPr>
        <w:t>CYP3A4</w:t>
      </w:r>
      <w:r>
        <w:rPr>
          <w:rFonts w:ascii="Arial" w:cs="Arial" w:eastAsia="Arial" w:hAnsi="Arial"/>
          <w:sz w:val="12"/>
          <w:szCs w:val="12"/>
          <w:color w:val="auto"/>
        </w:rPr>
        <w:t xml:space="preserve"> expression reaching greater than 30% of an adult human liver pool, and to the best of our knowledge, a level higher than described in current literature. Most importantly for drug rescue and development purposes, our hPSC-derived hepatocytes for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metabolize known substrates and respond to known inducers in a manner expected only of mature adult hepatocytes, paving the way for our final validation of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system as a novel hepatotoxicity assay system that can improve clinical predictivity, decrease the cost of drug rescue and development, reduce use of live animal studies, and improve drug safety.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AV-101</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successfully completed Phase I development of AV-101, also known as “L-4-chlorokynurenine” or “4-Cl-KYN”. AV-101 is a prodrug candidate for the treatment of neuropathic pain, epilepsy and depression. Our AV-101 IND application on file at the FDA covers our Phase I clinical development for neuropathic pain. However, we believe the safety studies done in Phase I development of AV-101 will support development of AV-101 for other indications, including epilepsy, depression and potentially other neurological diseases, such as Parkinson’s disease.</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NIH has awarded us $8.8 million of grant funding for our preclinical and Phase 1 clinical development of AV-101. During 2014, we plan to seek strategic partnering arrangements for further clinical development and commercialization of AV-101 for neuropathic pain, epilepsy, depression and Parkinson’s disease.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3" w:name="page64"/>
    <w:bookmarkEnd w:id="63"/>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AV-101 is an orally-available, non-sedating prodrug candidate that is converted in the brain into an active metabolite, 7-chlorokynurenic acid (</w:t>
      </w:r>
      <w:r>
        <w:rPr>
          <w:rFonts w:ascii="Arial" w:cs="Arial" w:eastAsia="Arial" w:hAnsi="Arial"/>
          <w:sz w:val="11"/>
          <w:szCs w:val="11"/>
          <w:i w:val="1"/>
          <w:iCs w:val="1"/>
          <w:color w:val="auto"/>
        </w:rPr>
        <w:t>7-Cl-KYNA</w:t>
      </w:r>
      <w:r>
        <w:rPr>
          <w:rFonts w:ascii="Arial" w:cs="Arial" w:eastAsia="Arial" w:hAnsi="Arial"/>
          <w:sz w:val="11"/>
          <w:szCs w:val="11"/>
          <w:color w:val="auto"/>
        </w:rPr>
        <w:t>), which regulates the N-methyl-D-aspartate (</w:t>
      </w:r>
      <w:r>
        <w:rPr>
          <w:rFonts w:ascii="Arial" w:cs="Arial" w:eastAsia="Arial" w:hAnsi="Arial"/>
          <w:sz w:val="11"/>
          <w:szCs w:val="11"/>
          <w:i w:val="1"/>
          <w:iCs w:val="1"/>
          <w:color w:val="auto"/>
        </w:rPr>
        <w:t>NMDA</w:t>
      </w:r>
      <w:r>
        <w:rPr>
          <w:rFonts w:ascii="Arial" w:cs="Arial" w:eastAsia="Arial" w:hAnsi="Arial"/>
          <w:sz w:val="11"/>
          <w:szCs w:val="11"/>
          <w:color w:val="auto"/>
        </w:rPr>
        <w:t>) receptors. 7-Cl-KYNA is a synthetic analogue of kynurenic acid, a naturally occurring neural regulatory compound, and is one of the most potent and selective blockers of the regulatory GlyB-site of the NMDA receptor. In preclinical studies, AV-101 has very good oral bioavailability, is rapidly and efficiently transported across the blood-brain barrier, and is converted into 7-Cl-KYNA in the brain and spinal cord, preferentially, at the site of seizures and potential neural damage.</w:t>
      </w:r>
    </w:p>
    <w:p>
      <w:pPr>
        <w:spacing w:after="0" w:line="105"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The effect of AV-101 on chronic neuropathic pain due to inflammation and nerve damage was assessed in rats by using the Chung nerve ligation model. AV-101 effects were compared to either saline and MK-801, or gabapentin (NeurontinTM) as positive controls. Similar to the therapeutic effects seen in the acute formalin and thermal pain models, AV-101 had a positive effect on chronic neuropathic pain in the Chung model that were greater than two (2) standard deviations of the control, with no adverse behavioral observations. As expected, MK-801 and gabapentin also demonstrated reduced pain readouts in the Chung model. The effects observed by AV-101 in both the acute and chronic neuropathic pain model systems was dose dependent, and was not associated with any side effects at the range of doses administered. Preclinical AV-101 data demonstrated the potential clinical utility of AV-101 as an analgesic.</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Transactions and Relationships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Strategic collaborations are a cornerstone of our corporate development strategy. We believe that our strategic outsourcing and sponsorship of application-focused research gives us flexible access to medicinal chemistry, hPSC research and development, manufacturing, clinical development and regulatory expertise at a lower overall cost than developing and maintaining such expertise internally. In particular, we collaborate with the types of third parties identified below for the following functions:</w:t>
      </w:r>
    </w:p>
    <w:p>
      <w:pPr>
        <w:spacing w:after="0" w:line="123" w:lineRule="exact"/>
        <w:rPr>
          <w:sz w:val="20"/>
          <w:szCs w:val="20"/>
          <w:color w:val="auto"/>
        </w:rPr>
      </w:pPr>
    </w:p>
    <w:p>
      <w:pPr>
        <w:ind w:left="600" w:hanging="338"/>
        <w:spacing w:after="0"/>
        <w:tabs>
          <w:tab w:leader="none" w:pos="6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academic research institutions, such as the University Health Network (UHN) and Duke University, for hPSC technology research and development;</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 xml:space="preserve">contract medicinal chemistry companies, such as Synterys, Inc., to analyze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design, produce and analyze </w:t>
      </w:r>
      <w:r>
        <w:rPr>
          <w:rFonts w:ascii="Arial" w:cs="Arial" w:eastAsia="Arial" w:hAnsi="Arial"/>
          <w:sz w:val="12"/>
          <w:szCs w:val="12"/>
          <w:i w:val="1"/>
          <w:iCs w:val="1"/>
          <w:color w:val="auto"/>
        </w:rPr>
        <w:t>Drug Rescue Variants</w:t>
      </w:r>
      <w:r>
        <w:rPr>
          <w:rFonts w:ascii="Arial" w:cs="Arial" w:eastAsia="Arial" w:hAnsi="Arial"/>
          <w:sz w:val="12"/>
          <w:szCs w:val="12"/>
          <w:color w:val="auto"/>
        </w:rPr>
        <w:t>; and</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contract clinical development and regulatory organizations (CROs), such as Cato Research, Ltd., for regulatory expertise and clinical development support.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McEwen Centre for Regenerative Medicine, University Health Network</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UHN in Ontario, Canada is a major landmark in Canada’s healthcare system. UHN is one of the world’s largest research hospitals, with major research in transplantation, cardiology, neurosciences, oncology, surgical innovation, infectious diseases and genomic medicine.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McEwen Centre for Regenerative Medicine (McEwen Centre) is a world-renowned center for stem cell biology and regenerative medicine and a stem cell research facility affiliated with UHN. Dr. Gordon Keller, our co-founder and Chairman of our Scientific Advisory Board, is Director of the McEwen Centre. Dr. Keller’s lab is considered one of the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4" w:name="page65"/>
    <w:bookmarkEnd w:id="64"/>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pluripotent stem cell technologies developed by Dr. Keller, and is directed to diverse human pluripotent stem cell-based research projects, including, as expanded and amended, strategic projects related to drug rescue and regenerative medicine. See “Sponsored Research Collaborations and Intellectual Property Rights – University Health Network, McEwen Centre for Regenerative Medicine, Toronto, Ontario”, “Intellectual Property – National Jewish Health Exclusive Licenses” and “Intellectual Property – Icahn School of Medicine at Mount Sinai Exclusive Licenses.”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Cardiac Safety Research Consortium</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joined the Cardiac Safety Research Consortium (CERC)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Cardiac Safety Technical Committee of the Health and Environmental Sciences Institute – FDA’s CIPA Initiative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also joined the Cardiac Safety Technical Committee, Cardiac Stem Cell Working Group, and Proarrhythmia Working Group of the Health and Environmental Sciences Institute (HESI) to help advance, among other goals, the FDA’s Comprehensive In Vitro Proarrhythmia Assay (CIPA) initiative, which is focused on developing innovative preclinical systems for cardiac safety assessment during drug development. HESI is a global branch of the International Life Sciences Institute (</w:t>
      </w:r>
      <w:r>
        <w:rPr>
          <w:rFonts w:ascii="Arial" w:cs="Arial" w:eastAsia="Arial" w:hAnsi="Arial"/>
          <w:sz w:val="12"/>
          <w:szCs w:val="12"/>
          <w:i w:val="1"/>
          <w:iCs w:val="1"/>
          <w:color w:val="auto"/>
        </w:rPr>
        <w:t>ILSI</w:t>
      </w:r>
      <w:r>
        <w:rPr>
          <w:rFonts w:ascii="Arial" w:cs="Arial" w:eastAsia="Arial" w:hAnsi="Arial"/>
          <w:sz w:val="12"/>
          <w:szCs w:val="12"/>
          <w:color w:val="auto"/>
        </w:rPr>
        <w:t>), whose members include most of the world’s largest pharmaceutical and biotechnology companies.</w:t>
      </w:r>
    </w:p>
    <w:p>
      <w:pPr>
        <w:spacing w:after="0" w:line="141"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(inward and outward currents), (ii) providing more complete, accurate assessment of proarrhythmic effects on human cardiac electrophysiology, and (iii) focusing on Torsades de Pointes proarrhythmia rather than surrogate QT prolongation alone.</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Centre for Commercialization of Regenerative Medicine</w:t>
      </w:r>
    </w:p>
    <w:p>
      <w:pPr>
        <w:spacing w:after="0" w:line="150" w:lineRule="exact"/>
        <w:rPr>
          <w:sz w:val="20"/>
          <w:szCs w:val="20"/>
          <w:color w:val="auto"/>
        </w:rPr>
      </w:pPr>
    </w:p>
    <w:p>
      <w:pPr>
        <w:jc w:val="both"/>
        <w:ind w:right="20"/>
        <w:spacing w:after="0" w:line="380" w:lineRule="auto"/>
        <w:rPr>
          <w:sz w:val="20"/>
          <w:szCs w:val="20"/>
          <w:color w:val="auto"/>
        </w:rPr>
      </w:pPr>
      <w:r>
        <w:rPr>
          <w:rFonts w:ascii="Arial" w:cs="Arial" w:eastAsia="Arial" w:hAnsi="Arial"/>
          <w:sz w:val="10"/>
          <w:szCs w:val="10"/>
          <w:color w:val="auto"/>
        </w:rPr>
        <w:t>The Toronto-based Centre for Commercialization of Regenerative Medicine (CCRM)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In December 2012, we formalized our membership in the CCRM’s Industry Consortium. Other members of CCRM’s Industry Consortium include such leading global companies as Pfizer, GE Healthcare and Lonza.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a solid foundation and unique opportunities for expanding the commercial applications of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5" w:name="page66"/>
    <w:bookmarkEnd w:id="65"/>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Duke University</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November 2011, we entered into a strategic collaboration with Duke University, one of the premier academic research institutions in the U.S., aimed at combining our complementary expertise in cardiac stem cell technology, electrophysiology and tissue engineering. The initial goal of the collaboration is to explore the potential development of novel, engineered, stem cell-derived cardiac tissues to expand the scope of our drug rescue capabilities focused on heart toxicity. We expect that this collaboration, employing our human stem cell-derived heart cells combined with Duke’s technology relating to cardiac electrophysiology and cardiac tissue engineering, will permit us to use micro-patterned cardiac tissue to expand the approaches available to us in our drug rescue programs to quantify drug effects on functional human cardiac tissue.</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In May 2013, we announced that our scientists together with researchers at Duke University combined our human stem cell-derived heart cells with Duke’s innovative tissue engineering and cardiac electrophysiology technologies to grow what is being called a “heart patch,” which mimics the natural functions of native human heart tissue. We believe this is the closest man-made approximation of natural human heart muscle to date. This heart patch technology is being developed to aid in a better understanding of the biology critical to cardiac tissue engineering, for applications in regenerative cell therapy for heart disease, and as predictive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assays for drug rescue and development. We believe the developed contractile forces and other functional properties of these cardiac tissues are remarkable and are significantly higher than any previous reports. The achievement of successfully growing a human heart muscle from cardiomyocytes derived from human pluripotent stem cells expands the scope of our drug rescue capabilities and reflects the advanced nature and potential of our collaboration with Duke University.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Achieving this capability represents a potentially significant breakthrough in heart cell-based therapies and in testing new medicines for potential heart toxicity and potential therapeutic benefits impacting heart disease.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are among several key development points from the study:</w:t>
      </w:r>
    </w:p>
    <w:p>
      <w:pPr>
        <w:spacing w:after="0" w:line="150" w:lineRule="exact"/>
        <w:rPr>
          <w:sz w:val="20"/>
          <w:szCs w:val="20"/>
          <w:color w:val="auto"/>
        </w:rPr>
      </w:pPr>
    </w:p>
    <w:p>
      <w:pPr>
        <w:ind w:left="640" w:hanging="343"/>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optimized 3D environment of a cardiac tissue patch yields advanced levels of structural and functional maturation of human cardiomyocytes that produce expected responses to drugs;</w:t>
      </w:r>
    </w:p>
    <w:p>
      <w:pPr>
        <w:spacing w:after="0" w:line="150" w:lineRule="exact"/>
        <w:rPr>
          <w:rFonts w:ascii="Arial" w:cs="Arial" w:eastAsia="Arial" w:hAnsi="Arial"/>
          <w:sz w:val="12"/>
          <w:szCs w:val="12"/>
          <w:color w:val="auto"/>
        </w:rPr>
      </w:pPr>
    </w:p>
    <w:p>
      <w:pPr>
        <w:ind w:left="640" w:hanging="343"/>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Human cardiomyocyte maturation in an optimized 3D patch environment is enhanced relative to that found in industry standard 2D cultures;</w:t>
      </w:r>
    </w:p>
    <w:p>
      <w:pPr>
        <w:spacing w:after="0" w:line="150" w:lineRule="exact"/>
        <w:rPr>
          <w:rFonts w:ascii="Arial" w:cs="Arial" w:eastAsia="Arial" w:hAnsi="Arial"/>
          <w:sz w:val="12"/>
          <w:szCs w:val="12"/>
          <w:color w:val="auto"/>
        </w:rPr>
      </w:pPr>
    </w:p>
    <w:p>
      <w:pPr>
        <w:ind w:left="640" w:hanging="343"/>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No genetic modifications were used to produce, purify, or mature cardiomyocytes, suggesting potential for future therapeutic applications;</w:t>
      </w:r>
    </w:p>
    <w:p>
      <w:pPr>
        <w:spacing w:after="0" w:line="150" w:lineRule="exact"/>
        <w:rPr>
          <w:rFonts w:ascii="Arial" w:cs="Arial" w:eastAsia="Arial" w:hAnsi="Arial"/>
          <w:sz w:val="12"/>
          <w:szCs w:val="12"/>
          <w:color w:val="auto"/>
        </w:rPr>
      </w:pPr>
    </w:p>
    <w:p>
      <w:pPr>
        <w:ind w:left="640" w:hanging="343"/>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Cardiac tissue patches generated using VistaGen’s cardiomyocytes exhibited 2.2-180 fold higher contractile force generation compared to previous studies;</w:t>
      </w:r>
    </w:p>
    <w:p>
      <w:pPr>
        <w:spacing w:after="0" w:line="150" w:lineRule="exact"/>
        <w:rPr>
          <w:rFonts w:ascii="Arial" w:cs="Arial" w:eastAsia="Arial" w:hAnsi="Arial"/>
          <w:sz w:val="12"/>
          <w:szCs w:val="12"/>
          <w:color w:val="auto"/>
        </w:rPr>
      </w:pPr>
    </w:p>
    <w:p>
      <w:pPr>
        <w:ind w:right="1720" w:firstLine="288"/>
        <w:spacing w:after="0" w:line="680" w:lineRule="auto"/>
        <w:tabs>
          <w:tab w:leader="none" w:pos="622" w:val="left"/>
        </w:tabs>
        <w:numPr>
          <w:ilvl w:val="0"/>
          <w:numId w:val="34"/>
        </w:numPr>
        <w:rPr>
          <w:rFonts w:ascii="Arial" w:cs="Arial" w:eastAsia="Arial" w:hAnsi="Arial"/>
          <w:sz w:val="10"/>
          <w:szCs w:val="10"/>
          <w:color w:val="auto"/>
        </w:rPr>
      </w:pPr>
      <w:r>
        <w:rPr>
          <w:rFonts w:ascii="Arial" w:cs="Arial" w:eastAsia="Arial" w:hAnsi="Arial"/>
          <w:sz w:val="10"/>
          <w:szCs w:val="10"/>
          <w:color w:val="auto"/>
        </w:rPr>
        <w:t>Based on a force per cardiomyocyte metric, cardiac tissue engineering methodology that used VistaGen’s cardiomyocytes exhibited 4-700-fold higher efficiency than previously reported; and Cardiac tissue patches generated using VistaGen’s cardiomyocytes exhibited velocities of electrical signal propagation 5-fold higher compared to previous reports in human engineered cardiac tissues.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6" w:name="page67"/>
    <w:bookmarkEnd w:id="66"/>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Cato Research and Cato BioVentures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Cato Research</w:t>
      </w:r>
    </w:p>
    <w:p>
      <w:pPr>
        <w:spacing w:after="0" w:line="150" w:lineRule="exact"/>
        <w:rPr>
          <w:sz w:val="20"/>
          <w:szCs w:val="20"/>
          <w:color w:val="auto"/>
        </w:rPr>
      </w:pPr>
    </w:p>
    <w:p>
      <w:pPr>
        <w:jc w:val="both"/>
        <w:spacing w:after="0" w:line="313" w:lineRule="auto"/>
        <w:rPr>
          <w:sz w:val="20"/>
          <w:szCs w:val="20"/>
          <w:color w:val="auto"/>
        </w:rPr>
      </w:pPr>
      <w:r>
        <w:rPr>
          <w:rFonts w:ascii="Arial" w:cs="Arial" w:eastAsia="Arial" w:hAnsi="Arial"/>
          <w:sz w:val="10"/>
          <w:szCs w:val="10"/>
          <w:color w:val="auto"/>
        </w:rPr>
        <w:t>Cato Research is a contract research and development organization (</w:t>
      </w:r>
      <w:r>
        <w:rPr>
          <w:rFonts w:ascii="Arial" w:cs="Arial" w:eastAsia="Arial" w:hAnsi="Arial"/>
          <w:sz w:val="10"/>
          <w:szCs w:val="10"/>
          <w:i w:val="1"/>
          <w:iCs w:val="1"/>
          <w:color w:val="auto"/>
        </w:rPr>
        <w:t>CRO</w:t>
      </w:r>
      <w:r>
        <w:rPr>
          <w:rFonts w:ascii="Arial" w:cs="Arial" w:eastAsia="Arial" w:hAnsi="Arial"/>
          <w:sz w:val="10"/>
          <w:szCs w:val="10"/>
          <w:color w:val="auto"/>
        </w:rPr>
        <w:t xml:space="preserve">), with international resources dedicated to helping biotechnology and pharmaceutical companies navigate the regulatory approval process in order to bring new biologics, drugs and medical devices to markets throughout the world. Cato Research has in-house capabilities to assist its sponsors with aspects of the drug development process including regulatory strategy, nonclinical and toxicology development, clinical development, data processing, data management, statistical analysis, regulatory applications, including INDs and NDAs, chemistry, manufacturing, and control programs, cGCP, cGLP and cGMP audit and compliance activities, and due diligence review of emerging technologies. Cato Research’s senior management team, including co-founders Allen Cato, M.D., Ph.D. and Lynda Sutton, has over 25 years of experience interacting with the FDA and international regulatory agencies and a successful track record of product approvals. Should we elect to advance development of </w:t>
      </w:r>
      <w:r>
        <w:rPr>
          <w:rFonts w:ascii="Arial" w:cs="Arial" w:eastAsia="Arial" w:hAnsi="Arial"/>
          <w:sz w:val="10"/>
          <w:szCs w:val="10"/>
          <w:i w:val="1"/>
          <w:iCs w:val="1"/>
          <w:color w:val="auto"/>
        </w:rPr>
        <w:t>Drug Rescue Variants</w:t>
      </w:r>
      <w:r>
        <w:rPr>
          <w:rFonts w:ascii="Arial" w:cs="Arial" w:eastAsia="Arial" w:hAnsi="Arial"/>
          <w:sz w:val="10"/>
          <w:szCs w:val="10"/>
          <w:color w:val="auto"/>
        </w:rPr>
        <w:t xml:space="preserve"> internally rather than license or sell them at an early-stage to pharmaceutical companies or others, we believe our long term strategic relationship with Cato Research provides us with real time access to the global connections, insight and knowledge necessary to effectively plan, execute and manage successful nonclinical and clinical development programs throughout the world without incurring the substantial expenses typically associated with establishing and maintaining a wide range of drug development capabilities in-house.</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Cato BioVentures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Cato Holding Company, doing business as Cato BioVentures (</w:t>
      </w:r>
      <w:r>
        <w:rPr>
          <w:rFonts w:ascii="Arial" w:cs="Arial" w:eastAsia="Arial" w:hAnsi="Arial"/>
          <w:sz w:val="12"/>
          <w:szCs w:val="12"/>
          <w:i w:val="1"/>
          <w:iCs w:val="1"/>
          <w:color w:val="auto"/>
        </w:rPr>
        <w:t>Cato BioVentures</w:t>
      </w:r>
      <w:r>
        <w:rPr>
          <w:rFonts w:ascii="Arial" w:cs="Arial" w:eastAsia="Arial" w:hAnsi="Arial"/>
          <w:sz w:val="12"/>
          <w:szCs w:val="12"/>
          <w:color w:val="auto"/>
        </w:rPr>
        <w:t xml:space="preserve">), is the venture capital affiliate of Cato Research. Through strategic CRO service agreements with Cato Research, Cato BioVentures invests in therapeutics and medical devices, as well as platform technologies such as our stem cell technology-based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which its principals believe, based on their experience as management of Cato Research, are capable of transforming the traditional drug development process and the research and development productivity of the biotechnology and pharmaceutical industries.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Our Relationship with Cato Research and Cato BioVentures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Cato Research is our primary CRO for development of AV-101. Cato BioVentures is among our largest, long-term institutional investors.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As a result of the access Cato Research has to potential </w:t>
      </w:r>
      <w:r>
        <w:rPr>
          <w:rFonts w:ascii="Arial" w:cs="Arial" w:eastAsia="Arial" w:hAnsi="Arial"/>
          <w:sz w:val="11"/>
          <w:szCs w:val="11"/>
          <w:i w:val="1"/>
          <w:iCs w:val="1"/>
          <w:color w:val="auto"/>
        </w:rPr>
        <w:t>Drug Rescue Candida</w:t>
      </w:r>
      <w:r>
        <w:rPr>
          <w:rFonts w:ascii="Arial" w:cs="Arial" w:eastAsia="Arial" w:hAnsi="Arial"/>
          <w:sz w:val="11"/>
          <w:szCs w:val="11"/>
          <w:color w:val="auto"/>
        </w:rPr>
        <w:t>t</w:t>
      </w:r>
      <w:r>
        <w:rPr>
          <w:rFonts w:ascii="Arial" w:cs="Arial" w:eastAsia="Arial" w:hAnsi="Arial"/>
          <w:sz w:val="11"/>
          <w:szCs w:val="11"/>
          <w:i w:val="1"/>
          <w:iCs w:val="1"/>
          <w:color w:val="auto"/>
        </w:rPr>
        <w:t>es</w:t>
      </w:r>
      <w:r>
        <w:rPr>
          <w:rFonts w:ascii="Arial" w:cs="Arial" w:eastAsia="Arial" w:hAnsi="Arial"/>
          <w:sz w:val="11"/>
          <w:szCs w:val="11"/>
          <w:color w:val="auto"/>
        </w:rPr>
        <w:t xml:space="preserve"> from its biotechnology and pharmaceutical industry network, as well as Cato BioVentures’ strategic long term equity interest in VistaGen,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internally rather than out-license them to strategic partners.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States National Institutes of Health</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Since our inception in 1998,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xml:space="preserve">) has awarded us $11.3 million in non-dilutive research and development grants, including $2.3 million to support research and development of our </w:t>
      </w:r>
      <w:r>
        <w:rPr>
          <w:rFonts w:ascii="Arial" w:cs="Arial" w:eastAsia="Arial" w:hAnsi="Arial"/>
          <w:sz w:val="12"/>
          <w:szCs w:val="12"/>
          <w:i w:val="1"/>
          <w:iCs w:val="1"/>
          <w:color w:val="auto"/>
        </w:rPr>
        <w:t>Human Clinical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Trials in a Test Tube </w:t>
      </w:r>
      <w:r>
        <w:rPr>
          <w:rFonts w:ascii="Arial" w:cs="Arial" w:eastAsia="Arial" w:hAnsi="Arial"/>
          <w:sz w:val="12"/>
          <w:szCs w:val="12"/>
          <w:color w:val="auto"/>
        </w:rPr>
        <w:t>platform and $8.8 million for nonclinical and Phase 1 clinical development of AV-101, our small molecule drug candidate which has successfully completed Phase 1 clinical development in the U.S. for neuropathic</w:t>
      </w:r>
      <w:r>
        <w:rPr>
          <w:rFonts w:ascii="Arial" w:cs="Arial" w:eastAsia="Arial" w:hAnsi="Arial"/>
          <w:sz w:val="12"/>
          <w:szCs w:val="12"/>
          <w:i w:val="1"/>
          <w:iCs w:val="1"/>
          <w:color w:val="auto"/>
        </w:rPr>
        <w:t xml:space="preserve"> </w:t>
      </w:r>
      <w:r>
        <w:rPr>
          <w:rFonts w:ascii="Arial" w:cs="Arial" w:eastAsia="Arial" w:hAnsi="Arial"/>
          <w:sz w:val="12"/>
          <w:szCs w:val="12"/>
          <w:color w:val="auto"/>
        </w:rPr>
        <w:t>pain and other potential diseases and conditions, including epilepsy and depression.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7" w:name="page68"/>
    <w:bookmarkEnd w:id="67"/>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California Institute for Regenerative Medicine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California Institute for Regenerative Medicine (</w:t>
      </w:r>
      <w:r>
        <w:rPr>
          <w:rFonts w:ascii="Arial" w:cs="Arial" w:eastAsia="Arial" w:hAnsi="Arial"/>
          <w:sz w:val="12"/>
          <w:szCs w:val="12"/>
          <w:i w:val="1"/>
          <w:iCs w:val="1"/>
          <w:color w:val="auto"/>
        </w:rPr>
        <w:t>CIRM</w:t>
      </w:r>
      <w:r>
        <w:rPr>
          <w:rFonts w:ascii="Arial" w:cs="Arial" w:eastAsia="Arial" w:hAnsi="Arial"/>
          <w:sz w:val="12"/>
          <w:szCs w:val="12"/>
          <w:color w:val="auto"/>
        </w:rPr>
        <w:t>) funds stem cell research at academic research institutions and companies throughout California. CIRM was established in 2004 with the passage of Stem Cell Initiative (</w:t>
      </w:r>
      <w:r>
        <w:rPr>
          <w:rFonts w:ascii="Arial" w:cs="Arial" w:eastAsia="Arial" w:hAnsi="Arial"/>
          <w:sz w:val="12"/>
          <w:szCs w:val="12"/>
          <w:i w:val="1"/>
          <w:iCs w:val="1"/>
          <w:color w:val="auto"/>
        </w:rPr>
        <w:t>Proposition 71</w:t>
      </w:r>
      <w:r>
        <w:rPr>
          <w:rFonts w:ascii="Arial" w:cs="Arial" w:eastAsia="Arial" w:hAnsi="Arial"/>
          <w:sz w:val="12"/>
          <w:szCs w:val="12"/>
          <w:color w:val="auto"/>
        </w:rPr>
        <w:t>) by California voters. As a stem cell company based in California since 1998, we are eligible to apply for and receive grant funding under the Stem Cell Initiative. To date we have been awarded approximately $1.0 million of non-dilutive grant funding from CIRM for stem cell research and development related to stem cell-derived human liver cells. This funded research and development focused on the improvement of techniques and the production of engineered human ES Cell lines used to develop mature functional human liver cells as a biological system for testing drugs.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Celsis In Vitro Technologies</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In March 2013, we entered into a strategic collaboration with Celsis In Vitro Technologies (</w:t>
      </w:r>
      <w:r>
        <w:rPr>
          <w:rFonts w:ascii="Arial" w:cs="Arial" w:eastAsia="Arial" w:hAnsi="Arial"/>
          <w:sz w:val="11"/>
          <w:szCs w:val="11"/>
          <w:i w:val="1"/>
          <w:iCs w:val="1"/>
          <w:color w:val="auto"/>
        </w:rPr>
        <w:t>Celsis IVT</w:t>
      </w:r>
      <w:r>
        <w:rPr>
          <w:rFonts w:ascii="Arial" w:cs="Arial" w:eastAsia="Arial" w:hAnsi="Arial"/>
          <w:sz w:val="11"/>
          <w:szCs w:val="11"/>
          <w:color w:val="auto"/>
        </w:rPr>
        <w:t xml:space="preserve">), a premier global provider of specialized in vitro products for drug metabolism, drug-drug interaction and toxicity screening, focused on characterizing and functionally benchmarking our human liver cell platform,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w:t>
      </w:r>
      <w:r>
        <w:rPr>
          <w:rFonts w:ascii="Arial" w:cs="Arial" w:eastAsia="Arial" w:hAnsi="Arial"/>
          <w:sz w:val="11"/>
          <w:szCs w:val="11"/>
          <w:i w:val="1"/>
          <w:iCs w:val="1"/>
          <w:color w:val="auto"/>
        </w:rPr>
        <w:t>™</w:t>
      </w:r>
      <w:r>
        <w:rPr>
          <w:rFonts w:ascii="Arial" w:cs="Arial" w:eastAsia="Arial" w:hAnsi="Arial"/>
          <w:sz w:val="11"/>
          <w:szCs w:val="11"/>
          <w:color w:val="auto"/>
        </w:rPr>
        <w:t xml:space="preserve"> with Celsis IVT products for studying and predicting drug metabolism. We intend to utilize Celsis IVT’s experience and expertise in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metabolism to help validate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We anticipate that Celsis IVT will not only validate our human liver cells in traditional pharmaceutical metabolism assays, but also will determine genetic variations in our human pluripotent stem cell lines that are important to drug development. In addition, we plan to utilize Celsis IVT’s large inventory of cryopreserved primary human liver cells, currently used throughout the pharmaceutical industry for traditional and high-throughput liver toxicology and other bioassays, as reference controls with which to monitor and benchmark the functional properties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Collaborating with Celsis IVT scientists, we are focused on the following four key objectives:</w:t>
      </w:r>
    </w:p>
    <w:p>
      <w:pPr>
        <w:spacing w:after="0" w:line="150" w:lineRule="exact"/>
        <w:rPr>
          <w:sz w:val="20"/>
          <w:szCs w:val="20"/>
          <w:color w:val="auto"/>
        </w:rPr>
      </w:pPr>
    </w:p>
    <w:p>
      <w:pPr>
        <w:ind w:left="420" w:hanging="248"/>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Optimize techniques to handle and maintain primary human cryopreserved primary liver cells as reference controls for various drug development assays;</w:t>
      </w:r>
    </w:p>
    <w:p>
      <w:pPr>
        <w:spacing w:after="0" w:line="150" w:lineRule="exact"/>
        <w:rPr>
          <w:rFonts w:ascii="Arial" w:cs="Arial" w:eastAsia="Arial" w:hAnsi="Arial"/>
          <w:sz w:val="12"/>
          <w:szCs w:val="12"/>
          <w:color w:val="auto"/>
        </w:rPr>
      </w:pPr>
    </w:p>
    <w:p>
      <w:pPr>
        <w:ind w:left="420" w:right="180" w:hanging="248"/>
        <w:spacing w:after="0" w:line="276" w:lineRule="auto"/>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Develop a stable supply of characterized and validated human cryopreserved primary liver cells to serve as internal controls and provide benchmark comparisons for the characterization of our pluripotent stem cell-derived liver cells;</w:t>
      </w:r>
    </w:p>
    <w:p>
      <w:pPr>
        <w:spacing w:after="0" w:line="114" w:lineRule="exact"/>
        <w:rPr>
          <w:rFonts w:ascii="Arial" w:cs="Arial" w:eastAsia="Arial" w:hAnsi="Arial"/>
          <w:sz w:val="12"/>
          <w:szCs w:val="12"/>
          <w:color w:val="auto"/>
        </w:rPr>
      </w:pPr>
    </w:p>
    <w:p>
      <w:pPr>
        <w:ind w:left="420" w:hanging="248"/>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Characterize our human pluripotent stem cell-derived liver cells using many of the same industry-standardized assays used to characterize primary human liver cells; and</w:t>
      </w:r>
    </w:p>
    <w:p>
      <w:pPr>
        <w:spacing w:after="0" w:line="150" w:lineRule="exact"/>
        <w:rPr>
          <w:rFonts w:ascii="Arial" w:cs="Arial" w:eastAsia="Arial" w:hAnsi="Arial"/>
          <w:sz w:val="12"/>
          <w:szCs w:val="12"/>
          <w:color w:val="auto"/>
        </w:rPr>
      </w:pPr>
    </w:p>
    <w:p>
      <w:pPr>
        <w:ind w:left="420" w:hanging="248"/>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Produce a joint publication of the characterization of our pluripotent stem cell-derived human liver cells.</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As an industry leader in the development of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primary hepatocyte technology, we believe Celsis IVT has extensive resources to aid us in the benchmarking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to industry standards. We anticipate this collaboration will lead to the further validation of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for predicting liver toxicity and drug metabolism issues before costly human clinical trials.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Synterys, Inc.</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entered into a strategic medicinal chemistry collaboration agreement with Synterys, Inc. (</w:t>
      </w:r>
      <w:r>
        <w:rPr>
          <w:rFonts w:ascii="Arial" w:cs="Arial" w:eastAsia="Arial" w:hAnsi="Arial"/>
          <w:sz w:val="12"/>
          <w:szCs w:val="12"/>
          <w:i w:val="1"/>
          <w:iCs w:val="1"/>
          <w:color w:val="auto"/>
        </w:rPr>
        <w:t>Synterys</w:t>
      </w:r>
      <w:r>
        <w:rPr>
          <w:rFonts w:ascii="Arial" w:cs="Arial" w:eastAsia="Arial" w:hAnsi="Arial"/>
          <w:sz w:val="12"/>
          <w:szCs w:val="12"/>
          <w:color w:val="auto"/>
        </w:rPr>
        <w:t xml:space="preserve">), a leading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8" w:name="page69"/>
    <w:bookmarkEnd w:id="68"/>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Intellectual Property Rights Underlying our Human Clinical Trials in a Test Tube Platform</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established our intellectual property rights to the technology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through a combination of exclusive and non-exclusive licenses, patents, and trade secret laws. To our knowledge, we are the first stem cell company focused primarily on stem cell technology-based drug rescue. We have assembled an intellectual property portfolio around the use of pluripotent stem cell technologies in drug discovery and development and with specific application to drug rescue. The differentiation protocols we have licensed direct the differentiation of pluripotent stem cells through:</w:t>
      </w:r>
    </w:p>
    <w:p>
      <w:pPr>
        <w:spacing w:after="0" w:line="123" w:lineRule="exact"/>
        <w:rPr>
          <w:sz w:val="20"/>
          <w:szCs w:val="20"/>
          <w:color w:val="auto"/>
        </w:rPr>
      </w:pPr>
    </w:p>
    <w:p>
      <w:pPr>
        <w:ind w:left="680" w:hanging="377"/>
        <w:spacing w:after="0"/>
        <w:tabs>
          <w:tab w:leader="none" w:pos="6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 combination of growth factors (molecules that stimulate the growth of cells);</w:t>
      </w:r>
    </w:p>
    <w:p>
      <w:pPr>
        <w:spacing w:after="0" w:line="150" w:lineRule="exact"/>
        <w:rPr>
          <w:rFonts w:ascii="Arial" w:cs="Arial" w:eastAsia="Arial" w:hAnsi="Arial"/>
          <w:sz w:val="12"/>
          <w:szCs w:val="12"/>
          <w:color w:val="auto"/>
        </w:rPr>
      </w:pPr>
    </w:p>
    <w:p>
      <w:pPr>
        <w:ind w:left="680" w:hanging="377"/>
        <w:spacing w:after="0"/>
        <w:tabs>
          <w:tab w:leader="none" w:pos="6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experimentally controlled regulation of developmental genes, which is critical for determining what differentiation path a human cell will take; and</w:t>
      </w:r>
    </w:p>
    <w:p>
      <w:pPr>
        <w:spacing w:after="0" w:line="150" w:lineRule="exact"/>
        <w:rPr>
          <w:rFonts w:ascii="Arial" w:cs="Arial" w:eastAsia="Arial" w:hAnsi="Arial"/>
          <w:sz w:val="12"/>
          <w:szCs w:val="12"/>
          <w:color w:val="auto"/>
        </w:rPr>
      </w:pPr>
    </w:p>
    <w:p>
      <w:pPr>
        <w:ind w:left="680" w:hanging="377"/>
        <w:spacing w:after="0"/>
        <w:tabs>
          <w:tab w:leader="none" w:pos="6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precise selection of immature cell populations for further growth and development.</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By influencing key branch points in the cellular differentiation process, our pluripotent stem cell technologies can produce fully differentiated, non-transformed, highly functional human cells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 an efficient, highly pure and reproducible process.</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As of the date of this prospectus, we either own or license 43 issued U.S. patents and 12 U.S. patent applications and certain foreign counterparts relating to the stem cell technologies that underlie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Our material rights and obligations with respect to these patents and patent applications are summarized below:</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Licenses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National Jewish Health (NJH) Exclusive License</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have exclusive licenses to seven issued U.S. patents held by NJH, certain of which are not essential to our current operations and will expire in November 2014. No foreign counterparts to these U.S. patents and patent application have been obtained. These U.S. patents contain claims covering composition of matter relating to specific populations of cells and precursors, methods to produce such cells, and applications of such cells for ES Cell-derived immature pluripotent precursors of all the cells of the mesoderm and endoderm lineages. Among other cell types, this covers cells of the heart, liver, pancreas, blood, connective tissues, vascular system, gut and lung cells.</w:t>
      </w:r>
    </w:p>
    <w:p>
      <w:pPr>
        <w:spacing w:after="0" w:line="105"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This license agreement requires us to pay NJH 1% of our total revenues up to $30 million in each calendar year and 0.5% of all revenues for amounts greater than $30 million, with minimum annual payments of $25,000. Additionally, this license agreement requires us to make certain royalty payments on sales of products based on NJH’s patents or the sublicensing of such technology. However, the license agreement also includes anti-stacking provisions which reduce our payment obligations by a percentage of any royalty payments and fees paid to third parties, who have licensed necessary intellectual property to us. This agreement remains in force for the life of the patents so long as neither party elects to terminate the agreement upon the other party’s uncured breach or default of an obligation under the agreement. We also have the right to terminate the agreement at any time without cause.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9" w:name="page70"/>
    <w:bookmarkEnd w:id="69"/>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Icahn School of Medicine at Mount Sinai School (MSSM) Exclusive License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an exclusive, field restricted, license to two U.S. patents and two U.S. patent applications, and their foreign counterparts filed by MSSM. Foreign counterparts have been filed in Australia (two), Canada (two), Europe (two), Japan (two), Hong Kong and Singapore. Two of the U.S. applications have been issued and the foreign counterparts in Australia and Singapore have been issued, while the two counterparts in Europe are pending. These patent applications have claims covering composition of matter relating to specific populations of cells and precursors, methods to produce such cells, and applications of such cells, including:</w:t>
      </w:r>
    </w:p>
    <w:p>
      <w:pPr>
        <w:spacing w:after="0" w:line="123" w:lineRule="exact"/>
        <w:rPr>
          <w:sz w:val="20"/>
          <w:szCs w:val="20"/>
          <w:color w:val="auto"/>
        </w:rPr>
      </w:pPr>
    </w:p>
    <w:p>
      <w:pPr>
        <w:ind w:left="680" w:hanging="362"/>
        <w:spacing w:after="0"/>
        <w:tabs>
          <w:tab w:leader="none" w:pos="680" w:val="left"/>
        </w:tabs>
        <w:numPr>
          <w:ilvl w:val="1"/>
          <w:numId w:val="37"/>
        </w:numPr>
        <w:rPr>
          <w:rFonts w:ascii="Arial" w:cs="Arial" w:eastAsia="Arial" w:hAnsi="Arial"/>
          <w:sz w:val="12"/>
          <w:szCs w:val="12"/>
          <w:color w:val="auto"/>
        </w:rPr>
      </w:pPr>
      <w:r>
        <w:rPr>
          <w:rFonts w:ascii="Arial" w:cs="Arial" w:eastAsia="Arial" w:hAnsi="Arial"/>
          <w:sz w:val="12"/>
          <w:szCs w:val="12"/>
          <w:color w:val="auto"/>
        </w:rPr>
        <w:t>the use of certain growth factors to generate mesoderm (that is, the precursors capable of developing into cells of the heart, blood system, connective tissues, and vascular system) from hESCs;</w:t>
      </w:r>
    </w:p>
    <w:p>
      <w:pPr>
        <w:spacing w:after="0" w:line="150" w:lineRule="exact"/>
        <w:rPr>
          <w:rFonts w:ascii="Arial" w:cs="Arial" w:eastAsia="Arial" w:hAnsi="Arial"/>
          <w:sz w:val="12"/>
          <w:szCs w:val="12"/>
          <w:color w:val="auto"/>
        </w:rPr>
      </w:pPr>
    </w:p>
    <w:p>
      <w:pPr>
        <w:ind w:left="680" w:hanging="377"/>
        <w:spacing w:after="0" w:line="276" w:lineRule="auto"/>
        <w:tabs>
          <w:tab w:leader="none" w:pos="6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use of certain growth factors to generate endoderm (that is, the precursors capable of developing into cells of the liver, pancreas, lungs, gut, intestines, thymus, thyroid gland, bladder, and parts of the auditory system) from hESCs; and</w:t>
      </w:r>
    </w:p>
    <w:p>
      <w:pPr>
        <w:spacing w:after="0" w:line="114" w:lineRule="exact"/>
        <w:rPr>
          <w:rFonts w:ascii="Arial" w:cs="Arial" w:eastAsia="Arial" w:hAnsi="Arial"/>
          <w:sz w:val="12"/>
          <w:szCs w:val="12"/>
          <w:color w:val="auto"/>
        </w:rPr>
      </w:pPr>
    </w:p>
    <w:p>
      <w:pPr>
        <w:ind w:left="680" w:hanging="377"/>
        <w:spacing w:after="0"/>
        <w:tabs>
          <w:tab w:leader="none" w:pos="680" w:val="left"/>
        </w:tabs>
        <w:numPr>
          <w:ilvl w:val="0"/>
          <w:numId w:val="37"/>
        </w:numPr>
        <w:rPr>
          <w:rFonts w:ascii="Arial" w:cs="Arial" w:eastAsia="Arial" w:hAnsi="Arial"/>
          <w:sz w:val="11"/>
          <w:szCs w:val="11"/>
          <w:color w:val="auto"/>
        </w:rPr>
      </w:pPr>
      <w:r>
        <w:rPr>
          <w:rFonts w:ascii="Arial" w:cs="Arial" w:eastAsia="Arial" w:hAnsi="Arial"/>
          <w:sz w:val="11"/>
          <w:szCs w:val="11"/>
          <w:color w:val="auto"/>
        </w:rPr>
        <w:t xml:space="preserve">applications of cells derived from mesoderm and endoderm precursors, especially those relating to drug discovery and testing for applications in the field of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discovery and development applications.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This license agreement requires us to pay annual license and patent prosecution and maintenance fees and royalty payments that vary based on product sales and services that are covered by the MSSM patent applications, as well as for any revenues received from sublicensing. Any drug candidates that we develop, including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will only require royalty payments to the extent they require the practice of the licensed technology. To the extent we incur royalty payment obligations from other business activities, the royalty payments are subject to anti-stacking provisions which reduce our payments by a percentage of any royalty payments or fees paid to third parties who have licensed necessary intellectual property to us. The license agreement will remain in force for the life of the patents so long as neither party terminates the agreement for cause (i) due to a material breach or default in performance of any provision of the agreement that is not cured within 60 days or (ii) in the case of failure to pay amounts due within 30 days.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Wisconsin Alumni Research Foundation (WARF) Non-Exclusive License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non-exclusive licenses to 28 issued stem cell-related U.S. patents, 14 stem cell-related U.S. patent applications, of which two have been allowed, and certain foreign counterparts held by WARF, for applications in the field of </w:t>
      </w:r>
      <w:r>
        <w:rPr>
          <w:rFonts w:ascii="Arial" w:cs="Arial" w:eastAsia="Arial" w:hAnsi="Arial"/>
          <w:sz w:val="12"/>
          <w:szCs w:val="12"/>
          <w:i w:val="1"/>
          <w:iCs w:val="1"/>
          <w:color w:val="auto"/>
        </w:rPr>
        <w:t>in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vitro </w:t>
      </w:r>
      <w:r>
        <w:rPr>
          <w:rFonts w:ascii="Arial" w:cs="Arial" w:eastAsia="Arial" w:hAnsi="Arial"/>
          <w:sz w:val="12"/>
          <w:szCs w:val="12"/>
          <w:color w:val="auto"/>
        </w:rPr>
        <w:t>drug discovery and development. Foreign counterparts have been filed in Australia, Canada, Europe, China, India, Hong Kong, Israel, Brazil, South Korea, India, Mexico, and New Zealand. The subject matter of these patents includes</w:t>
      </w:r>
      <w:r>
        <w:rPr>
          <w:rFonts w:ascii="Arial" w:cs="Arial" w:eastAsia="Arial" w:hAnsi="Arial"/>
          <w:sz w:val="12"/>
          <w:szCs w:val="12"/>
          <w:i w:val="1"/>
          <w:iCs w:val="1"/>
          <w:color w:val="auto"/>
        </w:rPr>
        <w:t xml:space="preserve"> </w:t>
      </w:r>
      <w:r>
        <w:rPr>
          <w:rFonts w:ascii="Arial" w:cs="Arial" w:eastAsia="Arial" w:hAnsi="Arial"/>
          <w:sz w:val="12"/>
          <w:szCs w:val="12"/>
          <w:color w:val="auto"/>
        </w:rPr>
        <w:t>specific hESC lines and composition of matter and use claims relating to hESCs important to drug discovery, and drug rescue screening. We have rights to:</w:t>
      </w:r>
    </w:p>
    <w:p>
      <w:pPr>
        <w:spacing w:after="0" w:line="123" w:lineRule="exact"/>
        <w:rPr>
          <w:sz w:val="20"/>
          <w:szCs w:val="20"/>
          <w:color w:val="auto"/>
        </w:rPr>
      </w:pPr>
    </w:p>
    <w:p>
      <w:pPr>
        <w:ind w:left="680" w:hanging="377"/>
        <w:spacing w:after="0"/>
        <w:tabs>
          <w:tab w:leader="none" w:pos="6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use the technology for internal research and drug development;</w:t>
      </w:r>
    </w:p>
    <w:p>
      <w:pPr>
        <w:spacing w:after="0" w:line="150" w:lineRule="exact"/>
        <w:rPr>
          <w:rFonts w:ascii="Arial" w:cs="Arial" w:eastAsia="Arial" w:hAnsi="Arial"/>
          <w:sz w:val="12"/>
          <w:szCs w:val="12"/>
          <w:color w:val="auto"/>
        </w:rPr>
      </w:pPr>
    </w:p>
    <w:p>
      <w:pPr>
        <w:ind w:left="680" w:hanging="377"/>
        <w:spacing w:after="0"/>
        <w:tabs>
          <w:tab w:leader="none" w:pos="6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provide discovery and screening services to third parties; and</w:t>
      </w:r>
    </w:p>
    <w:p>
      <w:pPr>
        <w:spacing w:after="0" w:line="150" w:lineRule="exact"/>
        <w:rPr>
          <w:rFonts w:ascii="Arial" w:cs="Arial" w:eastAsia="Arial" w:hAnsi="Arial"/>
          <w:sz w:val="12"/>
          <w:szCs w:val="12"/>
          <w:color w:val="auto"/>
        </w:rPr>
      </w:pPr>
    </w:p>
    <w:p>
      <w:pPr>
        <w:ind w:left="680" w:hanging="377"/>
        <w:spacing w:after="0"/>
        <w:tabs>
          <w:tab w:leader="none" w:pos="6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market and sell research products (that is, cellular assays incorporating the licensed technology).</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This license agreement requires us to make royalty payments that vary based on product sales and services that incorporate the licensed technology. We do not believe that any drug rescue candidates to be developed by us will incorporate the licensed technology and, therefore, no royalty payments will be payable. Nevertheless, there is a minimum royalty of $20,000 per calendar year. There are also milestone fees related to the discovery of therapeutic molecules, though no royalties are owed on such molecules. The royalty payments are subject to anti-stacking provisions which reduce our payments by a percentage of any royalty payments paid to third parties who have licensed necessary intellectual property to us. The agreement remains in force for the life of the patents so long as we pay all monies due and do not breach any covenants, and such breach or default is uncured for 90 days. We may also terminate the agreement at any time upon 60 days’ notice. There are no reach through royalties on customer-owned small molecule or biologic drug products developed using the licensed technologies.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0" w:name="page71"/>
    <w:bookmarkEnd w:id="70"/>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Patents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have filed two U.S. patent applications on liver stem cells and their applications in drug development relating to toxicity testing; one patent has issued and a second patent application is pending. Of the related international filings, European, Canadian and Korean patents were issued. The European patent has been registered in 11 European countries. We have filed a U.S. patent application, with foreign counterpart filing in Canada and Europe, directed to methods for producing human pluripotent stem cell-derived endocrine cells of the pancreas, with a specific focus on beta-islet cells, the cells that produce insulin, and their uses in diabetes drug discovery and screening.</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material patents currently related to the generation of human heart and liver cells for use in connection with our drug rescue activities are set forth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Territory</w:t>
            </w:r>
          </w:p>
        </w:tc>
        <w:tc>
          <w:tcPr>
            <w:tcW w:w="100" w:type="dxa"/>
            <w:vAlign w:val="bottom"/>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Patent No.</w:t>
            </w:r>
          </w:p>
        </w:tc>
        <w:tc>
          <w:tcPr>
            <w:tcW w:w="120" w:type="dxa"/>
            <w:vAlign w:val="bottom"/>
          </w:tcPr>
          <w:p>
            <w:pPr>
              <w:spacing w:after="0"/>
              <w:rPr>
                <w:sz w:val="13"/>
                <w:szCs w:val="13"/>
                <w:color w:val="auto"/>
              </w:rPr>
            </w:pPr>
          </w:p>
        </w:tc>
        <w:tc>
          <w:tcPr>
            <w:tcW w:w="4760" w:type="dxa"/>
            <w:vAlign w:val="bottom"/>
            <w:tcBorders>
              <w:bottom w:val="single" w:sz="8" w:color="auto"/>
            </w:tcBorders>
          </w:tcPr>
          <w:p>
            <w:pPr>
              <w:ind w:left="1760"/>
              <w:spacing w:after="0"/>
              <w:rPr>
                <w:sz w:val="20"/>
                <w:szCs w:val="20"/>
                <w:color w:val="auto"/>
              </w:rPr>
            </w:pPr>
            <w:r>
              <w:rPr>
                <w:rFonts w:ascii="Arial" w:cs="Arial" w:eastAsia="Arial" w:hAnsi="Arial"/>
                <w:sz w:val="12"/>
                <w:szCs w:val="12"/>
                <w:b w:val="1"/>
                <w:bCs w:val="1"/>
                <w:color w:val="auto"/>
              </w:rPr>
              <w:t>General Subject Matter</w:t>
            </w:r>
          </w:p>
        </w:tc>
        <w:tc>
          <w:tcPr>
            <w:tcW w:w="120" w:type="dxa"/>
            <w:vAlign w:val="bottom"/>
          </w:tcPr>
          <w:p>
            <w:pPr>
              <w:spacing w:after="0"/>
              <w:rPr>
                <w:sz w:val="13"/>
                <w:szCs w:val="13"/>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Expiration</w:t>
            </w:r>
          </w:p>
        </w:tc>
      </w:tr>
      <w:tr>
        <w:trPr>
          <w:trHeight w:val="142"/>
        </w:trPr>
        <w:tc>
          <w:tcPr>
            <w:tcW w:w="20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US</w:t>
            </w:r>
          </w:p>
        </w:tc>
        <w:tc>
          <w:tcPr>
            <w:tcW w:w="172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89"/>
              </w:rPr>
              <w:t>7,763,466</w:t>
            </w: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Method to produce endoderm cells</w:t>
            </w:r>
          </w:p>
        </w:tc>
        <w:tc>
          <w:tcPr>
            <w:tcW w:w="12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May 2025</w:t>
            </w:r>
          </w:p>
        </w:tc>
      </w:tr>
      <w:tr>
        <w:trPr>
          <w:trHeight w:val="144"/>
        </w:trPr>
        <w:tc>
          <w:tcPr>
            <w:tcW w:w="2080" w:type="dxa"/>
            <w:vAlign w:val="bottom"/>
          </w:tcPr>
          <w:p>
            <w:pPr>
              <w:jc w:val="center"/>
              <w:spacing w:after="0"/>
              <w:rPr>
                <w:sz w:val="20"/>
                <w:szCs w:val="20"/>
                <w:color w:val="auto"/>
              </w:rPr>
            </w:pPr>
            <w:r>
              <w:rPr>
                <w:rFonts w:ascii="Arial" w:cs="Arial" w:eastAsia="Arial" w:hAnsi="Arial"/>
                <w:sz w:val="12"/>
                <w:szCs w:val="12"/>
                <w:color w:val="auto"/>
                <w:w w:val="95"/>
              </w:rPr>
              <w:t>US</w:t>
            </w:r>
          </w:p>
        </w:tc>
        <w:tc>
          <w:tcPr>
            <w:tcW w:w="1720" w:type="dxa"/>
            <w:vAlign w:val="bottom"/>
            <w:gridSpan w:val="2"/>
          </w:tcPr>
          <w:p>
            <w:pPr>
              <w:jc w:val="center"/>
              <w:ind w:left="60"/>
              <w:spacing w:after="0"/>
              <w:rPr>
                <w:sz w:val="20"/>
                <w:szCs w:val="20"/>
                <w:color w:val="auto"/>
              </w:rPr>
            </w:pPr>
            <w:r>
              <w:rPr>
                <w:rFonts w:ascii="Arial" w:cs="Arial" w:eastAsia="Arial" w:hAnsi="Arial"/>
                <w:sz w:val="12"/>
                <w:szCs w:val="12"/>
                <w:color w:val="auto"/>
                <w:w w:val="89"/>
              </w:rPr>
              <w:t>7,955,849</w:t>
            </w:r>
          </w:p>
        </w:tc>
        <w:tc>
          <w:tcPr>
            <w:tcW w:w="4880" w:type="dxa"/>
            <w:vAlign w:val="bottom"/>
            <w:gridSpan w:val="2"/>
          </w:tcPr>
          <w:p>
            <w:pPr>
              <w:ind w:left="120"/>
              <w:spacing w:after="0"/>
              <w:rPr>
                <w:sz w:val="20"/>
                <w:szCs w:val="20"/>
                <w:color w:val="auto"/>
              </w:rPr>
            </w:pPr>
            <w:r>
              <w:rPr>
                <w:rFonts w:ascii="Arial" w:cs="Arial" w:eastAsia="Arial" w:hAnsi="Arial"/>
                <w:sz w:val="12"/>
                <w:szCs w:val="12"/>
                <w:color w:val="auto"/>
              </w:rPr>
              <w:t>Method of enriching population of mesoderm cells</w:t>
            </w:r>
          </w:p>
        </w:tc>
        <w:tc>
          <w:tcPr>
            <w:tcW w:w="120" w:type="dxa"/>
            <w:vAlign w:val="bottom"/>
          </w:tcPr>
          <w:p>
            <w:pPr>
              <w:spacing w:after="0"/>
              <w:rPr>
                <w:sz w:val="12"/>
                <w:szCs w:val="12"/>
                <w:color w:val="auto"/>
              </w:rPr>
            </w:pPr>
          </w:p>
        </w:tc>
        <w:tc>
          <w:tcPr>
            <w:tcW w:w="2680" w:type="dxa"/>
            <w:vAlign w:val="bottom"/>
          </w:tcPr>
          <w:p>
            <w:pPr>
              <w:jc w:val="center"/>
              <w:spacing w:after="0"/>
              <w:rPr>
                <w:sz w:val="20"/>
                <w:szCs w:val="20"/>
                <w:color w:val="auto"/>
              </w:rPr>
            </w:pPr>
            <w:r>
              <w:rPr>
                <w:rFonts w:ascii="Arial" w:cs="Arial" w:eastAsia="Arial" w:hAnsi="Arial"/>
                <w:sz w:val="12"/>
                <w:szCs w:val="12"/>
                <w:color w:val="auto"/>
                <w:w w:val="94"/>
              </w:rPr>
              <w:t>May 2023</w:t>
            </w:r>
          </w:p>
        </w:tc>
      </w:tr>
      <w:tr>
        <w:trPr>
          <w:trHeight w:val="144"/>
        </w:trPr>
        <w:tc>
          <w:tcPr>
            <w:tcW w:w="20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US</w:t>
            </w:r>
          </w:p>
        </w:tc>
        <w:tc>
          <w:tcPr>
            <w:tcW w:w="172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89"/>
              </w:rPr>
              <w:t>8,143,009</w:t>
            </w: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Toxicity typing using liver stem cells</w:t>
            </w:r>
          </w:p>
        </w:tc>
        <w:tc>
          <w:tcPr>
            <w:tcW w:w="12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June 2023</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With respect to AV-101, we have filed three new U.S. patent applications.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Trade Secrets</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rely, in part, on trade secrets for protection of some of our intellectual property. We attempt to protect trade secrets by entering into confidentiality agreements with third parties, employees and consultants. Our employees and consultants also sign agreements requiring that they assign to us their interests in patents and copyrights arising from their work for us.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Sponsored Research Collaborations and Intellectual Property Rights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University Health Network, McEwen Centre for Regenerative Medicine, Toronto, Ontario</w:t>
      </w:r>
    </w:p>
    <w:p>
      <w:pPr>
        <w:spacing w:after="0" w:line="150" w:lineRule="exact"/>
        <w:rPr>
          <w:sz w:val="20"/>
          <w:szCs w:val="20"/>
          <w:color w:val="auto"/>
        </w:rPr>
      </w:pPr>
    </w:p>
    <w:p>
      <w:pPr>
        <w:jc w:val="both"/>
        <w:spacing w:after="0" w:line="313" w:lineRule="auto"/>
        <w:rPr>
          <w:sz w:val="20"/>
          <w:szCs w:val="20"/>
          <w:color w:val="auto"/>
        </w:rPr>
      </w:pPr>
      <w:r>
        <w:rPr>
          <w:rFonts w:ascii="Arial" w:cs="Arial" w:eastAsia="Arial" w:hAnsi="Arial"/>
          <w:sz w:val="10"/>
          <w:szCs w:val="10"/>
          <w:color w:val="auto"/>
        </w:rPr>
        <w:t xml:space="preserve">We have a long-term strategic stem cell research collaboration with our co-founder, Dr. Gordon Keller, Director of the UHN’s McEwen Centre, focused on, among other things, developing improved methods for differentiation of cardiomyocytes (heart cells) from pluripotent stem cells, and their uses in biological assay systems for drug discovery and drug development, including drug rescue. Pursuant to our sponsored research collaboration agreement with UHN, we have the right to acquire exclusive worldwide rights to any inventions arising from studies we sponsor, under pre-negotiated license terms. Such pre-negotiated terms provide for royalty payments equal to 3% of the first $25.0 million of certain revenues received under the agreement, and 2% thereafter, based on product sales that incorporate the licensed technology and milestone payments based on the achievement of certain events. Any </w:t>
      </w:r>
      <w:r>
        <w:rPr>
          <w:rFonts w:ascii="Arial" w:cs="Arial" w:eastAsia="Arial" w:hAnsi="Arial"/>
          <w:sz w:val="10"/>
          <w:szCs w:val="10"/>
          <w:i w:val="1"/>
          <w:iCs w:val="1"/>
          <w:color w:val="auto"/>
        </w:rPr>
        <w:t>Drug Rescue Variants</w:t>
      </w:r>
      <w:r>
        <w:rPr>
          <w:rFonts w:ascii="Arial" w:cs="Arial" w:eastAsia="Arial" w:hAnsi="Arial"/>
          <w:sz w:val="10"/>
          <w:szCs w:val="10"/>
          <w:color w:val="auto"/>
        </w:rPr>
        <w:t xml:space="preserve">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1" w:name="page72"/>
    <w:bookmarkEnd w:id="71"/>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sponsored research collaboration agreement with UHN, as amended, has a term of ten years, ending on September 18, 2017. Our 2012/2013 sponsored research project budget under the agreement ended on September 30, 2013. We are currently in discussions with Dr. Keller and UHN regarding the scope of our future sponsored research projects under the agreement. We anticipate finalizing such discussions following consummation of this Offering.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UHN License for Stem Cell Culture Technology</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In April 2012, we licensed stem cell culture technology from UHN’s McEwen Centre. We intend to utilize the licensed technology to develop hematopoietic precursor stem cells from human pluripotent stem cells, with the goal of developing drug discovery screening and regenerative medicine applications for human blood system disorders. This technology is included in a United States patent application. The terms of this agreement provide for a royalty payment equal to 3% of the first $25.0 million of certain revenues received from the licensed technology, and 2% thereafter. We believe this stem cell technology dramatically advances our ability to produce and purify this important blood stem cell precursor for both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discovery screening and potential regenerative medicine applications. In addition to defining new cell culture methods for our use, the technology describes the surface characteristics of stem cell-derived adult hematopoietic stem cells. Most groups study embryonic blood development from stem cells, but, for the first time, we are now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AV-101-Related Intellectual Property</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We have exclusive licenses to issued U.S. patents related to the use and function of AV-101, and various central nervous system (</w:t>
      </w:r>
      <w:r>
        <w:rPr>
          <w:rFonts w:ascii="Arial" w:cs="Arial" w:eastAsia="Arial" w:hAnsi="Arial"/>
          <w:sz w:val="11"/>
          <w:szCs w:val="11"/>
          <w:i w:val="1"/>
          <w:iCs w:val="1"/>
          <w:color w:val="auto"/>
        </w:rPr>
        <w:t>CNS</w:t>
      </w:r>
      <w:r>
        <w:rPr>
          <w:rFonts w:ascii="Arial" w:cs="Arial" w:eastAsia="Arial" w:hAnsi="Arial"/>
          <w:sz w:val="11"/>
          <w:szCs w:val="11"/>
          <w:color w:val="auto"/>
        </w:rPr>
        <w:t>)-active molecules related to AV-101. These patents are held by the University of Maryland, Baltimore, the Cornell Research Foundation, Inc. and Aventis, Inc. The principle U.S. method of use patent related to AV-101 has expired. Foreign counterparts to that U.S. patent also have expired. However, we have filed three U.S. patent applications relating to AV-101. In addition, among the key components of our commercial protection strategy with respect to AV-101 is the New Drug Product Exclusivity provided by the FDA under section 505(c)(3)(E) and 505(j)(5)(F) of the Federal Food, Drug, and Cosmetic Act (</w:t>
      </w:r>
      <w:r>
        <w:rPr>
          <w:rFonts w:ascii="Arial" w:cs="Arial" w:eastAsia="Arial" w:hAnsi="Arial"/>
          <w:sz w:val="11"/>
          <w:szCs w:val="11"/>
          <w:i w:val="1"/>
          <w:iCs w:val="1"/>
          <w:color w:val="auto"/>
        </w:rPr>
        <w:t>FDCA</w:t>
      </w:r>
      <w:r>
        <w:rPr>
          <w:rFonts w:ascii="Arial" w:cs="Arial" w:eastAsia="Arial" w:hAnsi="Arial"/>
          <w:sz w:val="11"/>
          <w:szCs w:val="11"/>
          <w:color w:val="auto"/>
        </w:rPr>
        <w:t>). The FDA’s New Drug Product Exclusivity is available for new chemical entities (</w:t>
      </w:r>
      <w:r>
        <w:rPr>
          <w:rFonts w:ascii="Arial" w:cs="Arial" w:eastAsia="Arial" w:hAnsi="Arial"/>
          <w:sz w:val="11"/>
          <w:szCs w:val="11"/>
          <w:i w:val="1"/>
          <w:iCs w:val="1"/>
          <w:color w:val="auto"/>
        </w:rPr>
        <w:t>NCEs</w:t>
      </w:r>
      <w:r>
        <w:rPr>
          <w:rFonts w:ascii="Arial" w:cs="Arial" w:eastAsia="Arial" w:hAnsi="Arial"/>
          <w:sz w:val="11"/>
          <w:szCs w:val="11"/>
          <w:color w:val="auto"/>
        </w:rPr>
        <w:t>) such as AV-101, which, by definition, are innovative and have not been approved previously by the FDA, either alone or in combination. The FDA’s New Drug Product Exclusivity protection provides the holder of an FDA-approved new drug application (</w:t>
      </w:r>
      <w:r>
        <w:rPr>
          <w:rFonts w:ascii="Arial" w:cs="Arial" w:eastAsia="Arial" w:hAnsi="Arial"/>
          <w:sz w:val="11"/>
          <w:szCs w:val="11"/>
          <w:i w:val="1"/>
          <w:iCs w:val="1"/>
          <w:color w:val="auto"/>
        </w:rPr>
        <w:t>NDA</w:t>
      </w:r>
      <w:r>
        <w:rPr>
          <w:rFonts w:ascii="Arial" w:cs="Arial" w:eastAsia="Arial" w:hAnsi="Arial"/>
          <w:sz w:val="11"/>
          <w:szCs w:val="11"/>
          <w:color w:val="auto"/>
        </w:rPr>
        <w:t>) up to five (5) years of protection from new competition in the U.S. marketplace for the innovation represented by its approved new drug product. This protection precludes FDA approval of certain generic drug applications under section 505(b)(2) of the FDCA, as well certain abbreviated new drug applications (</w:t>
      </w:r>
      <w:r>
        <w:rPr>
          <w:rFonts w:ascii="Arial" w:cs="Arial" w:eastAsia="Arial" w:hAnsi="Arial"/>
          <w:sz w:val="11"/>
          <w:szCs w:val="11"/>
          <w:i w:val="1"/>
          <w:iCs w:val="1"/>
          <w:color w:val="auto"/>
        </w:rPr>
        <w:t>ANDAs</w:t>
      </w:r>
      <w:r>
        <w:rPr>
          <w:rFonts w:ascii="Arial" w:cs="Arial" w:eastAsia="Arial" w:hAnsi="Arial"/>
          <w:sz w:val="11"/>
          <w:szCs w:val="11"/>
          <w:color w:val="auto"/>
        </w:rPr>
        <w:t>), during the up to five-year exclusivity period, except that such applications may be submitted after four years if they contain a certification of patent invalidity or non-infringement.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2" w:name="page73"/>
    <w:bookmarkEnd w:id="72"/>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license agreement requires us to make royalty payments on 2% of net sales of products using the patent rights, including products containing compounds covered by the patent rights. Additionally, the license agreement requires us to pay a 1% royalty on net sales of combination products that use patent rights, or contain compounds covered by the patent rights. Consequently, future sales of AV-101 are subject to a 2% royalty obligation. There are no license, milestone or maintenance fees under the agreement. The agreement remains in force until the later of: (i) the expiration or invalidation of the last patent right; and (ii) 10 years after the first commercial sale of the first product that uses the patent rights or contains a compound covered by the patent rights. This agreement may also be terminated earlier at the election of the licensor upon our failure to pay any monies due, our failure to provide updates and reports to the licensor, our failure to provide the necessary financial and other resources required to develop the products, or our failure to cure within 90 days any breach of any provision of the agreement. We may also terminate the agreement at any time upon 90 days’ written notice so long as we make all payments due through the effective date of termination.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 xml:space="preserve">We believe that our human pluripotent stem cell (hPSC) technology platform,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drug discovery and safety testing, contract predictive toxicology drug screening services for third parties, internal drug discovery, development and rescue of new molecular entities (</w:t>
      </w:r>
      <w:r>
        <w:rPr>
          <w:rFonts w:ascii="Arial" w:cs="Arial" w:eastAsia="Arial" w:hAnsi="Arial"/>
          <w:sz w:val="12"/>
          <w:szCs w:val="12"/>
          <w:i w:val="1"/>
          <w:iCs w:val="1"/>
          <w:color w:val="auto"/>
        </w:rPr>
        <w:t>NMEs</w:t>
      </w:r>
      <w:r>
        <w:rPr>
          <w:rFonts w:ascii="Arial" w:cs="Arial" w:eastAsia="Arial" w:hAnsi="Arial"/>
          <w:sz w:val="12"/>
          <w:szCs w:val="12"/>
          <w:color w:val="auto"/>
        </w:rPr>
        <w:t xml:space="preserve">), and regenerative medicine, including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cell therapy research and development. A representative list of such biopharmaceutical companies pursuing one or more of these potential applications of adult and/or pluripotent stem cell technology includes the following: Acea Biosciences, Advanced Cell Technology, Athersys, BioTime, Cellectis Bioresearch, Cellular Dynamics, Cellerant Therapeutics, Cytori Therapeutics, HemoGenix, International Stem Cell, NeoStem, Neuralstem, Organovo Holdings, PluriStem Therapeutics, Stem Cells, and Stemina BioMarker Discovery. Pharmaceutical companies and other established corporations such as Bristol-Myers Squibb, GE Healthcare Life Sciences, GlaxoSmithKline, Life Technologies, Novartis, Pfizer, Roche Holdings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We believe the best and most valuable near term commercial application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is internal production of NMEs, which we refer to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through small molecule drug rescue. We believe that the stem cell technologies underlying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and our primary focus on opportunities to produce small molecule NMEs through drug rescue provide us substantial competitive advantages associated with application of human biology at the front end of the drug development process, before animal and human testing. Although we believe that our model for the application of human pluripotent stem cell technology for drug rescue is novel, significant competition may arise or otherwise increase considerably as the acceptance and use of hPSC technology, the sale of hPSC-derived human heart and liver cells, and the availability of hPSC-related contract predictive toxicology screening services, for drug discovery, development and rescue, as well as cell therapy and regenerative medicine, continue to become more widespread throughout the academic research community and the pharmaceutical and biotechnology industries. In addition, significant competition may arise from those academic research institutions, contract research organizations, and biopharmaceutical companies currently producing or capable of producing, currently using or capable of using, hPSC-derived heart cells and liver cells for third-party sales, contract screening or cell therapy research and development, that elect or their customers elect to transform their current business operations to include internal drug rescue and development of small molecule NMEs in a manner similar to our drug rescue model.</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3" w:name="page74"/>
    <w:bookmarkEnd w:id="73"/>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With respect to AV-101, we believe that a range of pharmaceutical and biotechnology companies have programs to develop small molecule drug candidates for the treatment of neuropathic pain, epilepsy, depression, Parkinson’s disease and other neurological conditions and diseases, including Abbott Laboratories, GlaxoSmithKline, Johnson &amp; Johnson, Novartis, and Pfizer. We expect that AV-101 will have to compete with a variety of therapeutic products and procedures. With respect to each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we are able to produce, we anticipate that a range of pharmaceutical and biotechnology companies will have programs to develop small molecule drug candidates or biologics for the treatment of the diseases or conditions targeted by each such </w:t>
      </w:r>
      <w:r>
        <w:rPr>
          <w:rFonts w:ascii="Arial" w:cs="Arial" w:eastAsia="Arial" w:hAnsi="Arial"/>
          <w:sz w:val="12"/>
          <w:szCs w:val="12"/>
          <w:i w:val="1"/>
          <w:iCs w:val="1"/>
          <w:color w:val="auto"/>
        </w:rPr>
        <w:t>Drug Rescue Variant</w:t>
      </w:r>
      <w:r>
        <w:rPr>
          <w:rFonts w:ascii="Arial" w:cs="Arial" w:eastAsia="Arial" w:hAnsi="Arial"/>
          <w:sz w:val="12"/>
          <w:szCs w:val="12"/>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States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With respect to drug development, government authorities at the federal, state and local levels in the U.S. and other countries extensively regulate, among other things, the research, development, testing, manufacture, labeling, promotion, advertising, distribution, marketing, pricing and export and import of pharmaceutical products such as those we are developing. In the U.S., pharmaceuticals, biologics and medical devices are subject to rigorous FDA regulation. Federal and state statutes and regulations in the United States govern, among other things, the testing, manufacture, safety, efficacy, labeling, storage, export, record keeping, approval, marketing, advertising and promotion of our potential drug rescue variants. The information that must be submitted to the FDA in order to obtain approval to market a new drug varies depending on whether the drug is a new product whose safety and effectiveness has not previously been demonstrated in humans, or a drug whose active ingredient(s) and certain other properties are the same as those of a previously approved drug. Product development and approval within this regulatory framework takes a number of years and involves significant uncertainty combined with the expenditure of substantial resources.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Companies seeking FDA approval to sell a new prescription drug in the United States must test it in various ways. Currently, first are laboratory and animal tests. Next are tests in humans to see if the drug candidate is safe and effective when used to treat or diagnose a disease. After testing the drug candidate, the company developing it then sends the FDA an application called a New Drug Application (</w:t>
      </w:r>
      <w:r>
        <w:rPr>
          <w:rFonts w:ascii="Arial" w:cs="Arial" w:eastAsia="Arial" w:hAnsi="Arial"/>
          <w:sz w:val="12"/>
          <w:szCs w:val="12"/>
          <w:i w:val="1"/>
          <w:iCs w:val="1"/>
          <w:color w:val="auto"/>
        </w:rPr>
        <w:t>NDA</w:t>
      </w:r>
      <w:r>
        <w:rPr>
          <w:rFonts w:ascii="Arial" w:cs="Arial" w:eastAsia="Arial" w:hAnsi="Arial"/>
          <w:sz w:val="12"/>
          <w:szCs w:val="12"/>
          <w:color w:val="auto"/>
        </w:rPr>
        <w:t>). Some drug candidates are made out of biologic materials, including human cells, such as the human cells derived from human pluripotent stem cells. Instead of an NDA, new biologic drug candidates are approved using a Biologics License Application (</w:t>
      </w:r>
      <w:r>
        <w:rPr>
          <w:rFonts w:ascii="Arial" w:cs="Arial" w:eastAsia="Arial" w:hAnsi="Arial"/>
          <w:sz w:val="12"/>
          <w:szCs w:val="12"/>
          <w:i w:val="1"/>
          <w:iCs w:val="1"/>
          <w:color w:val="auto"/>
        </w:rPr>
        <w:t>BLA</w:t>
      </w:r>
      <w:r>
        <w:rPr>
          <w:rFonts w:ascii="Arial" w:cs="Arial" w:eastAsia="Arial" w:hAnsi="Arial"/>
          <w:sz w:val="12"/>
          <w:szCs w:val="12"/>
          <w:color w:val="auto"/>
        </w:rPr>
        <w:t>). Whether an NDA or a BLA, the application includes:</w:t>
      </w:r>
    </w:p>
    <w:p>
      <w:pPr>
        <w:spacing w:after="0" w:line="143" w:lineRule="exact"/>
        <w:rPr>
          <w:sz w:val="20"/>
          <w:szCs w:val="20"/>
          <w:color w:val="auto"/>
        </w:rPr>
      </w:pPr>
    </w:p>
    <w:p>
      <w:pPr>
        <w:ind w:left="800" w:hanging="439"/>
        <w:spacing w:after="0"/>
        <w:tabs>
          <w:tab w:leader="none" w:pos="8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drug candidate’s test results;</w:t>
      </w:r>
    </w:p>
    <w:p>
      <w:pPr>
        <w:spacing w:after="0" w:line="150" w:lineRule="exact"/>
        <w:rPr>
          <w:rFonts w:ascii="Arial" w:cs="Arial" w:eastAsia="Arial" w:hAnsi="Arial"/>
          <w:sz w:val="12"/>
          <w:szCs w:val="12"/>
          <w:color w:val="auto"/>
        </w:rPr>
      </w:pPr>
    </w:p>
    <w:p>
      <w:pPr>
        <w:ind w:left="800" w:hanging="439"/>
        <w:spacing w:after="0"/>
        <w:tabs>
          <w:tab w:leader="none" w:pos="8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manufacturing information to demonstrate the company developing the drug candidate can properly manufacture it; and</w:t>
      </w:r>
    </w:p>
    <w:p>
      <w:pPr>
        <w:spacing w:after="0" w:line="150" w:lineRule="exact"/>
        <w:rPr>
          <w:rFonts w:ascii="Arial" w:cs="Arial" w:eastAsia="Arial" w:hAnsi="Arial"/>
          <w:sz w:val="12"/>
          <w:szCs w:val="12"/>
          <w:color w:val="auto"/>
        </w:rPr>
      </w:pPr>
    </w:p>
    <w:p>
      <w:pPr>
        <w:ind w:left="800" w:hanging="439"/>
        <w:spacing w:after="0"/>
        <w:tabs>
          <w:tab w:leader="none" w:pos="8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proposed label for the drug candidate, which provides necessary information about the drug candidate, including uses for which it has been shown to be effective, possible risks, and how to use it.</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If a review by FDA physicians and scientists shows the drug candidate's benefits outweigh its known risks and the drug candidate can be manufactured in a way that ensures a quality product, the drug candidate is approved and can be marketed in the United States.</w:t>
      </w:r>
    </w:p>
    <w:p>
      <w:pPr>
        <w:spacing w:after="0" w:line="133"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New drug and biological product development and approval takes many years, involves the expenditure of substantial resources and is uncertain to succeed. Many new drug and biological candidates appear promising in early stages of development but ultimately do not reach the market because they cannot meet FDA or other regulatory requirements. In addition, the current regulatory framework may change through regulatory, legislative or judicial actions or additional regulations may arise during development that may affect approval or delay the submission or review of an application.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4" w:name="page75"/>
    <w:bookmarkEnd w:id="74"/>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activities required before a new drug or biological candidate may be approved for marketing in the U.S. begin with nonclinical testing, which includes laboratory evaluation and animal studies to assess the potential safety and efficacy of the product as formulated. Results of nonclinical studies are summarized in an Investigational New Drug (</w:t>
      </w:r>
      <w:r>
        <w:rPr>
          <w:rFonts w:ascii="Arial" w:cs="Arial" w:eastAsia="Arial" w:hAnsi="Arial"/>
          <w:sz w:val="12"/>
          <w:szCs w:val="12"/>
          <w:i w:val="1"/>
          <w:iCs w:val="1"/>
          <w:color w:val="auto"/>
        </w:rPr>
        <w:t>IND</w:t>
      </w:r>
      <w:r>
        <w:rPr>
          <w:rFonts w:ascii="Arial" w:cs="Arial" w:eastAsia="Arial" w:hAnsi="Arial"/>
          <w:sz w:val="12"/>
          <w:szCs w:val="12"/>
          <w:color w:val="auto"/>
        </w:rPr>
        <w:t>) application to the FDA. Human clinical trials may begin 30 days following submission of an IND application, unless the FDA requires additional time to review the application or raise questions.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Clinical testing involves the administration of the new drug or biological candidate to healthy human volunteers or to patients under the supervision of a qualified principal investigator, usually a physician, pursuant to an FDA-reviewed protocol. Each clinical study is conducted under the auspices of an institutional review board (</w:t>
      </w:r>
      <w:r>
        <w:rPr>
          <w:rFonts w:ascii="Arial" w:cs="Arial" w:eastAsia="Arial" w:hAnsi="Arial"/>
          <w:sz w:val="12"/>
          <w:szCs w:val="12"/>
          <w:i w:val="1"/>
          <w:iCs w:val="1"/>
          <w:color w:val="auto"/>
        </w:rPr>
        <w:t>IRB</w:t>
      </w:r>
      <w:r>
        <w:rPr>
          <w:rFonts w:ascii="Arial" w:cs="Arial" w:eastAsia="Arial" w:hAnsi="Arial"/>
          <w:sz w:val="12"/>
          <w:szCs w:val="12"/>
          <w:color w:val="auto"/>
        </w:rPr>
        <w:t>) at each of the institutions at which the study will be conducted. A clinical plan, or “protocol,” accompanied by the approval of an IRB, must be submitted to the FDA as part of the IND application prior to commencement of each clinical trial. Human clinical trials are conducted typically in three sequential phases. Phase I trials primarily consist of testing the product’s safety in a small number of patients or healthy volunteers. In Phase II trials, the safety and efficacy of the biological candidate is evaluated in a specific patient population. Phase III trials typically involve additional testing for safety and clinical efficacy in an expanded patient population at geographically dispersed sites. The FDA may order the temporary or permanent discontinuance of a nonclinical or clinical trial at any time for a variety of reasons, particularly if safety concerns exist.</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All procedures we use to obtain clinical samples, and the procedures we use to isolate hESCs, are consistent with the informed consent and ethical guidelines promulgated by either the U.S. National Academy of Science, the International Society of Stem Cell Research (</w:t>
      </w:r>
      <w:r>
        <w:rPr>
          <w:rFonts w:ascii="Arial" w:cs="Arial" w:eastAsia="Arial" w:hAnsi="Arial"/>
          <w:sz w:val="12"/>
          <w:szCs w:val="12"/>
          <w:i w:val="1"/>
          <w:iCs w:val="1"/>
          <w:color w:val="auto"/>
        </w:rPr>
        <w:t>ISSCR</w:t>
      </w:r>
      <w:r>
        <w:rPr>
          <w:rFonts w:ascii="Arial" w:cs="Arial" w:eastAsia="Arial" w:hAnsi="Arial"/>
          <w:sz w:val="12"/>
          <w:szCs w:val="12"/>
          <w:color w:val="auto"/>
        </w:rPr>
        <w:t>), or the NIH. These procedures and documentation have been reviewed by an external Stem Cell Research Oversight Committee, and all cell lines we use have been approved under one or more of these guidelines.</w:t>
      </w:r>
    </w:p>
    <w:p>
      <w:pPr>
        <w:spacing w:after="0" w:line="12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U.S. government and its agencies on July 7, 2009 published guidelines for the ethical derivation of hESCs required for receiving federal funding for hESC research. Should we seek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Canada</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Canada, stem cell research and development is governed by two policy documents and by one legislative statute: the Guidelines for Human Pluripotent Stem Cell Research (the Guidelines) issued by the Canadian Institutes of Health Research; the Tri-Council Statement: Ethical Conduct for Research Involving Humans (</w:t>
      </w:r>
      <w:r>
        <w:rPr>
          <w:rFonts w:ascii="Arial" w:cs="Arial" w:eastAsia="Arial" w:hAnsi="Arial"/>
          <w:sz w:val="12"/>
          <w:szCs w:val="12"/>
          <w:i w:val="1"/>
          <w:iCs w:val="1"/>
          <w:color w:val="auto"/>
        </w:rPr>
        <w:t>TCPS</w:t>
      </w:r>
      <w:r>
        <w:rPr>
          <w:rFonts w:ascii="Arial" w:cs="Arial" w:eastAsia="Arial" w:hAnsi="Arial"/>
          <w:sz w:val="12"/>
          <w:szCs w:val="12"/>
          <w:color w:val="auto"/>
        </w:rPr>
        <w:t>); and the Assisted Human Reproduction Act (</w:t>
      </w:r>
      <w:r>
        <w:rPr>
          <w:rFonts w:ascii="Arial" w:cs="Arial" w:eastAsia="Arial" w:hAnsi="Arial"/>
          <w:sz w:val="12"/>
          <w:szCs w:val="12"/>
          <w:i w:val="1"/>
          <w:iCs w:val="1"/>
          <w:color w:val="auto"/>
        </w:rPr>
        <w:t>Act</w:t>
      </w:r>
      <w:r>
        <w:rPr>
          <w:rFonts w:ascii="Arial" w:cs="Arial" w:eastAsia="Arial" w:hAnsi="Arial"/>
          <w:sz w:val="12"/>
          <w:szCs w:val="12"/>
          <w:color w:val="auto"/>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Act subjects all research conducted in Canada involving the human embryo, including hESC derivation (but not the stem cells once derived), to a licensing process overseen by a federal licensing agency. However, as of the date of this report, the provisions of the Act regarding the licensing of hESC derivation were not in force</w:t>
      </w:r>
    </w:p>
    <w:p>
      <w:pPr>
        <w:spacing w:after="0" w:line="11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are not currently conducting stem cell research in Canada. We have, however, sponsored pluripotent stem cell research in Canada by Dr. Gordon Keller at UHN’s McEwen Centre. We anticipate conducting additional pluripotent stem cell research (with both hESCs and hiPSCs), in collaboration with Dr. Keller and his research team, at UHN’s McEwen Centre during 2014 and beyond pursuant to our long term sponsored research collaboration with Dr. Keller and UHN. Should the provisions of the Act come into force, we may have to apply for a license for all hESC research we may sponsor or conduct in Canada and ensure compliance of such research with the provisions of the Act.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5" w:name="page76"/>
    <w:bookmarkEnd w:id="75"/>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addition to regulations in the U.S., we may be subject to a variety of foreign regulations governing clinical trials and commercial sales and distribution of our products outside of the U.S.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Subsidiaries and Inter-Corporate Relationships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Ontario, Canada including our collaboration with Dr. Keller and UHN should we elect to expand our U.S. operations into Canada; and Artemis Neuroscience, Inc., a corporation incorporated pursuant to the laws of the State of Maryland and focused on development of AV-101. The operations of VistaGen Therapeutics, Inc., a California corporation, and each of its two wholly owned subsidiaries are managed by our senior management team based in South San Francisco, California.</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have ten full-time employees, four of whom have doctorate degrees. We anticipate adding up to ten additional employees, including at least two of whom will have a doctorate degree, within the twelve months following completion of the Offering. Currently, seven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an as-needed basis, including human resources and payroll, accounting and public company reporting, information technology, facilities, legal, stock plan administration, investor relations and web site maintenance, regulatory affairs, and FDA program management. In addition, we currently conduct some of our research and development efforts through sponsored research relationships with stem cell scientists at academic research institutions in the U.S. and Canada, including Dr. Keller’s laboratories at UHN. See “Business – Strategic Transactions and Relationships.”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None of our employees is represented by a labor union or is subject to a collective bargaining agreement. We believe that our current relationship with all of our employees is good.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Facilities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principal executive offices and laboratories are located in South San Francisco, California, where we occupy approximately 10,000 square feet of office and laboratory space under a lease that expires in July 2017. Upon completion of this Offering, we anticipate leasing approximately 10,000 square feet of additional office and laboratory space to facilitate our growth plans.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Proceedings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From time to time, we may be a party to litigation and subject to claims incident to the ordinary course of business. We are not currently a party to any legal proceedings.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6" w:name="page77"/>
    <w:bookmarkEnd w:id="76"/>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Autilion Securities Purchase Agreement</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April 8, 2013, we entered into a Securities Purchase Agreement with Autilion, as amended, pursuant to which we agreed to sell to Autilion 72.0 million shares of our common stock for $0.50 per share, on or before April 30, 2013, resulting in gross proceeds to us of $36.0 million. The Securities Purchase Agreement also provides for the election of one Autilion designee to the Company’s Board of Directors. Prior to giving effect to the Offering, assuming consummation of the Autilion Financing, Autilion will beneficially own in excess of a majority of the our currently issued and outstanding common stock.</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Contemporaneous with the execution of the Securities Purchase Agreement, Autilion entered into a Voting Agreement, pursuant to which Autilion agreed to vote all shares of capital stock held by Autilion consistent with the recommendation of a majority of the members of our board of directors. In addition, in the event of a Change in Control of the Company, as defined in the Voting Agreement, or an extraordinary transaction outside of the ordinary course of the Company’s business, in each case approved by a majority of our board of directors, including the Autilion’s designee to the board of directors, as well as by the holders of a majority of the outstanding shares of common stock held by stockholders unaffiliated with Autilion (</w:t>
      </w:r>
      <w:r>
        <w:rPr>
          <w:rFonts w:ascii="Arial" w:cs="Arial" w:eastAsia="Arial" w:hAnsi="Arial"/>
          <w:sz w:val="11"/>
          <w:szCs w:val="11"/>
          <w:i w:val="1"/>
          <w:iCs w:val="1"/>
          <w:color w:val="auto"/>
        </w:rPr>
        <w:t>Approved Transaction</w:t>
      </w:r>
      <w:r>
        <w:rPr>
          <w:rFonts w:ascii="Arial" w:cs="Arial" w:eastAsia="Arial" w:hAnsi="Arial"/>
          <w:sz w:val="11"/>
          <w:szCs w:val="11"/>
          <w:color w:val="auto"/>
        </w:rPr>
        <w:t>), Autilion is required to vote all shares of capital stock held by Autilion for such Approved Transaction.</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To date, Autilion has completed only a nominal closing under the Securities Purchase Agreement. Autilion is therefore in default under the Securities Purchase Agreement, and no assurances can be given that Autilion will consummate any further investments under the Securities Purchase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MARKET FOR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 and Dividend Policy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On June 21, 2011 our common stock began trading on the OTC Marketplace under the symbol “VSTA.” There was no established trading market for our common stock prior to that date.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Shown below is the range of high and low sales prices for our common stock for the periods indicated as reported by the OTCQB. The market quotations reflect inter-dealer prices, without retail mark-up, markdown or commissions and may not necessarily represent actual transactions.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2"/>
                <w:szCs w:val="12"/>
                <w:b w:val="1"/>
                <w:bCs w:val="1"/>
                <w:color w:val="auto"/>
              </w:rPr>
              <w:t>High</w:t>
            </w:r>
          </w:p>
        </w:tc>
        <w:tc>
          <w:tcPr>
            <w:tcW w:w="260" w:type="dxa"/>
            <w:vAlign w:val="bottom"/>
          </w:tcPr>
          <w:p>
            <w:pPr>
              <w:spacing w:after="0"/>
              <w:rPr>
                <w:sz w:val="13"/>
                <w:szCs w:val="13"/>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Low</w:t>
            </w:r>
          </w:p>
        </w:tc>
      </w:tr>
      <w:tr>
        <w:trPr>
          <w:trHeight w:val="142"/>
        </w:trPr>
        <w:tc>
          <w:tcPr>
            <w:tcW w:w="8840" w:type="dxa"/>
            <w:vAlign w:val="bottom"/>
            <w:gridSpan w:val="3"/>
          </w:tcPr>
          <w:p>
            <w:pPr>
              <w:spacing w:after="0"/>
              <w:rPr>
                <w:sz w:val="20"/>
                <w:szCs w:val="20"/>
                <w:color w:val="auto"/>
              </w:rPr>
            </w:pPr>
            <w:r>
              <w:rPr>
                <w:rFonts w:ascii="Arial" w:cs="Arial" w:eastAsia="Arial" w:hAnsi="Arial"/>
                <w:sz w:val="12"/>
                <w:szCs w:val="12"/>
                <w:b w:val="1"/>
                <w:bCs w:val="1"/>
                <w:color w:val="auto"/>
              </w:rPr>
              <w:t>Year Ending March 31, 2014</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First quarter ending June 30, 2013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0.90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0.53</w:t>
            </w: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Second quarter ending September 30, 2013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0.89</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0.50</w:t>
            </w: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Third quarter ending December 31, 2013</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0.61</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0.26</w:t>
            </w:r>
          </w:p>
        </w:tc>
      </w:tr>
      <w:tr>
        <w:trPr>
          <w:trHeight w:val="153"/>
        </w:trPr>
        <w:tc>
          <w:tcPr>
            <w:tcW w:w="20" w:type="dxa"/>
            <w:vAlign w:val="bottom"/>
          </w:tcPr>
          <w:p>
            <w:pPr>
              <w:spacing w:after="0"/>
              <w:rPr>
                <w:sz w:val="13"/>
                <w:szCs w:val="13"/>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Fourth quarter ending March 31, 2014</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0.28</w:t>
            </w:r>
          </w:p>
        </w:tc>
      </w:tr>
      <w:tr>
        <w:trPr>
          <w:trHeight w:val="279"/>
        </w:trPr>
        <w:tc>
          <w:tcPr>
            <w:tcW w:w="8840" w:type="dxa"/>
            <w:vAlign w:val="bottom"/>
            <w:gridSpan w:val="3"/>
          </w:tcPr>
          <w:p>
            <w:pPr>
              <w:spacing w:after="0"/>
              <w:rPr>
                <w:sz w:val="20"/>
                <w:szCs w:val="20"/>
                <w:color w:val="auto"/>
              </w:rPr>
            </w:pPr>
            <w:r>
              <w:rPr>
                <w:rFonts w:ascii="Arial" w:cs="Arial" w:eastAsia="Arial" w:hAnsi="Arial"/>
                <w:sz w:val="12"/>
                <w:szCs w:val="12"/>
                <w:b w:val="1"/>
                <w:bCs w:val="1"/>
                <w:color w:val="auto"/>
              </w:rPr>
              <w:t>Year Ending March 31, 2013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First quarter ending June 30, 2012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0.16</w:t>
            </w: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Second quarter ending September 30, 2012</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1.52</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0.12</w:t>
            </w: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Third quarter ending December 31, 2012</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0.95</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0.53</w:t>
            </w:r>
          </w:p>
        </w:tc>
      </w:tr>
      <w:tr>
        <w:trPr>
          <w:trHeight w:val="153"/>
        </w:trPr>
        <w:tc>
          <w:tcPr>
            <w:tcW w:w="20" w:type="dxa"/>
            <w:vAlign w:val="bottom"/>
          </w:tcPr>
          <w:p>
            <w:pPr>
              <w:spacing w:after="0"/>
              <w:rPr>
                <w:sz w:val="13"/>
                <w:szCs w:val="13"/>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Fourth quarter ending March 31, 2013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0.90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0.56</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On July 1, 2014 the closing price of our common stock on the OTCQB was $0.64 per share.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We have never declared or paid any dividend. We may, as our Board of Directors deems appropriate, continue to retain all earnings to use in our business or may consider paying dividends in the future.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15"/>
        </w:trPr>
        <w:tc>
          <w:tcPr>
            <w:tcW w:w="4980" w:type="dxa"/>
            <w:vAlign w:val="bottom"/>
            <w:gridSpan w:val="2"/>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5"/>
        </w:trPr>
        <w:tc>
          <w:tcPr>
            <w:tcW w:w="4980" w:type="dxa"/>
            <w:vAlign w:val="bottom"/>
            <w:gridSpan w:val="2"/>
          </w:tcPr>
          <w:p>
            <w:pPr>
              <w:spacing w:after="0"/>
              <w:rPr>
                <w:sz w:val="20"/>
                <w:szCs w:val="20"/>
                <w:color w:val="auto"/>
              </w:rPr>
            </w:pPr>
            <w:r>
              <w:rPr>
                <w:rFonts w:ascii="Arial" w:cs="Arial" w:eastAsia="Arial" w:hAnsi="Arial"/>
                <w:sz w:val="12"/>
                <w:szCs w:val="12"/>
                <w:b w:val="1"/>
                <w:bCs w:val="1"/>
                <w:color w:val="auto"/>
              </w:rPr>
              <w:t>Securities Authorized for Issuance Under Equity Compensation Plans at July 1, 2014</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3"/>
        </w:trPr>
        <w:tc>
          <w:tcPr>
            <w:tcW w:w="6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Number of securities</w:t>
            </w:r>
          </w:p>
        </w:tc>
      </w:tr>
      <w:tr>
        <w:trPr>
          <w:trHeight w:val="144"/>
        </w:trPr>
        <w:tc>
          <w:tcPr>
            <w:tcW w:w="6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2"/>
                <w:szCs w:val="12"/>
                <w:b w:val="1"/>
                <w:bCs w:val="1"/>
                <w:color w:val="auto"/>
                <w:w w:val="88"/>
              </w:rPr>
              <w:t>Number of securities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120"/>
              <w:spacing w:after="0"/>
              <w:rPr>
                <w:sz w:val="20"/>
                <w:szCs w:val="20"/>
                <w:color w:val="auto"/>
              </w:rPr>
            </w:pPr>
            <w:r>
              <w:rPr>
                <w:rFonts w:ascii="Arial" w:cs="Arial" w:eastAsia="Arial" w:hAnsi="Arial"/>
                <w:sz w:val="12"/>
                <w:szCs w:val="12"/>
                <w:b w:val="1"/>
                <w:bCs w:val="1"/>
                <w:color w:val="auto"/>
                <w:w w:val="90"/>
              </w:rPr>
              <w:t>Weighted-average</w:t>
            </w:r>
          </w:p>
        </w:tc>
        <w:tc>
          <w:tcPr>
            <w:tcW w:w="220" w:type="dxa"/>
            <w:vAlign w:val="bottom"/>
          </w:tcPr>
          <w:p>
            <w:pPr>
              <w:spacing w:after="0"/>
              <w:rPr>
                <w:sz w:val="12"/>
                <w:szCs w:val="12"/>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remaining available for</w:t>
            </w:r>
          </w:p>
        </w:tc>
      </w:tr>
      <w:tr>
        <w:trPr>
          <w:trHeight w:val="144"/>
        </w:trPr>
        <w:tc>
          <w:tcPr>
            <w:tcW w:w="6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2"/>
                <w:szCs w:val="12"/>
                <w:b w:val="1"/>
                <w:bCs w:val="1"/>
                <w:color w:val="auto"/>
                <w:w w:val="85"/>
              </w:rPr>
              <w:t>to be issued upon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120"/>
              <w:spacing w:after="0"/>
              <w:rPr>
                <w:sz w:val="20"/>
                <w:szCs w:val="20"/>
                <w:color w:val="auto"/>
              </w:rPr>
            </w:pPr>
            <w:r>
              <w:rPr>
                <w:rFonts w:ascii="Arial" w:cs="Arial" w:eastAsia="Arial" w:hAnsi="Arial"/>
                <w:sz w:val="12"/>
                <w:szCs w:val="12"/>
                <w:b w:val="1"/>
                <w:bCs w:val="1"/>
                <w:color w:val="auto"/>
                <w:w w:val="86"/>
              </w:rPr>
              <w:t>exercise price of</w:t>
            </w:r>
          </w:p>
        </w:tc>
        <w:tc>
          <w:tcPr>
            <w:tcW w:w="220" w:type="dxa"/>
            <w:vAlign w:val="bottom"/>
          </w:tcPr>
          <w:p>
            <w:pPr>
              <w:spacing w:after="0"/>
              <w:rPr>
                <w:sz w:val="12"/>
                <w:szCs w:val="12"/>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future issuance under equity</w:t>
            </w:r>
          </w:p>
        </w:tc>
      </w:tr>
      <w:tr>
        <w:trPr>
          <w:trHeight w:val="144"/>
        </w:trPr>
        <w:tc>
          <w:tcPr>
            <w:tcW w:w="6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2"/>
                <w:szCs w:val="12"/>
                <w:b w:val="1"/>
                <w:bCs w:val="1"/>
                <w:color w:val="auto"/>
                <w:w w:val="86"/>
              </w:rPr>
              <w:t>exercise of</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120"/>
              <w:spacing w:after="0"/>
              <w:rPr>
                <w:sz w:val="20"/>
                <w:szCs w:val="20"/>
                <w:color w:val="auto"/>
              </w:rPr>
            </w:pPr>
            <w:r>
              <w:rPr>
                <w:rFonts w:ascii="Arial" w:cs="Arial" w:eastAsia="Arial" w:hAnsi="Arial"/>
                <w:sz w:val="12"/>
                <w:szCs w:val="12"/>
                <w:b w:val="1"/>
                <w:bCs w:val="1"/>
                <w:color w:val="auto"/>
                <w:w w:val="90"/>
              </w:rPr>
              <w:t>outstanding</w:t>
            </w:r>
          </w:p>
        </w:tc>
        <w:tc>
          <w:tcPr>
            <w:tcW w:w="220" w:type="dxa"/>
            <w:vAlign w:val="bottom"/>
          </w:tcPr>
          <w:p>
            <w:pPr>
              <w:spacing w:after="0"/>
              <w:rPr>
                <w:sz w:val="12"/>
                <w:szCs w:val="12"/>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compensation plans</w:t>
            </w:r>
          </w:p>
        </w:tc>
      </w:tr>
      <w:tr>
        <w:trPr>
          <w:trHeight w:val="144"/>
        </w:trPr>
        <w:tc>
          <w:tcPr>
            <w:tcW w:w="6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2"/>
                <w:szCs w:val="12"/>
                <w:b w:val="1"/>
                <w:bCs w:val="1"/>
                <w:color w:val="auto"/>
                <w:w w:val="87"/>
              </w:rPr>
              <w:t>outstanding options,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120"/>
              <w:spacing w:after="0"/>
              <w:rPr>
                <w:sz w:val="20"/>
                <w:szCs w:val="20"/>
                <w:color w:val="auto"/>
              </w:rPr>
            </w:pPr>
            <w:r>
              <w:rPr>
                <w:rFonts w:ascii="Arial" w:cs="Arial" w:eastAsia="Arial" w:hAnsi="Arial"/>
                <w:sz w:val="12"/>
                <w:szCs w:val="12"/>
                <w:b w:val="1"/>
                <w:bCs w:val="1"/>
                <w:color w:val="auto"/>
                <w:w w:val="89"/>
              </w:rPr>
              <w:t>options, warrants</w:t>
            </w:r>
          </w:p>
        </w:tc>
        <w:tc>
          <w:tcPr>
            <w:tcW w:w="220" w:type="dxa"/>
            <w:vAlign w:val="bottom"/>
          </w:tcPr>
          <w:p>
            <w:pPr>
              <w:spacing w:after="0"/>
              <w:rPr>
                <w:sz w:val="12"/>
                <w:szCs w:val="12"/>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(excluding securities</w:t>
            </w:r>
          </w:p>
        </w:tc>
      </w:tr>
      <w:tr>
        <w:trPr>
          <w:trHeight w:val="144"/>
        </w:trPr>
        <w:tc>
          <w:tcPr>
            <w:tcW w:w="6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2"/>
                <w:szCs w:val="12"/>
                <w:b w:val="1"/>
                <w:bCs w:val="1"/>
                <w:color w:val="auto"/>
                <w:w w:val="91"/>
              </w:rPr>
              <w:t>warrants and rights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140"/>
              <w:spacing w:after="0"/>
              <w:rPr>
                <w:sz w:val="20"/>
                <w:szCs w:val="20"/>
                <w:color w:val="auto"/>
              </w:rPr>
            </w:pPr>
            <w:r>
              <w:rPr>
                <w:rFonts w:ascii="Arial" w:cs="Arial" w:eastAsia="Arial" w:hAnsi="Arial"/>
                <w:sz w:val="12"/>
                <w:szCs w:val="12"/>
                <w:b w:val="1"/>
                <w:bCs w:val="1"/>
                <w:color w:val="auto"/>
                <w:w w:val="89"/>
              </w:rPr>
              <w:t>and rights</w:t>
            </w:r>
          </w:p>
        </w:tc>
        <w:tc>
          <w:tcPr>
            <w:tcW w:w="220" w:type="dxa"/>
            <w:vAlign w:val="bottom"/>
          </w:tcPr>
          <w:p>
            <w:pPr>
              <w:spacing w:after="0"/>
              <w:rPr>
                <w:sz w:val="12"/>
                <w:szCs w:val="12"/>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reflected in column (a))</w:t>
            </w:r>
          </w:p>
        </w:tc>
      </w:tr>
      <w:tr>
        <w:trPr>
          <w:trHeight w:val="157"/>
        </w:trPr>
        <w:tc>
          <w:tcPr>
            <w:tcW w:w="4980" w:type="dxa"/>
            <w:vAlign w:val="bottom"/>
            <w:gridSpan w:val="2"/>
          </w:tcPr>
          <w:p>
            <w:pPr>
              <w:spacing w:after="0"/>
              <w:rPr>
                <w:sz w:val="20"/>
                <w:szCs w:val="20"/>
                <w:color w:val="auto"/>
              </w:rPr>
            </w:pPr>
            <w:r>
              <w:rPr>
                <w:rFonts w:ascii="Arial" w:cs="Arial" w:eastAsia="Arial" w:hAnsi="Arial"/>
                <w:sz w:val="12"/>
                <w:szCs w:val="12"/>
                <w:b w:val="1"/>
                <w:bCs w:val="1"/>
                <w:color w:val="auto"/>
              </w:rPr>
              <w:t>Plan category</w:t>
            </w:r>
          </w:p>
        </w:tc>
        <w:tc>
          <w:tcPr>
            <w:tcW w:w="1460" w:type="dxa"/>
            <w:vAlign w:val="bottom"/>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91"/>
              </w:rPr>
              <w:t>(b)</w:t>
            </w:r>
          </w:p>
        </w:tc>
        <w:tc>
          <w:tcPr>
            <w:tcW w:w="22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120" w:type="dxa"/>
            <w:vAlign w:val="bottom"/>
          </w:tcPr>
          <w:p>
            <w:pPr>
              <w:spacing w:after="0"/>
              <w:rPr>
                <w:sz w:val="13"/>
                <w:szCs w:val="13"/>
                <w:color w:val="auto"/>
              </w:rPr>
            </w:pPr>
          </w:p>
        </w:tc>
      </w:tr>
      <w:tr>
        <w:trPr>
          <w:trHeight w:val="142"/>
        </w:trPr>
        <w:tc>
          <w:tcPr>
            <w:tcW w:w="4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compensation plans approved by security holders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3,964,800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735,200</w:t>
            </w:r>
          </w:p>
        </w:tc>
        <w:tc>
          <w:tcPr>
            <w:tcW w:w="120" w:type="dxa"/>
            <w:vAlign w:val="bottom"/>
            <w:shd w:val="clear" w:color="auto" w:fill="CCEEFF"/>
          </w:tcPr>
          <w:p>
            <w:pPr>
              <w:spacing w:after="0"/>
              <w:rPr>
                <w:sz w:val="12"/>
                <w:szCs w:val="12"/>
                <w:color w:val="auto"/>
              </w:rPr>
            </w:pPr>
          </w:p>
        </w:tc>
      </w:tr>
      <w:tr>
        <w:trPr>
          <w:trHeight w:val="144"/>
        </w:trPr>
        <w:tc>
          <w:tcPr>
            <w:tcW w:w="4980" w:type="dxa"/>
            <w:vAlign w:val="bottom"/>
            <w:gridSpan w:val="2"/>
          </w:tcPr>
          <w:p>
            <w:pPr>
              <w:spacing w:after="0"/>
              <w:rPr>
                <w:sz w:val="20"/>
                <w:szCs w:val="20"/>
                <w:color w:val="auto"/>
              </w:rPr>
            </w:pPr>
            <w:r>
              <w:rPr>
                <w:rFonts w:ascii="Arial" w:cs="Arial" w:eastAsia="Arial" w:hAnsi="Arial"/>
                <w:sz w:val="12"/>
                <w:szCs w:val="12"/>
                <w:color w:val="auto"/>
              </w:rPr>
              <w:t>Equity compensation plans not approved by security holders</w:t>
            </w:r>
          </w:p>
        </w:tc>
        <w:tc>
          <w:tcPr>
            <w:tcW w:w="1460" w:type="dxa"/>
            <w:vAlign w:val="bottom"/>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262,557</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0.58</w:t>
            </w:r>
          </w:p>
        </w:tc>
        <w:tc>
          <w:tcPr>
            <w:tcW w:w="220" w:type="dxa"/>
            <w:vAlign w:val="bottom"/>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82"/>
        </w:trPr>
        <w:tc>
          <w:tcPr>
            <w:tcW w:w="4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4,227,537</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735,200</w:t>
            </w:r>
          </w:p>
        </w:tc>
        <w:tc>
          <w:tcPr>
            <w:tcW w:w="120" w:type="dxa"/>
            <w:vAlign w:val="bottom"/>
            <w:shd w:val="clear" w:color="auto" w:fill="CCEEFF"/>
          </w:tcPr>
          <w:p>
            <w:pPr>
              <w:spacing w:after="0"/>
              <w:rPr>
                <w:sz w:val="15"/>
                <w:szCs w:val="15"/>
                <w:color w:val="auto"/>
              </w:rPr>
            </w:pPr>
          </w:p>
        </w:tc>
      </w:tr>
      <w:tr>
        <w:trPr>
          <w:trHeight w:val="381"/>
        </w:trPr>
        <w:tc>
          <w:tcPr>
            <w:tcW w:w="660" w:type="dxa"/>
            <w:vAlign w:val="bottom"/>
            <w:tcBorders>
              <w:top w:val="single" w:sz="8" w:color="CCEEFF"/>
            </w:tcBorders>
          </w:tcPr>
          <w:p>
            <w:pPr>
              <w:spacing w:after="0"/>
              <w:rPr>
                <w:sz w:val="24"/>
                <w:szCs w:val="24"/>
                <w:color w:val="auto"/>
              </w:rPr>
            </w:pPr>
          </w:p>
        </w:tc>
        <w:tc>
          <w:tcPr>
            <w:tcW w:w="432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jc w:val="right"/>
              <w:ind w:right="540"/>
              <w:spacing w:after="0"/>
              <w:rPr>
                <w:sz w:val="20"/>
                <w:szCs w:val="20"/>
                <w:color w:val="auto"/>
              </w:rPr>
            </w:pPr>
            <w:r>
              <w:rPr>
                <w:rFonts w:ascii="Arial" w:cs="Arial" w:eastAsia="Arial" w:hAnsi="Arial"/>
                <w:sz w:val="12"/>
                <w:szCs w:val="12"/>
                <w:color w:val="auto"/>
              </w:rPr>
              <w:t>-72-</w:t>
            </w:r>
          </w:p>
        </w:tc>
        <w:tc>
          <w:tcPr>
            <w:tcW w:w="15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660" w:type="dxa"/>
            <w:vAlign w:val="bottom"/>
            <w:tcBorders>
              <w:bottom w:val="single" w:sz="8" w:color="808080"/>
            </w:tcBorders>
          </w:tcPr>
          <w:p>
            <w:pPr>
              <w:spacing w:after="0"/>
              <w:rPr>
                <w:sz w:val="6"/>
                <w:szCs w:val="6"/>
                <w:color w:val="auto"/>
              </w:rPr>
            </w:pPr>
          </w:p>
        </w:tc>
        <w:tc>
          <w:tcPr>
            <w:tcW w:w="4320" w:type="dxa"/>
            <w:vAlign w:val="bottom"/>
            <w:tcBorders>
              <w:bottom w:val="single" w:sz="8" w:color="808080"/>
            </w:tcBorders>
          </w:tcPr>
          <w:p>
            <w:pPr>
              <w:spacing w:after="0"/>
              <w:rPr>
                <w:sz w:val="6"/>
                <w:szCs w:val="6"/>
                <w:color w:val="auto"/>
              </w:rPr>
            </w:pPr>
          </w:p>
        </w:tc>
        <w:tc>
          <w:tcPr>
            <w:tcW w:w="1460" w:type="dxa"/>
            <w:vAlign w:val="bottom"/>
            <w:tcBorders>
              <w:bottom w:val="single" w:sz="8" w:color="808080"/>
            </w:tcBorders>
          </w:tcPr>
          <w:p>
            <w:pPr>
              <w:spacing w:after="0"/>
              <w:rPr>
                <w:sz w:val="6"/>
                <w:szCs w:val="6"/>
                <w:color w:val="auto"/>
              </w:rPr>
            </w:pPr>
          </w:p>
        </w:tc>
        <w:tc>
          <w:tcPr>
            <w:tcW w:w="15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3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78" w:name="page79"/>
    <w:bookmarkEnd w:id="78"/>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 OF FINANCIAL CONDITION AND RESULTS OF OPERATIONS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You should read the following discussion of our financial condition and results of operations in conjunction with the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We are a biotechnology company with expertise applying human pluripotent stem cell technology for drug rescue and regenerative medicine.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is based on a combination of proprietary and exclusively licensed stem cell technologies focused on controlling stem cell differentiation and production of multiple types of mature, functional, adult human cells from pluripotent stem cells, with emphasis on the human heart cells and liver cells, and using the cells we produce to design customized biological assay systems for drug discovery and drug rescue, as well as regenerative medicine applications.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With mature heart cells produced from stem cells, we have developed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 novel bioassay system for assessing potential cardiotoxicity of new drug candidates.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capable of predicting the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cardiac effects, both toxic and non-toxic, of small molecule drug candidates before they are ever tested in animals or humans. With mature, functional hepatocytes (liver cells) we have developed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novel human liver cell-based bioassay system, for assessing potential liver toxicity and adverse drug-drug interactions early in development. We are now focused on correlating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with small molecule drugs with reported clinical results involving liver toxicity, including drug-induced liver injury and metabolism issues that can result in serious adverse drug-drug interactions. We believe our novel, customized human pluripotent stem cell-derived bioassay systems will allow us to assess the heart and liver safety profile of new small molecule drug candidates with greater speed and precision than nonclinical surrogate safety testing models currently used in drug development.</w:t>
      </w:r>
    </w:p>
    <w:p>
      <w:pPr>
        <w:spacing w:after="0" w:line="129"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Our drug rescue business model involves using our novel,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bioassay systems,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 medicinal chemistry to generate and either develop internally or out-license to third-parties, new, potentially safer proprietary variants of once-promising small molecule drug candidates that pharmaceutical companies and others have discovered, optimized for efficacy and evaluated as having commercial potential, but ultimately discontinued prior to market approval due to unexpected heart or liver safety concerns. We refer to these once-promising drug candidates we believe are now suitable for our drug rescue programs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And we refer to the new, potentially safer proprietary variants we intend to generate in our drug rescue programs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Our drug rescue strategy is to leverage substantial prior investment in the discovery and optimization of </w:t>
      </w:r>
      <w:r>
        <w:rPr>
          <w:rFonts w:ascii="Arial" w:cs="Arial" w:eastAsia="Arial" w:hAnsi="Arial"/>
          <w:sz w:val="11"/>
          <w:szCs w:val="11"/>
          <w:i w:val="1"/>
          <w:iCs w:val="1"/>
          <w:color w:val="auto"/>
        </w:rPr>
        <w:t>Drug Rescue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Candidates </w:t>
      </w:r>
      <w:r>
        <w:rPr>
          <w:rFonts w:ascii="Arial" w:cs="Arial" w:eastAsia="Arial" w:hAnsi="Arial"/>
          <w:sz w:val="11"/>
          <w:szCs w:val="11"/>
          <w:color w:val="auto"/>
        </w:rPr>
        <w:t>by pharmaceutical companies and others, unique and new heart and liver biology insight regarding such</w:t>
      </w:r>
      <w:r>
        <w:rPr>
          <w:rFonts w:ascii="Arial" w:cs="Arial" w:eastAsia="Arial" w:hAnsi="Arial"/>
          <w:sz w:val="11"/>
          <w:szCs w:val="11"/>
          <w:i w:val="1"/>
          <w:iCs w:val="1"/>
          <w:color w:val="auto"/>
        </w:rPr>
        <w:t xml:space="preserve"> Drug Rescue Candidates </w:t>
      </w:r>
      <w:r>
        <w:rPr>
          <w:rFonts w:ascii="Arial" w:cs="Arial" w:eastAsia="Arial" w:hAnsi="Arial"/>
          <w:sz w:val="11"/>
          <w:szCs w:val="11"/>
          <w:color w:val="auto"/>
        </w:rPr>
        <w:t>we generate by screening them in</w:t>
      </w:r>
      <w:r>
        <w:rPr>
          <w:rFonts w:ascii="Arial" w:cs="Arial" w:eastAsia="Arial" w:hAnsi="Arial"/>
          <w:sz w:val="11"/>
          <w:szCs w:val="11"/>
          <w:i w:val="1"/>
          <w:iCs w:val="1"/>
          <w:color w:val="auto"/>
        </w:rPr>
        <w:t xml:space="preserve"> CardioSafe </w:t>
      </w:r>
      <w:r>
        <w:rPr>
          <w:rFonts w:ascii="Arial" w:cs="Arial" w:eastAsia="Arial" w:hAnsi="Arial"/>
          <w:sz w:val="11"/>
          <w:szCs w:val="11"/>
          <w:color w:val="auto"/>
        </w:rPr>
        <w:t>3D and/or</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and contract medicinal</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chemistry expertise to generate novel, proprietary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internal development or out-license to pharmaceutical companies and others for development and commercialization.</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are utilizing the vast amount of information available in the public domain with respect to identification of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We may also seek to in-license or acquire rights to certain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from third-parties, including biotechnology, medicinal chemistry and pharmaceutical companies, contract research organizations, and academic, governmental and nonprofit research institutions. We anticipate having economic rights in each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we produce and internally develop or out-license, including, in the case of out-licensed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customary up-front payments, development milestone payments and, if approved for commercial sale, royalty payments on sales.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9" w:name="page80"/>
    <w:bookmarkEnd w:id="79"/>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In addition to our drug rescue programs, upon completion of this Offering, we are planning to initiate several exploratory nonclinical development programs with Dr. Gordon Keller, one of the world’s most experienced stem cell research scientists, relating to differentiation and production of multiple cell types for regenerative medicine purposes, including stem cell-based small molecule drug discovery, with an emphasis on blood, bone, cartilage, heart, liver and pancreas (insulin-producing beta-islet) cells. Each of these exploratory regenerative medicine programs would be based on the proprietary controlled differentiation and production capabilities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With grant funding from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we have successfully completed Phase 1 development of AV-101. AV-101 is an orally-available, non-sedating small molecule prodrug candidate aimed at the multi-billion dollar neurological disease and disorders market, including neuropathic pain, a serious and chronic condition causing pain after an injury or disease of the peripheral or central nervous system, epilepsy, depression and Parkinson’s disease. We were awarded over $8.8 million of grant funding from the NIH to support our nonclinical and Phase I clinical development of AV-101 for neuropathic pain. We intend to seek potential strategic partnering alternatives for further clinical development and commercialization of AV-101 for neuropathic pain, epilepsy, depression and Parkinson’s disease.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Operations Overview</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Loss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We are in the development stage and, since inception, have devoted substantially all of our time and efforts to hPSC research and bioassay development, small molecule drug development, creating, protecting and patenting intellectual property, recruiting personnel and raising working capital. As of March 31, 2014, we had an accumulated deficit of $70.6 million. Our net loss for the years ended March 31, 2014 and 2013 was $3.0 million and $12.9 million, respectively. We expect these conditions to continue for the foreseeable future as we expand our drug rescue activities and the capabilities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platform.</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of Fiscal Year 2014</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During fiscal 2014, our scientific personnel have continued to expand the drug rescue capabilities of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further develop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internal scientific operations were curtailed somewhat during our second fiscal quarter as we decommissioned our former lab space in preparation for our move to expanded lab and office facilities at the end of July 2013, and completed the corresponding relocation, recalibration and recertification of our laboratories and equipment following the move. Limited cash resources following the move, resulting in part from a third-party institutional investor’s failure to close the financing described below, continued to restrict certain scientific activities and collaborations for the remainder of the fiscal year. Nevertheless, we have continued to advance the drug rescue capabilities of our heart and liver cells and cellular assay systems and pursue our internal evaluation of prospective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Rescue Candidates</w:t>
      </w:r>
      <w:r>
        <w:rPr>
          <w:rFonts w:ascii="Arial" w:cs="Arial" w:eastAsia="Arial" w:hAnsi="Arial"/>
          <w:sz w:val="11"/>
          <w:szCs w:val="11"/>
          <w:color w:val="auto"/>
        </w:rPr>
        <w:t>. We successfully completed Phase 1 clinical development of AV-101 during our fiscal year ended March 31, 2013 and directed effort during the first quarter of fiscal 2014 to finalizing AV-101 Phase 1b clinical study</w:t>
      </w:r>
      <w:r>
        <w:rPr>
          <w:rFonts w:ascii="Arial" w:cs="Arial" w:eastAsia="Arial" w:hAnsi="Arial"/>
          <w:sz w:val="11"/>
          <w:szCs w:val="11"/>
          <w:i w:val="1"/>
          <w:iCs w:val="1"/>
          <w:color w:val="auto"/>
        </w:rPr>
        <w:t xml:space="preserve"> </w:t>
      </w:r>
      <w:r>
        <w:rPr>
          <w:rFonts w:ascii="Arial" w:cs="Arial" w:eastAsia="Arial" w:hAnsi="Arial"/>
          <w:sz w:val="11"/>
          <w:szCs w:val="11"/>
          <w:color w:val="auto"/>
        </w:rPr>
        <w:t>reports, as required under the terms of our NIH grant awards and to facilitate further collaborative development of AV-101.</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Throughout fiscal 2014, our executive management has been significantly focused on providing sufficient operating capital to advance our research and development objectives while meeting our continuing operational needs. To that end, in April 2013, we entered into a Securities Purchase Agreement (as amended,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an institutional investor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under which Autilion is contractually obligated to purchase an aggregate of 72.0 million restricted shares of our common stock at a purchase price of $0.50 per share for aggregate cash proceeds to us of $36.0 million (</w:t>
      </w:r>
      <w:r>
        <w:rPr>
          <w:rFonts w:ascii="Arial" w:cs="Arial" w:eastAsia="Arial" w:hAnsi="Arial"/>
          <w:sz w:val="12"/>
          <w:szCs w:val="12"/>
          <w:i w:val="1"/>
          <w:iCs w:val="1"/>
          <w:color w:val="auto"/>
        </w:rPr>
        <w:t>Autilion Financing</w:t>
      </w:r>
      <w:r>
        <w:rPr>
          <w:rFonts w:ascii="Arial" w:cs="Arial" w:eastAsia="Arial" w:hAnsi="Arial"/>
          <w:sz w:val="12"/>
          <w:szCs w:val="12"/>
          <w:color w:val="auto"/>
        </w:rPr>
        <w:t>). To date, Autilion has completed only a nominal closing under the Securities Purchase Agreement. Autilion is therefore in default under the Securities Purchase Agreement, and no assurances can be given that Autilion will consummate any further investments under the Securities Purchase Agreement.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0" w:name="page81"/>
    <w:bookmarkEnd w:id="80"/>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To meet our working capital needs as a result of Autilion’s default under the Securities Purchase Agreement, during June and July 2013, we offered certain warrant holders the opportunity to exercise outstanding warrants having an exercise price of $1.50 per share to purchase shares of our restricted common stock at a reduced exercise price of $0.50 per share. Participating warrant holders exercised modified warrants to purchase an aggregate of 528,370 restricted shares of our common stock and we received cash proceeds of $264,200. In addition, certain long-term warrant holders exercised modified warrants to purchase 16,646 restricted shares of our common stock in lieu of payment by us in satisfaction of amounts due for professional services in the aggregate amount of $8,300. Additionally, in July 2013, we issued to Platinum Long Term Growth Fund VII, LLC (</w:t>
      </w:r>
      <w:r>
        <w:rPr>
          <w:rFonts w:ascii="Arial" w:cs="Arial" w:eastAsia="Arial" w:hAnsi="Arial"/>
          <w:sz w:val="11"/>
          <w:szCs w:val="11"/>
          <w:i w:val="1"/>
          <w:iCs w:val="1"/>
          <w:color w:val="auto"/>
        </w:rPr>
        <w:t>Platinum</w:t>
      </w:r>
      <w:r>
        <w:rPr>
          <w:rFonts w:ascii="Arial" w:cs="Arial" w:eastAsia="Arial" w:hAnsi="Arial"/>
          <w:sz w:val="11"/>
          <w:szCs w:val="11"/>
          <w:color w:val="auto"/>
        </w:rPr>
        <w:t xml:space="preserve">), our largest institutional investor, a senior secured convertible note in the face amount of $250,000 (the </w:t>
      </w:r>
      <w:r>
        <w:rPr>
          <w:rFonts w:ascii="Arial" w:cs="Arial" w:eastAsia="Arial" w:hAnsi="Arial"/>
          <w:sz w:val="11"/>
          <w:szCs w:val="11"/>
          <w:i w:val="1"/>
          <w:iCs w:val="1"/>
          <w:color w:val="auto"/>
        </w:rPr>
        <w:t>July 2013 Note</w:t>
      </w:r>
      <w:r>
        <w:rPr>
          <w:rFonts w:ascii="Arial" w:cs="Arial" w:eastAsia="Arial" w:hAnsi="Arial"/>
          <w:sz w:val="11"/>
          <w:szCs w:val="11"/>
          <w:color w:val="auto"/>
        </w:rPr>
        <w:t>) and a five-year warrant to purchase 250,000 restricted shares of our common stock at an exercise price of $0.50 per share. Between August 2013 and March 14, 2014, we entered into securities purchase agreements with certain accredited investors pursuant to which we sold units of our securities (</w:t>
      </w:r>
      <w:r>
        <w:rPr>
          <w:rFonts w:ascii="Arial" w:cs="Arial" w:eastAsia="Arial" w:hAnsi="Arial"/>
          <w:sz w:val="11"/>
          <w:szCs w:val="11"/>
          <w:i w:val="1"/>
          <w:iCs w:val="1"/>
          <w:color w:val="auto"/>
        </w:rPr>
        <w:t>Units</w:t>
      </w:r>
      <w:r>
        <w:rPr>
          <w:rFonts w:ascii="Arial" w:cs="Arial" w:eastAsia="Arial" w:hAnsi="Arial"/>
          <w:sz w:val="11"/>
          <w:szCs w:val="11"/>
          <w:color w:val="auto"/>
        </w:rPr>
        <w:t>) consisting, in aggregate, of: (i) 10% convertible notes maturing on July 30, 2014 in the aggregate face amount of $1,007,500; (ii) an aggregate of 2,015,000 restricted shares of our common stock; and (iii) warrants exercisable through July 30, 2016 to purchase an aggregate of 2,015,000 restricted shares of our common stock at an exercise price of $1.00 per share. We received cash proceeds of $1,007,500 from the sale of the Units, including $50,000 in lieu of repayment of previous advances made to us by one of our executive officers.</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Between late-March 2014 and July 1, 2014, we entered into subscription agreements with accredited investors, including Platinum, pursuant to which we sold Units consisting, in aggregate, of: (i) 10% convertible notes maturing on March 31, 2015 in the aggregate face amount of $1,570,000; (ii) an aggregate of 1,570,000 restricted shares of our common stock; and (iii) warrants exercisable through December 31, 2016 to purchase an aggregate of 1,570,000 restricted shares of our common stock at an exercise price of $0.50 per share.</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Given our working capital constraints during fiscal 2014, we attempted to minimize cash commitments and expenditures for external research and development and general and administrative services to the greatest extent possible, particularly during the later portion of the fiscal year. The following table summarizes the results of our operations for the fiscal years ended March 31, 2014 and 2013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Fiscal Years Ended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396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4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Grant revenue</w:t>
            </w:r>
          </w:p>
        </w:tc>
        <w:tc>
          <w:tcPr>
            <w:tcW w:w="5620" w:type="dxa"/>
            <w:vAlign w:val="bottom"/>
            <w:gridSpan w:val="2"/>
            <w:shd w:val="clear" w:color="auto" w:fill="CCEEFF"/>
          </w:tcPr>
          <w:p>
            <w:pPr>
              <w:jc w:val="right"/>
              <w:ind w:right="627"/>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Operating expenses:</w:t>
            </w:r>
          </w:p>
        </w:tc>
        <w:tc>
          <w:tcPr>
            <w:tcW w:w="488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4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2,481</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4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4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2,548</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shd w:val="clear" w:color="auto" w:fill="CCEEFF"/>
          </w:tcPr>
          <w:p>
            <w:pPr>
              <w:ind w:left="40"/>
              <w:spacing w:after="0"/>
              <w:rPr>
                <w:sz w:val="20"/>
                <w:szCs w:val="20"/>
                <w:color w:val="auto"/>
              </w:rPr>
            </w:pPr>
            <w:r>
              <w:rPr>
                <w:rFonts w:ascii="Arial" w:cs="Arial" w:eastAsia="Arial" w:hAnsi="Arial"/>
                <w:sz w:val="12"/>
                <w:szCs w:val="12"/>
                <w:color w:val="auto"/>
              </w:rPr>
              <w:t>Total operating expenses</w:t>
            </w:r>
          </w:p>
        </w:tc>
        <w:tc>
          <w:tcPr>
            <w:tcW w:w="4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5,029</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48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40" w:type="dxa"/>
            <w:vAlign w:val="bottom"/>
          </w:tcPr>
          <w:p>
            <w:pPr>
              <w:spacing w:after="0"/>
              <w:rPr>
                <w:sz w:val="20"/>
                <w:szCs w:val="20"/>
                <w:color w:val="auto"/>
              </w:rPr>
            </w:pPr>
            <w:r>
              <w:rPr>
                <w:rFonts w:ascii="Arial" w:cs="Arial" w:eastAsia="Arial" w:hAnsi="Arial"/>
                <w:sz w:val="12"/>
                <w:szCs w:val="12"/>
                <w:color w:val="auto"/>
              </w:rPr>
              <w:t>Loss from operations</w:t>
            </w:r>
          </w:p>
        </w:tc>
        <w:tc>
          <w:tcPr>
            <w:tcW w:w="4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(5,029)</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(6,793)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4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40" w:type="dxa"/>
            <w:vAlign w:val="bottom"/>
          </w:tcPr>
          <w:p>
            <w:pPr>
              <w:spacing w:after="0"/>
              <w:rPr>
                <w:sz w:val="20"/>
                <w:szCs w:val="20"/>
                <w:color w:val="auto"/>
              </w:rPr>
            </w:pPr>
            <w:r>
              <w:rPr>
                <w:rFonts w:ascii="Arial" w:cs="Arial" w:eastAsia="Arial" w:hAnsi="Arial"/>
                <w:sz w:val="12"/>
                <w:szCs w:val="12"/>
                <w:color w:val="auto"/>
              </w:rPr>
              <w:t>Interest expense, net</w:t>
            </w:r>
          </w:p>
        </w:tc>
        <w:tc>
          <w:tcPr>
            <w:tcW w:w="4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(1,503)</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Change in warrant liabilities</w:t>
            </w:r>
          </w:p>
        </w:tc>
        <w:tc>
          <w:tcPr>
            <w:tcW w:w="4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3,567</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40" w:type="dxa"/>
            <w:vAlign w:val="bottom"/>
          </w:tcPr>
          <w:p>
            <w:pPr>
              <w:spacing w:after="0"/>
              <w:rPr>
                <w:sz w:val="20"/>
                <w:szCs w:val="20"/>
                <w:color w:val="auto"/>
              </w:rPr>
            </w:pPr>
            <w:r>
              <w:rPr>
                <w:rFonts w:ascii="Arial" w:cs="Arial" w:eastAsia="Arial" w:hAnsi="Arial"/>
                <w:sz w:val="12"/>
                <w:szCs w:val="12"/>
                <w:color w:val="auto"/>
              </w:rPr>
              <w:t>Loss on early extinguishment of debt</w:t>
            </w:r>
          </w:p>
        </w:tc>
        <w:tc>
          <w:tcPr>
            <w:tcW w:w="4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(3,568)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Other income</w:t>
            </w:r>
          </w:p>
        </w:tc>
        <w:tc>
          <w:tcPr>
            <w:tcW w:w="48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20"/>
                <w:szCs w:val="20"/>
                <w:color w:val="auto"/>
              </w:rPr>
            </w:pPr>
            <w:r>
              <w:rPr>
                <w:rFonts w:ascii="Arial" w:cs="Arial" w:eastAsia="Arial" w:hAnsi="Arial"/>
                <w:sz w:val="12"/>
                <w:szCs w:val="12"/>
                <w:color w:val="auto"/>
              </w:rPr>
              <w:t>Loss before income taxes</w:t>
            </w:r>
          </w:p>
        </w:tc>
        <w:tc>
          <w:tcPr>
            <w:tcW w:w="4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(2,965)</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(12,883)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Income taxes</w:t>
            </w:r>
          </w:p>
        </w:tc>
        <w:tc>
          <w:tcPr>
            <w:tcW w:w="4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48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40" w:type="dxa"/>
            <w:vAlign w:val="bottom"/>
          </w:tcPr>
          <w:p>
            <w:pPr>
              <w:spacing w:after="0"/>
              <w:rPr>
                <w:sz w:val="20"/>
                <w:szCs w:val="20"/>
                <w:color w:val="auto"/>
              </w:rPr>
            </w:pPr>
            <w:r>
              <w:rPr>
                <w:rFonts w:ascii="Arial" w:cs="Arial" w:eastAsia="Arial" w:hAnsi="Arial"/>
                <w:sz w:val="12"/>
                <w:szCs w:val="12"/>
                <w:color w:val="auto"/>
              </w:rPr>
              <w:t>Net loss</w:t>
            </w:r>
          </w:p>
        </w:tc>
        <w:tc>
          <w:tcPr>
            <w:tcW w:w="4880" w:type="dxa"/>
            <w:vAlign w:val="bottom"/>
          </w:tcPr>
          <w:p>
            <w:pPr>
              <w:spacing w:after="0"/>
              <w:rPr>
                <w:sz w:val="12"/>
                <w:szCs w:val="12"/>
                <w:color w:val="auto"/>
              </w:rPr>
            </w:pP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(2,968)</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(12,887)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40" w:type="dxa"/>
            <w:vAlign w:val="bottom"/>
            <w:shd w:val="clear" w:color="auto" w:fill="CCEEFF"/>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4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48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40" w:type="dxa"/>
            <w:vAlign w:val="bottom"/>
          </w:tcPr>
          <w:p>
            <w:pPr>
              <w:spacing w:after="0"/>
              <w:rPr>
                <w:sz w:val="20"/>
                <w:szCs w:val="20"/>
                <w:color w:val="auto"/>
              </w:rPr>
            </w:pPr>
            <w:r>
              <w:rPr>
                <w:rFonts w:ascii="Arial" w:cs="Arial" w:eastAsia="Arial" w:hAnsi="Arial"/>
                <w:sz w:val="12"/>
                <w:szCs w:val="12"/>
                <w:color w:val="auto"/>
              </w:rPr>
              <w:t>Net loss attributable to common stockholders</w:t>
            </w:r>
          </w:p>
        </w:tc>
        <w:tc>
          <w:tcPr>
            <w:tcW w:w="4880" w:type="dxa"/>
            <w:vAlign w:val="bottom"/>
          </w:tcPr>
          <w:p>
            <w:pPr>
              <w:spacing w:after="0"/>
              <w:rPr>
                <w:sz w:val="12"/>
                <w:szCs w:val="12"/>
                <w:color w:val="auto"/>
              </w:rPr>
            </w:pP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(2,968)</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(23,080)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80" w:type="dxa"/>
            <w:vAlign w:val="bottom"/>
            <w:vMerge w:val="restart"/>
          </w:tcPr>
          <w:p>
            <w:pPr>
              <w:jc w:val="right"/>
              <w:ind w:right="2940"/>
              <w:spacing w:after="0"/>
              <w:rPr>
                <w:sz w:val="20"/>
                <w:szCs w:val="20"/>
                <w:color w:val="auto"/>
              </w:rPr>
            </w:pPr>
            <w:r>
              <w:rPr>
                <w:rFonts w:ascii="Arial" w:cs="Arial" w:eastAsia="Arial" w:hAnsi="Arial"/>
                <w:sz w:val="12"/>
                <w:szCs w:val="12"/>
                <w:color w:val="auto"/>
              </w:rPr>
              <w:t>-75-</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940" w:type="dxa"/>
            <w:vAlign w:val="bottom"/>
            <w:tcBorders>
              <w:bottom w:val="single" w:sz="8" w:color="808080"/>
            </w:tcBorders>
          </w:tcPr>
          <w:p>
            <w:pPr>
              <w:spacing w:after="0"/>
              <w:rPr>
                <w:sz w:val="6"/>
                <w:szCs w:val="6"/>
                <w:color w:val="auto"/>
              </w:rPr>
            </w:pPr>
          </w:p>
        </w:tc>
        <w:tc>
          <w:tcPr>
            <w:tcW w:w="488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1" w:name="page82"/>
    <w:bookmarkEnd w:id="81"/>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We have successfully completed our Phase I development of AV-101, our prodrug candidate for the treatment of neuropathic pain and, potentially, depression, epilepsy and Parkinson’s disease. Our NIH grant related to AV-101 expired in its normal course on June 30, 2012. We had drawn the maximum amount available under the grant prior to its expiration. Revenue associated with our earlier subcontract research arrangement terminated in May 2012. We had no other grant or contract revenue sources during the fiscal year ended March 31, 2014.</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Research and development expense represented approximately 49% of our operating expenses for each of the years ended March 31, 2014 and 2013. Research and development costs are expensed as incurred. Research and development expense consists of both internal and external expenses incurred in sponsored stem cell research and drug development activities, costs associated with the development of AV-101 and costs related to the licensing, application and prosecution of our intellectual property. These expenses primarily consist of the following:</w:t>
      </w:r>
    </w:p>
    <w:p>
      <w:pPr>
        <w:spacing w:after="0" w:line="92" w:lineRule="exact"/>
        <w:rPr>
          <w:sz w:val="20"/>
          <w:szCs w:val="20"/>
          <w:color w:val="auto"/>
        </w:rPr>
      </w:pPr>
    </w:p>
    <w:p>
      <w:pPr>
        <w:ind w:left="800" w:hanging="455"/>
        <w:spacing w:after="0"/>
        <w:tabs>
          <w:tab w:leader="none" w:pos="800" w:val="left"/>
        </w:tabs>
        <w:numPr>
          <w:ilvl w:val="0"/>
          <w:numId w:val="40"/>
        </w:numPr>
        <w:rPr>
          <w:rFonts w:ascii="Arial" w:cs="Arial" w:eastAsia="Arial" w:hAnsi="Arial"/>
          <w:sz w:val="16"/>
          <w:szCs w:val="16"/>
          <w:color w:val="auto"/>
        </w:rPr>
      </w:pPr>
      <w:r>
        <w:rPr>
          <w:rFonts w:ascii="Arial" w:cs="Arial" w:eastAsia="Arial" w:hAnsi="Arial"/>
          <w:sz w:val="12"/>
          <w:szCs w:val="12"/>
          <w:color w:val="auto"/>
        </w:rPr>
        <w:t>salaries, benefits, including stock-based compensation costs, travel and related expense for personnel associated with research and development activities;</w:t>
      </w:r>
    </w:p>
    <w:p>
      <w:pPr>
        <w:spacing w:after="0" w:line="140" w:lineRule="exact"/>
        <w:rPr>
          <w:rFonts w:ascii="Arial" w:cs="Arial" w:eastAsia="Arial" w:hAnsi="Arial"/>
          <w:sz w:val="16"/>
          <w:szCs w:val="16"/>
          <w:color w:val="auto"/>
        </w:rPr>
      </w:pPr>
    </w:p>
    <w:p>
      <w:pPr>
        <w:ind w:left="800" w:hanging="455"/>
        <w:spacing w:after="0"/>
        <w:tabs>
          <w:tab w:leader="none" w:pos="800" w:val="left"/>
        </w:tabs>
        <w:numPr>
          <w:ilvl w:val="0"/>
          <w:numId w:val="40"/>
        </w:numPr>
        <w:rPr>
          <w:rFonts w:ascii="Arial" w:cs="Arial" w:eastAsia="Arial" w:hAnsi="Arial"/>
          <w:sz w:val="16"/>
          <w:szCs w:val="16"/>
          <w:color w:val="auto"/>
        </w:rPr>
      </w:pPr>
      <w:r>
        <w:rPr>
          <w:rFonts w:ascii="Arial" w:cs="Arial" w:eastAsia="Arial" w:hAnsi="Arial"/>
          <w:sz w:val="12"/>
          <w:szCs w:val="12"/>
          <w:color w:val="auto"/>
        </w:rPr>
        <w:t>fees to contract research organizations and other professional service providers for services related to the conduct and analysis of clinical trials and other development activities;</w:t>
      </w:r>
    </w:p>
    <w:p>
      <w:pPr>
        <w:spacing w:after="0" w:line="140" w:lineRule="exact"/>
        <w:rPr>
          <w:rFonts w:ascii="Arial" w:cs="Arial" w:eastAsia="Arial" w:hAnsi="Arial"/>
          <w:sz w:val="16"/>
          <w:szCs w:val="16"/>
          <w:color w:val="auto"/>
        </w:rPr>
      </w:pPr>
    </w:p>
    <w:p>
      <w:pPr>
        <w:ind w:left="800" w:hanging="455"/>
        <w:spacing w:after="0"/>
        <w:tabs>
          <w:tab w:leader="none" w:pos="800" w:val="left"/>
        </w:tabs>
        <w:numPr>
          <w:ilvl w:val="0"/>
          <w:numId w:val="40"/>
        </w:numPr>
        <w:rPr>
          <w:rFonts w:ascii="Arial" w:cs="Arial" w:eastAsia="Arial" w:hAnsi="Arial"/>
          <w:sz w:val="16"/>
          <w:szCs w:val="16"/>
          <w:color w:val="auto"/>
        </w:rPr>
      </w:pPr>
      <w:r>
        <w:rPr>
          <w:rFonts w:ascii="Arial" w:cs="Arial" w:eastAsia="Arial" w:hAnsi="Arial"/>
          <w:sz w:val="12"/>
          <w:szCs w:val="12"/>
          <w:color w:val="auto"/>
        </w:rPr>
        <w:t>fees to third parties for access to licensed technology and costs associated with securing and maintaining patents related to such licensed technology and our internally generated inventions:</w:t>
      </w:r>
    </w:p>
    <w:p>
      <w:pPr>
        <w:spacing w:after="0" w:line="140" w:lineRule="exact"/>
        <w:rPr>
          <w:rFonts w:ascii="Arial" w:cs="Arial" w:eastAsia="Arial" w:hAnsi="Arial"/>
          <w:sz w:val="16"/>
          <w:szCs w:val="16"/>
          <w:color w:val="auto"/>
        </w:rPr>
      </w:pPr>
    </w:p>
    <w:p>
      <w:pPr>
        <w:ind w:left="800" w:hanging="455"/>
        <w:spacing w:after="0"/>
        <w:tabs>
          <w:tab w:leader="none" w:pos="800" w:val="left"/>
        </w:tabs>
        <w:numPr>
          <w:ilvl w:val="0"/>
          <w:numId w:val="40"/>
        </w:numPr>
        <w:rPr>
          <w:rFonts w:ascii="Arial" w:cs="Arial" w:eastAsia="Arial" w:hAnsi="Arial"/>
          <w:sz w:val="16"/>
          <w:szCs w:val="16"/>
          <w:color w:val="auto"/>
        </w:rPr>
      </w:pPr>
      <w:r>
        <w:rPr>
          <w:rFonts w:ascii="Arial" w:cs="Arial" w:eastAsia="Arial" w:hAnsi="Arial"/>
          <w:sz w:val="12"/>
          <w:szCs w:val="12"/>
          <w:color w:val="auto"/>
        </w:rPr>
        <w:t>laboratory supplies and materials;</w:t>
      </w:r>
    </w:p>
    <w:p>
      <w:pPr>
        <w:spacing w:after="0" w:line="140" w:lineRule="exact"/>
        <w:rPr>
          <w:rFonts w:ascii="Arial" w:cs="Arial" w:eastAsia="Arial" w:hAnsi="Arial"/>
          <w:sz w:val="16"/>
          <w:szCs w:val="16"/>
          <w:color w:val="auto"/>
        </w:rPr>
      </w:pPr>
    </w:p>
    <w:p>
      <w:pPr>
        <w:ind w:left="800" w:hanging="455"/>
        <w:spacing w:after="0"/>
        <w:tabs>
          <w:tab w:leader="none" w:pos="800" w:val="left"/>
        </w:tabs>
        <w:numPr>
          <w:ilvl w:val="0"/>
          <w:numId w:val="40"/>
        </w:numPr>
        <w:rPr>
          <w:rFonts w:ascii="Arial" w:cs="Arial" w:eastAsia="Arial" w:hAnsi="Arial"/>
          <w:sz w:val="16"/>
          <w:szCs w:val="16"/>
          <w:color w:val="auto"/>
        </w:rPr>
      </w:pPr>
      <w:r>
        <w:rPr>
          <w:rFonts w:ascii="Arial" w:cs="Arial" w:eastAsia="Arial" w:hAnsi="Arial"/>
          <w:sz w:val="12"/>
          <w:szCs w:val="12"/>
          <w:color w:val="auto"/>
        </w:rPr>
        <w:t>leasing and depreciation of laboratory equipment; and</w:t>
      </w:r>
    </w:p>
    <w:p>
      <w:pPr>
        <w:spacing w:after="0" w:line="140" w:lineRule="exact"/>
        <w:rPr>
          <w:rFonts w:ascii="Arial" w:cs="Arial" w:eastAsia="Arial" w:hAnsi="Arial"/>
          <w:sz w:val="16"/>
          <w:szCs w:val="16"/>
          <w:color w:val="auto"/>
        </w:rPr>
      </w:pPr>
    </w:p>
    <w:p>
      <w:pPr>
        <w:ind w:left="800" w:hanging="455"/>
        <w:spacing w:after="0"/>
        <w:tabs>
          <w:tab w:leader="none" w:pos="800" w:val="left"/>
        </w:tabs>
        <w:numPr>
          <w:ilvl w:val="0"/>
          <w:numId w:val="40"/>
        </w:numPr>
        <w:rPr>
          <w:rFonts w:ascii="Arial" w:cs="Arial" w:eastAsia="Arial" w:hAnsi="Arial"/>
          <w:sz w:val="16"/>
          <w:szCs w:val="16"/>
          <w:color w:val="auto"/>
        </w:rPr>
      </w:pPr>
      <w:r>
        <w:rPr>
          <w:rFonts w:ascii="Arial" w:cs="Arial" w:eastAsia="Arial" w:hAnsi="Arial"/>
          <w:sz w:val="12"/>
          <w:szCs w:val="12"/>
          <w:color w:val="auto"/>
        </w:rPr>
        <w:t>allocated costs of facilities and infrastructure.</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68"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General and administrative expense consists primarily of salaries and related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 both fiscal 2014 and 2013, we incurred interest expense, including discount amortization with respect to certain notes, on the outstanding balances of our Senior Secured Convertible Promissory Notes issued to Platinum during fiscal 2013 and in July 2013, on the new and modified notes issued to Morrison &amp; Foerster, Cato Research Ltd. and University Health Network (</w:t>
      </w:r>
      <w:r>
        <w:rPr>
          <w:rFonts w:ascii="Arial" w:cs="Arial" w:eastAsia="Arial" w:hAnsi="Arial"/>
          <w:sz w:val="11"/>
          <w:szCs w:val="11"/>
          <w:i w:val="1"/>
          <w:iCs w:val="1"/>
          <w:color w:val="auto"/>
        </w:rPr>
        <w:t>UHN</w:t>
      </w:r>
      <w:r>
        <w:rPr>
          <w:rFonts w:ascii="Arial" w:cs="Arial" w:eastAsia="Arial" w:hAnsi="Arial"/>
          <w:sz w:val="11"/>
          <w:szCs w:val="11"/>
          <w:color w:val="auto"/>
        </w:rPr>
        <w:t>) during August and September 2012, and on various notes issued to certain service providers during fiscal years 2011 and 2012. Additionally, in fiscal 2014, we incurred interest expense and related discount amortization attributable to the convertible notes issued in connection with the sale of Units between August 2013 and March 2014. In fiscal 2013, we incurred non-cash losses on extinguishment of debt resulting from the modification of indebtedness to Platinum, Morrison &amp; Foerster, Cato Research Ltd., and UHN, as well as the conversion by the holders of our 12% Convertible Promissory Notes issued in February 2012 into restricted shares of our common stock and warrants in November 2012. In fiscal 2014 and 2013, we recorded income and expense, respectively, related to the changes in the fair values of the warrants issued or issuable in connection with the various Senior Secured Convertible Promissory Notes issued to Platinum during fiscal 2013 and 2014.</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2" w:name="page83"/>
    <w:bookmarkEnd w:id="82"/>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fiscal 2013, we also recorded a non-cash deemed dividend related to the modification of the exchange rights of our Series A Preferred Stock held by Platinum and the impact of the prospective issuance of a five-year warrant to purchase restricted shares of our common stock upon Platinum’s exercise of its Series A Preferred Stock exchange rights.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72"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We consider certain accounting policies related to revenue recognition, impairment of long-lived assets, research and development, stock-based compensation,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0"/>
          <w:szCs w:val="10"/>
          <w:i w:val="1"/>
          <w:iCs w:val="1"/>
          <w:color w:val="auto"/>
        </w:rPr>
        <w:t>GAAP</w:t>
      </w:r>
      <w:r>
        <w:rPr>
          <w:rFonts w:ascii="Arial" w:cs="Arial" w:eastAsia="Arial" w:hAnsi="Arial"/>
          <w:sz w:val="10"/>
          <w:szCs w:val="10"/>
          <w:color w:val="auto"/>
        </w:rPr>
        <w:t>)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Recognition</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Although we do not currently have any such arrangements, we have historically generated revenue principally from collaborative research and development arrangements, technology access fees and government grants. We recognize revenue under the provisions of the SEC issued Staff Accounting Bulletin 104, Topic 13, </w:t>
      </w:r>
      <w:r>
        <w:rPr>
          <w:rFonts w:ascii="Arial" w:cs="Arial" w:eastAsia="Arial" w:hAnsi="Arial"/>
          <w:sz w:val="11"/>
          <w:szCs w:val="11"/>
          <w:i w:val="1"/>
          <w:iCs w:val="1"/>
          <w:color w:val="auto"/>
        </w:rPr>
        <w:t>Revenue Recognition Revised and Updated</w:t>
      </w:r>
      <w:r>
        <w:rPr>
          <w:rFonts w:ascii="Arial" w:cs="Arial" w:eastAsia="Arial" w:hAnsi="Arial"/>
          <w:sz w:val="11"/>
          <w:szCs w:val="11"/>
          <w:color w:val="auto"/>
        </w:rPr>
        <w:t xml:space="preserve"> (</w:t>
      </w:r>
      <w:r>
        <w:rPr>
          <w:rFonts w:ascii="Arial" w:cs="Arial" w:eastAsia="Arial" w:hAnsi="Arial"/>
          <w:sz w:val="11"/>
          <w:szCs w:val="11"/>
          <w:i w:val="1"/>
          <w:iCs w:val="1"/>
          <w:color w:val="auto"/>
        </w:rPr>
        <w:t>SAB 104</w:t>
      </w:r>
      <w:r>
        <w:rPr>
          <w:rFonts w:ascii="Arial" w:cs="Arial" w:eastAsia="Arial" w:hAnsi="Arial"/>
          <w:sz w:val="11"/>
          <w:szCs w:val="11"/>
          <w:color w:val="auto"/>
        </w:rPr>
        <w:t>) and Accounting Standards Codification (</w:t>
      </w:r>
      <w:r>
        <w:rPr>
          <w:rFonts w:ascii="Arial" w:cs="Arial" w:eastAsia="Arial" w:hAnsi="Arial"/>
          <w:sz w:val="11"/>
          <w:szCs w:val="11"/>
          <w:i w:val="1"/>
          <w:iCs w:val="1"/>
          <w:color w:val="auto"/>
        </w:rPr>
        <w:t>ASC</w:t>
      </w:r>
      <w:r>
        <w:rPr>
          <w:rFonts w:ascii="Arial" w:cs="Arial" w:eastAsia="Arial" w:hAnsi="Arial"/>
          <w:sz w:val="11"/>
          <w:szCs w:val="11"/>
          <w:color w:val="auto"/>
        </w:rPr>
        <w:t xml:space="preserve">) 605-25, </w:t>
      </w:r>
      <w:r>
        <w:rPr>
          <w:rFonts w:ascii="Arial" w:cs="Arial" w:eastAsia="Arial" w:hAnsi="Arial"/>
          <w:sz w:val="11"/>
          <w:szCs w:val="11"/>
          <w:i w:val="1"/>
          <w:iCs w:val="1"/>
          <w:color w:val="auto"/>
        </w:rPr>
        <w:t>Revenue Arrangements-Multiple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Element Arrangements </w:t>
      </w:r>
      <w:r>
        <w:rPr>
          <w:rFonts w:ascii="Arial" w:cs="Arial" w:eastAsia="Arial" w:hAnsi="Arial"/>
          <w:sz w:val="11"/>
          <w:szCs w:val="11"/>
          <w:color w:val="auto"/>
        </w:rPr>
        <w:t>(</w:t>
      </w:r>
      <w:r>
        <w:rPr>
          <w:rFonts w:ascii="Arial" w:cs="Arial" w:eastAsia="Arial" w:hAnsi="Arial"/>
          <w:sz w:val="11"/>
          <w:szCs w:val="11"/>
          <w:i w:val="1"/>
          <w:iCs w:val="1"/>
          <w:color w:val="auto"/>
        </w:rPr>
        <w:t>ASC 605-25</w:t>
      </w:r>
      <w:r>
        <w:rPr>
          <w:rFonts w:ascii="Arial" w:cs="Arial" w:eastAsia="Arial" w:hAnsi="Arial"/>
          <w:sz w:val="11"/>
          <w:szCs w:val="11"/>
          <w:color w:val="auto"/>
        </w:rPr>
        <w:t>). Revenue for arrangements not having multiple deliverables, as outlined in ASC 605-25, is recognized once costs are incurred and collectability is reasonably assured.</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w:t>
      </w:r>
      <w:r>
        <w:rPr>
          <w:rFonts w:ascii="Arial" w:cs="Arial" w:eastAsia="Arial" w:hAnsi="Arial"/>
          <w:sz w:val="12"/>
          <w:szCs w:val="12"/>
          <w:i w:val="1"/>
          <w:iCs w:val="1"/>
          <w:color w:val="auto"/>
        </w:rPr>
        <w:t>VSOE</w:t>
      </w:r>
      <w:r>
        <w:rPr>
          <w:rFonts w:ascii="Arial" w:cs="Arial" w:eastAsia="Arial" w:hAnsi="Arial"/>
          <w:sz w:val="12"/>
          <w:szCs w:val="12"/>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33" w:lineRule="exact"/>
        <w:rPr>
          <w:sz w:val="20"/>
          <w:szCs w:val="20"/>
          <w:color w:val="auto"/>
        </w:rPr>
      </w:pPr>
    </w:p>
    <w:p>
      <w:pPr>
        <w:jc w:val="both"/>
        <w:ind w:left="420" w:hanging="248"/>
        <w:spacing w:after="0" w:line="281" w:lineRule="auto"/>
        <w:tabs>
          <w:tab w:leader="none" w:pos="420" w:val="left"/>
        </w:tabs>
        <w:numPr>
          <w:ilvl w:val="0"/>
          <w:numId w:val="41"/>
        </w:numPr>
        <w:rPr>
          <w:rFonts w:ascii="Arial" w:cs="Arial" w:eastAsia="Arial" w:hAnsi="Arial"/>
          <w:sz w:val="11"/>
          <w:szCs w:val="11"/>
          <w:color w:val="auto"/>
        </w:rPr>
      </w:pPr>
      <w:r>
        <w:rPr>
          <w:rFonts w:ascii="Arial" w:cs="Arial" w:eastAsia="Arial" w:hAnsi="Arial"/>
          <w:sz w:val="11"/>
          <w:szCs w:val="11"/>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3" w:name="page84"/>
    <w:bookmarkEnd w:id="83"/>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left="420" w:hanging="248"/>
        <w:spacing w:after="0" w:line="263" w:lineRule="auto"/>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40" w:lineRule="exact"/>
        <w:rPr>
          <w:rFonts w:ascii="Arial" w:cs="Arial" w:eastAsia="Arial" w:hAnsi="Arial"/>
          <w:sz w:val="12"/>
          <w:szCs w:val="12"/>
          <w:color w:val="auto"/>
        </w:rPr>
      </w:pPr>
    </w:p>
    <w:p>
      <w:pPr>
        <w:ind w:left="420" w:hanging="248"/>
        <w:spacing w:after="0" w:line="276" w:lineRule="auto"/>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Long-Lived Assets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accordance with ASC 360-10</w:t>
      </w:r>
      <w:r>
        <w:rPr>
          <w:rFonts w:ascii="Arial" w:cs="Arial" w:eastAsia="Arial" w:hAnsi="Arial"/>
          <w:sz w:val="12"/>
          <w:szCs w:val="12"/>
          <w:i w:val="1"/>
          <w:iCs w:val="1"/>
          <w:color w:val="auto"/>
        </w:rPr>
        <w:t>, Property, Plant &amp; Equipment—Overall</w:t>
      </w:r>
      <w:r>
        <w:rPr>
          <w:rFonts w:ascii="Arial" w:cs="Arial" w:eastAsia="Arial" w:hAnsi="Arial"/>
          <w:sz w:val="12"/>
          <w:szCs w:val="12"/>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Research and development expenses include internal and external costs. Internal costs include salaries and employment related expenses of scientific personnel and direct project costs. External research and development expenses consist of sponsored stem cell research and development costs, costs associated with clinical and non-clinical development of AV-101, our lead drug candidate, and costs related to application and prosecution of patents related to our stem cell technology platform,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and AV-101. All such costs are charged to expense as incurred.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Stock-Based Compensation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We account for stock-based payment arrangements in accordance with ASC 718, </w:t>
      </w:r>
      <w:r>
        <w:rPr>
          <w:rFonts w:ascii="Arial" w:cs="Arial" w:eastAsia="Arial" w:hAnsi="Arial"/>
          <w:sz w:val="12"/>
          <w:szCs w:val="12"/>
          <w:i w:val="1"/>
          <w:iCs w:val="1"/>
          <w:color w:val="auto"/>
        </w:rPr>
        <w:t>Compensation-Stock Compensation</w:t>
      </w:r>
      <w:r>
        <w:rPr>
          <w:rFonts w:ascii="Arial" w:cs="Arial" w:eastAsia="Arial" w:hAnsi="Arial"/>
          <w:sz w:val="12"/>
          <w:szCs w:val="12"/>
          <w:color w:val="auto"/>
        </w:rPr>
        <w:t xml:space="preserve"> and ASC 505-50, </w:t>
      </w:r>
      <w:r>
        <w:rPr>
          <w:rFonts w:ascii="Arial" w:cs="Arial" w:eastAsia="Arial" w:hAnsi="Arial"/>
          <w:sz w:val="12"/>
          <w:szCs w:val="12"/>
          <w:i w:val="1"/>
          <w:iCs w:val="1"/>
          <w:color w:val="auto"/>
        </w:rPr>
        <w:t>Equity-Equity Based Payments to Non-Employees</w:t>
      </w:r>
      <w:r>
        <w:rPr>
          <w:rFonts w:ascii="Arial" w:cs="Arial" w:eastAsia="Arial" w:hAnsi="Arial"/>
          <w:sz w:val="12"/>
          <w:szCs w:val="12"/>
          <w:color w:val="auto"/>
        </w:rPr>
        <w:t xml:space="preserve"> which requires the recognition of compensation expense, using a fair-value based method, for all costs related to stock-based payments including stock options and restricted stock awards. We recognize compensation cost for all share-based awards to employees based on their grant date fair value. Share-based compensation expense is recognized over the period during which the employee is required to perform service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terms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4" w:name="page85"/>
    <w:bookmarkEnd w:id="84"/>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40" w:type="dxa"/>
            <w:vAlign w:val="bottom"/>
            <w:gridSpan w:val="2"/>
          </w:tcPr>
          <w:p>
            <w:pPr>
              <w:spacing w:after="0"/>
              <w:rPr>
                <w:sz w:val="20"/>
                <w:szCs w:val="20"/>
                <w:color w:val="auto"/>
              </w:rPr>
            </w:pPr>
            <w:r>
              <w:rPr>
                <w:rFonts w:ascii="Arial" w:cs="Arial" w:eastAsia="Arial" w:hAnsi="Arial"/>
                <w:sz w:val="12"/>
                <w:szCs w:val="12"/>
                <w:i w:val="1"/>
                <w:iCs w:val="1"/>
                <w:color w:val="auto"/>
              </w:rPr>
              <w:t>Recent Accounting Pronouncements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840" w:type="dxa"/>
            <w:vAlign w:val="bottom"/>
            <w:gridSpan w:val="2"/>
          </w:tcPr>
          <w:p>
            <w:pPr>
              <w:spacing w:after="0"/>
              <w:rPr>
                <w:sz w:val="20"/>
                <w:szCs w:val="20"/>
                <w:color w:val="auto"/>
              </w:rPr>
            </w:pPr>
            <w:r>
              <w:rPr>
                <w:rFonts w:ascii="Arial" w:cs="Arial" w:eastAsia="Arial" w:hAnsi="Arial"/>
                <w:sz w:val="12"/>
                <w:szCs w:val="12"/>
                <w:color w:val="auto"/>
              </w:rPr>
              <w:t>See Note 3 to the consolidated financial statements included elsewhere in this prospectus for information on recent accounting pronouncements.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Results of Operations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84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Comparison of Years Ended March 31, 2014 and 2013</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2"/>
          </w:tcPr>
          <w:p>
            <w:pPr>
              <w:spacing w:after="0"/>
              <w:rPr>
                <w:sz w:val="20"/>
                <w:szCs w:val="20"/>
                <w:color w:val="auto"/>
              </w:rPr>
            </w:pPr>
            <w:r>
              <w:rPr>
                <w:rFonts w:ascii="Arial" w:cs="Arial" w:eastAsia="Arial" w:hAnsi="Arial"/>
                <w:sz w:val="12"/>
                <w:szCs w:val="12"/>
                <w:i w:val="1"/>
                <w:iCs w:val="1"/>
                <w:color w:val="auto"/>
              </w:rPr>
              <w:t>Revenue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2"/>
          </w:tcPr>
          <w:p>
            <w:pPr>
              <w:spacing w:after="0"/>
              <w:rPr>
                <w:sz w:val="20"/>
                <w:szCs w:val="20"/>
                <w:color w:val="auto"/>
              </w:rPr>
            </w:pPr>
            <w:r>
              <w:rPr>
                <w:rFonts w:ascii="Arial" w:cs="Arial" w:eastAsia="Arial" w:hAnsi="Arial"/>
                <w:sz w:val="12"/>
                <w:szCs w:val="12"/>
                <w:color w:val="auto"/>
              </w:rPr>
              <w:t>The following table compares our primary revenue sources between the periods (in thousands):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2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2"/>
                <w:szCs w:val="12"/>
                <w:color w:val="auto"/>
              </w:rPr>
              <w:t>Fiscal Years Ended March 31,</w:t>
            </w: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20" w:type="dxa"/>
            <w:vAlign w:val="bottom"/>
          </w:tcPr>
          <w:p>
            <w:pPr>
              <w:jc w:val="right"/>
              <w:ind w:right="165"/>
              <w:spacing w:after="0"/>
              <w:rPr>
                <w:sz w:val="20"/>
                <w:szCs w:val="20"/>
                <w:color w:val="auto"/>
              </w:rPr>
            </w:pPr>
            <w:r>
              <w:rPr>
                <w:rFonts w:ascii="Arial" w:cs="Arial" w:eastAsia="Arial" w:hAnsi="Arial"/>
                <w:sz w:val="12"/>
                <w:szCs w:val="12"/>
                <w:color w:val="auto"/>
              </w:rPr>
              <w:t>2014</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2013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NIH - AV-101 grant</w:t>
            </w:r>
          </w:p>
        </w:tc>
        <w:tc>
          <w:tcPr>
            <w:tcW w:w="920" w:type="dxa"/>
            <w:vAlign w:val="bottom"/>
            <w:shd w:val="clear" w:color="auto" w:fill="CCEEFF"/>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Subcontract revenue</w:t>
            </w:r>
          </w:p>
        </w:tc>
        <w:tc>
          <w:tcPr>
            <w:tcW w:w="9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Total Revenue</w:t>
            </w:r>
          </w:p>
        </w:tc>
        <w:tc>
          <w:tcPr>
            <w:tcW w:w="920" w:type="dxa"/>
            <w:vAlign w:val="bottom"/>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76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We have successfully completed our Phase I development of AV-101, our prodrug candidate for the treatment of neuropathic pain and, potentially, depression and other neurological conditions. Our NIH grant related to AV-101 expired in its normal course on June 30, 2012. We had drawn the maximum amount available under the grant prior to its expiration. Revenue associated with our earlier subcontract research arrangement terminated in May 2012.</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Research and development expense decreased by 28% or $900,000 to $2.5 million in fiscal 2014 compared to $3.4 million in fiscal 2013. The following table compares the primary components of research and development expense between the periods (in thousands):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15"/>
        </w:trPr>
        <w:tc>
          <w:tcPr>
            <w:tcW w:w="8840" w:type="dxa"/>
            <w:vAlign w:val="bottom"/>
            <w:gridSpan w:val="3"/>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902</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Stock-based compensation</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453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UHN research under SRCA</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Consulting services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Technology licenses and royalties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Project-related third-party research and supplies: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AV-101</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ind w:left="200"/>
              <w:spacing w:after="0"/>
              <w:rPr>
                <w:sz w:val="20"/>
                <w:szCs w:val="20"/>
                <w:color w:val="auto"/>
              </w:rPr>
            </w:pPr>
            <w:r>
              <w:rPr>
                <w:rFonts w:ascii="Arial" w:cs="Arial" w:eastAsia="Arial" w:hAnsi="Arial"/>
                <w:sz w:val="12"/>
                <w:szCs w:val="12"/>
                <w:color w:val="auto"/>
              </w:rPr>
              <w:t>All other including CardioSafe and LiverSafe</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Rent</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Depreciation</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All other</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Total Research and Development Expense</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2,481</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The increase in research and development salaries and benefits expense reflects the impact of (i) the addition of a research technician in April 2013; (ii) the partial restoration in April 2013 of an earlier voluntary salary reduction to below his contractual pay rates taken by our President and Chief Scientific Officer; and (iii) general annual increases in employee benefits costs. In addition to the ratable amortization of stock-based compensation expense over the requisite service period of the respective grants made in fiscal 2014 and in prior years, stock-based compensation expense for fiscal 2014 includes approximately $82,000 as the impact of October 2013 and December 2013 modifications to reduce the exercise price of certain outstanding option grants to $0.40 per share or $0.50 per share, as well as approximately $157,000 attributable to the expense resulting from the March 2014 and March 2013 grants of warrants to our President and Chief Scientific Officer that vest over three years, subject to certain vesting acceleration events. Stock-based compensation expense for fiscal 2013 includes approximately $89,000 from the impact of October 2012 modifications reducing the exercise price to $0.75 per share and reducing any remaining vesting period to two years for certain option grants having exercise prices between $1.13 per share and $2.58 per share made to certain scientific employees and consultants in prior years and approximately $268,000 attributable to the expense resulting from the March 2013 grant of a warrant to our President and Chief Scientific Officer. Our 2012/2013 sponsored research project budget under the collaboration agreement with Dr. Gordon Keller’s laboratory at UHN ended on September 30, 2013. We are currently in discussions with Dr. Keller and UHN regarding the scope of our 2013/2014 sponsored research project budget under the agreement, and we anticipate finalizing such budget in the near term. The expense recorded in fiscal 2013 reflects our stem cell research collaboration in accordance with our agreements with UHN made in the third and fourth quarters of our fiscal year ended March 31, 2012 and in a further modification effective beginning in October 2012. Technology license expense increased significantly in fiscal 2014 as a result of costs for patent prosecution and protection that we are required to fund under the terms of certain of our license agreements. We recognize these costs as they are invoiced to us by the licensors and they do not occur ratably throughout the year or between years. We began Phase 1b clinical trials of AV-101 early in calendar 2012, completing them by mid-year 2012. We recorded significant expense related to the trials during fiscal 2013. AV-101 expenses in fiscal 2014 reflect the costs associated with finalizing the AV-101 clinical trial results, preparing the final clinical trial and other reports required under the terms of the NIH grant and monitoring for feedback related to the reports, activities performed primarily through our contract research collaborator, Cato Research Ltd. We do not track internal research and development expenses, including compensation costs, by project as we do not currently believe that such project accounting is necessary given the level and overlap of project resources, including staffing, that are dedicated to our internal research and development projects. The increase in rent expense and depreciation in fiscal 2014 reflects increased rental costs and the amortization of tenant improvements related to our relocation to expanded facilities in late-July 2013.</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4" w:right="199" w:bottom="1440" w:gutter="0" w:footer="0" w:header="0"/>
        </w:sectPr>
      </w:pPr>
    </w:p>
    <w:bookmarkStart w:id="86" w:name="page87"/>
    <w:bookmarkEnd w:id="86"/>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General and administrative expense decreased by 29% or $1.0 million to $2.5 million in fiscal 2014 compared to $3.6 million in fiscal 2013. The following table compares the primary components of general and administrative expense between the periods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1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color w:val="auto"/>
              </w:rPr>
              <w:t>Fiscal Years Ended March 31,</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800" w:type="dxa"/>
            <w:vAlign w:val="bottom"/>
          </w:tcPr>
          <w:p>
            <w:pPr>
              <w:jc w:val="right"/>
              <w:ind w:right="45"/>
              <w:spacing w:after="0"/>
              <w:rPr>
                <w:sz w:val="20"/>
                <w:szCs w:val="20"/>
                <w:color w:val="auto"/>
              </w:rPr>
            </w:pPr>
            <w:r>
              <w:rPr>
                <w:rFonts w:ascii="Arial" w:cs="Arial" w:eastAsia="Arial" w:hAnsi="Arial"/>
                <w:sz w:val="12"/>
                <w:szCs w:val="12"/>
                <w:color w:val="auto"/>
              </w:rPr>
              <w:t>2014</w:t>
            </w:r>
          </w:p>
        </w:tc>
        <w:tc>
          <w:tcPr>
            <w:tcW w:w="3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2013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800" w:type="dxa"/>
            <w:vAlign w:val="bottom"/>
            <w:shd w:val="clear" w:color="auto" w:fill="CCEEFF"/>
          </w:tcPr>
          <w:p>
            <w:pPr>
              <w:jc w:val="right"/>
              <w:ind w:right="685"/>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w:t>
            </w:r>
          </w:p>
        </w:tc>
        <w:tc>
          <w:tcPr>
            <w:tcW w:w="100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684</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731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Consulting Services</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Legal, accounting and other professional fees</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340</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554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Investor relations</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Insurance</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130</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Travel and entertainment</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Rent and utilities</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139</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Warrant modification expense</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All other expenses</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143</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Total General and Administrative Expense</w:t>
            </w:r>
          </w:p>
        </w:tc>
        <w:tc>
          <w:tcPr>
            <w:tcW w:w="800" w:type="dxa"/>
            <w:vAlign w:val="bottom"/>
          </w:tcPr>
          <w:p>
            <w:pPr>
              <w:jc w:val="right"/>
              <w:ind w:right="685"/>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2,548</w:t>
            </w:r>
          </w:p>
        </w:tc>
        <w:tc>
          <w:tcPr>
            <w:tcW w:w="1000" w:type="dxa"/>
            <w:vAlign w:val="bottom"/>
            <w:gridSpan w:val="2"/>
          </w:tcPr>
          <w:p>
            <w:pPr>
              <w:jc w:val="right"/>
              <w:ind w:right="7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spacing w:after="0" w:line="307" w:lineRule="auto"/>
        <w:rPr>
          <w:sz w:val="20"/>
          <w:szCs w:val="20"/>
          <w:color w:val="auto"/>
        </w:rPr>
      </w:pPr>
      <w:r>
        <w:rPr>
          <w:rFonts w:ascii="Arial" w:cs="Arial" w:eastAsia="Arial" w:hAnsi="Arial"/>
          <w:sz w:val="10"/>
          <w:szCs w:val="10"/>
          <w:color w:val="auto"/>
        </w:rPr>
        <w:t>The increase in administrative salaries and benefits expense reflects the impact of (i) the partial restoration in April 2013 of an earlier voluntary salary reduction to below his contractual pay rate taken by our Chief Executive Officer; (ii) the September 2012 conversion of our Chief Financial Officer from part-time consultant to full-time employee status; (iii) the April 2013 conversion of an administrative assistant from consultant to employee status, and (iv) general annual increases in employee benefits costs; all offset by the impact of voluntary resignations of certain administrative personnel. In addition to the ratable amortization of stock-based compensation expense over the requisite service period of the respective grants made in fiscal 2014 and in prior years, stock-based compensation expense for fiscal 2014 includes approximately $170,000 as the impact of October 2013 and December 2013 modifications to reduce the exercise price of certain outstanding option grants to $0.40 per share or $0.50 per share, as well as approximately $299,000 attributable to the expense resulting from the March 2014 and March 2013 grants of warrants vesting over three years, subject to certain vesting acceleration events, to certain members of our senior management and to the independent members of our Board of Directors. Stock-based compensation expense for fiscal 2013 includes approximately $44,000 reflecting the impact of October 2012 modifications reducing the exercise price to $0.75 per share and reducing any remaining vesting period to two years for certain option grants having exercise prices between $1.13 per share and $2.58 per share made to certain administrative employees and consultants in prior years, and approximately $535,000 attributable to the expense resulting from the March 2013 grants of warrants to certain members of our senior management and to the independent members of our Board of Directors. The reduction in legal, accounting and other professional fees reflects the impact of converting our Chief Financial Officer from part-time consultant to full-time employee status, as noted above, a reduction in legal expenses and the absence in fiscal 2014 of non-cash expense related to the granting of warrants to certain administrative consultants and service providers. During fiscal 2013, we engaged third parties to provide us with investor relations services and to conduct market awareness initiatives, however, for strategic purposes, we significantly scaled back those initiatives during fiscal 2014. The fiscal 2014 increase in rent and utilities expenses reflects higher costs related to our relocation to expanded facilities in late-July 2013. Warrant modification expense for fiscal 2014 reflects the impact of October 2013, December 2013 and February 2014 strategic reductions in the exercise price of certain outstanding warrants, generally from $1.75 per share or $1.50 per share, to $0.50 per share, and in certain cases, the extension of the term of outstanding warrants by approximately one year. In fiscal 2013, we recorded warrant modification expense also related to the reduction of the exercise price of certain outstanding warrants. The increase in other expenses for 2013 includes one-time costs associated with our late-July 2013 relocation to new facilities.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7" w:name="page88"/>
    <w:bookmarkEnd w:id="87"/>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In both fiscal 2014 and 2013, other expenses, net includes interest expense, including non-cash discount amortization, on our outstanding promissory notes, net of interest income, as well as the non-cash impact of changes in the fair value of the warrant liabilities related to warrants issued or issuable to Platinum as a result of the October 2012 Agreement with Platinum, as amended, and, in fiscal 2014, the warrant issued to Platinum in July 2013. In fiscal 2013, other expenses, net additionally includes the non-cash loss on extinguishment of debt resulting from the modification of indebtedness to Platinum, Morrison &amp; Foerster, Cato Research Ltd., and University Health Network, as well as the conversion by the holders of our 12% Convertible Promissory Notes issued in February 2012 into restricted shares of our common stock and warrants in November 2012.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20" w:type="dxa"/>
            <w:vAlign w:val="bottom"/>
            <w:gridSpan w:val="2"/>
          </w:tcPr>
          <w:p>
            <w:pPr>
              <w:spacing w:after="0"/>
              <w:rPr>
                <w:sz w:val="20"/>
                <w:szCs w:val="20"/>
                <w:color w:val="auto"/>
              </w:rPr>
            </w:pPr>
            <w:r>
              <w:rPr>
                <w:rFonts w:ascii="Arial" w:cs="Arial" w:eastAsia="Arial" w:hAnsi="Arial"/>
                <w:sz w:val="12"/>
                <w:szCs w:val="12"/>
                <w:color w:val="auto"/>
              </w:rPr>
              <w:t>The following table compares the primary components of net interest expense between the periods (in thousands):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on promissory notes, including discount amortization</w:t>
            </w: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1,547</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00" w:type="dxa"/>
            <w:vAlign w:val="bottom"/>
          </w:tcPr>
          <w:p>
            <w:pPr>
              <w:spacing w:after="0" w:line="136" w:lineRule="exact"/>
              <w:rPr>
                <w:sz w:val="20"/>
                <w:szCs w:val="20"/>
                <w:color w:val="auto"/>
              </w:rPr>
            </w:pPr>
            <w:r>
              <w:rPr>
                <w:rFonts w:ascii="Arial" w:cs="Arial" w:eastAsia="Arial" w:hAnsi="Arial"/>
                <w:sz w:val="12"/>
                <w:szCs w:val="12"/>
                <w:color w:val="auto"/>
              </w:rPr>
              <w:t>Charge for fair value of replacement warrants issued in connection</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700" w:type="dxa"/>
            <w:vAlign w:val="bottom"/>
          </w:tcPr>
          <w:p>
            <w:pPr>
              <w:ind w:left="440"/>
              <w:spacing w:after="0"/>
              <w:rPr>
                <w:sz w:val="20"/>
                <w:szCs w:val="20"/>
                <w:color w:val="auto"/>
              </w:rPr>
            </w:pPr>
            <w:r>
              <w:rPr>
                <w:rFonts w:ascii="Arial" w:cs="Arial" w:eastAsia="Arial" w:hAnsi="Arial"/>
                <w:sz w:val="12"/>
                <w:szCs w:val="12"/>
                <w:color w:val="auto"/>
              </w:rPr>
              <w:t>with exercise of modified warrants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Charge related to losses on accounts payable settled by issuance</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of common stock or notes payable</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00" w:type="dxa"/>
            <w:vAlign w:val="bottom"/>
          </w:tcPr>
          <w:p>
            <w:pPr>
              <w:spacing w:after="0" w:line="136" w:lineRule="exact"/>
              <w:rPr>
                <w:sz w:val="20"/>
                <w:szCs w:val="20"/>
                <w:color w:val="auto"/>
              </w:rPr>
            </w:pPr>
            <w:r>
              <w:rPr>
                <w:rFonts w:ascii="Arial" w:cs="Arial" w:eastAsia="Arial" w:hAnsi="Arial"/>
                <w:sz w:val="12"/>
                <w:szCs w:val="12"/>
                <w:color w:val="auto"/>
              </w:rPr>
              <w:t>Charge for investment banker warrants related to February 2012 Convertible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700" w:type="dxa"/>
            <w:vAlign w:val="bottom"/>
          </w:tcPr>
          <w:p>
            <w:pPr>
              <w:ind w:left="660"/>
              <w:spacing w:after="0"/>
              <w:rPr>
                <w:sz w:val="20"/>
                <w:szCs w:val="20"/>
                <w:color w:val="auto"/>
              </w:rPr>
            </w:pPr>
            <w:r>
              <w:rPr>
                <w:rFonts w:ascii="Arial" w:cs="Arial" w:eastAsia="Arial" w:hAnsi="Arial"/>
                <w:sz w:val="12"/>
                <w:szCs w:val="12"/>
                <w:color w:val="auto"/>
              </w:rPr>
              <w:t>promissory notes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Charge for legal fees related to issuance of Senior Secured Promissory</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Notes to Platinum under June and October 2012 agreements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Other interest expense, including on capital leases and premium financing</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1,562</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Effect of foreign currency fluctuations on notes payable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(49)</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7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increase in interest expense is primarily attributable to the accrued interest and discount amortization recorded for the July 2012 through July 2013 issuances and restructuring of an aggregate of $3.5 million of 10% senior secured convertible notes to Platinum, including the $250,000 convertible note issued in July 2013, as well as the restructuring in September and October 2012 of an additional $3.9 million of debt into new convertible notes to other service providers, including Morrison &amp; Foerster, Cato Research Ltd., and University Health Network. These transactions are described in greater detail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in the Consolidated Financial Statements included elsewhere in this prospectus.</w:t>
      </w:r>
    </w:p>
    <w:p>
      <w:pPr>
        <w:spacing w:after="0" w:line="14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In conjunction with the issuance to Platinum, pursuant to the October 2012 Note Exchange and Purchase Agreement, of certain Senior Secured Convertible Promissory Notes and the related Exchange Warrant and Investment Warrants in October 2012, February 2013 and March 2013, and in connection with the similar senior secured convertible promissory note and related warrant issued to Platinum in July 2013, (as described more completely in Note 9, </w:t>
      </w:r>
      <w:r>
        <w:rPr>
          <w:rFonts w:ascii="Arial" w:cs="Arial" w:eastAsia="Arial" w:hAnsi="Arial"/>
          <w:sz w:val="11"/>
          <w:szCs w:val="11"/>
          <w:i w:val="1"/>
          <w:iCs w:val="1"/>
          <w:color w:val="auto"/>
        </w:rPr>
        <w:t>Convertible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Promissory Notes and Other Notes Payable, </w:t>
      </w:r>
      <w:r>
        <w:rPr>
          <w:rFonts w:ascii="Arial" w:cs="Arial" w:eastAsia="Arial" w:hAnsi="Arial"/>
          <w:sz w:val="11"/>
          <w:szCs w:val="11"/>
          <w:color w:val="auto"/>
        </w:rPr>
        <w:t>in the Consolidated Financial Statements included elsewhere in this prospectus), and the contingent issuance of the Series A Exchange Warrant to Platinum upon Platinum’s exchange of shares</w:t>
      </w:r>
      <w:r>
        <w:rPr>
          <w:rFonts w:ascii="Arial" w:cs="Arial" w:eastAsia="Arial" w:hAnsi="Arial"/>
          <w:sz w:val="11"/>
          <w:szCs w:val="11"/>
          <w:i w:val="1"/>
          <w:iCs w:val="1"/>
          <w:color w:val="auto"/>
        </w:rPr>
        <w:t xml:space="preserve"> </w:t>
      </w:r>
      <w:r>
        <w:rPr>
          <w:rFonts w:ascii="Arial" w:cs="Arial" w:eastAsia="Arial" w:hAnsi="Arial"/>
          <w:sz w:val="11"/>
          <w:szCs w:val="11"/>
          <w:color w:val="auto"/>
        </w:rPr>
        <w:t>of our Series A Preferred held by Platinum into shares of our common stock, we determined that the warrants included certain exercise price adjustment features requiring the warrants to be treated as liabilities. Accordingly, we recorded a non-cash warrant liability at its estimated fair value as of the date of warrant issuance or contract execution. During fiscal 2014, we recognized non-cash income of $3,566,900 related to the net decrease in the estimated fair value of these liabilities since March 31, 2013, or issuance in the case of the warrant issued in July 2013, which resulted from a combination of both the decrease in the market price of our common stock during that period and an agreement with Platinum in May 2013 pursuant to which the stated exercise price of the warrants was reduced from $1.50 per share to $0.50 per share. During fiscal 2013, we recognized non-cash expense of $1,635,800 attributable to the net increase in the fair value of these liabilities between the issuance date of the warrants and March 31, 2013, primarily as the result of the increase in the market price of our common stock during that period.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8" w:name="page89"/>
    <w:bookmarkEnd w:id="88"/>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During fiscal 2013, we recognized non-cash losses on the early extinguishment of debt in the aggregate amount of $3.6 million primarily as a result of the restructuring of notes payable to Platinum and Cato Holding Company, and the restructuring of accounts payable to Cato Research, Ltd. and UHN that were converted in to notes payable, as well as upon the conversion by the holders of our 12% Convertible Promissory Notes issued in February 2012 into restricted shares of our common stock and warrants, all of which were treated as extinguishment of debt for accounting purposes, all as described more completely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in the Consolidated Financial Statements included elsewhere in this prospectus.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In fiscal 2013, in connection with the October 2012 Note Exchange and Purchase Agreement we entered with Platinum, as described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and Note 10, </w:t>
      </w:r>
      <w:r>
        <w:rPr>
          <w:rFonts w:ascii="Arial" w:cs="Arial" w:eastAsia="Arial" w:hAnsi="Arial"/>
          <w:sz w:val="12"/>
          <w:szCs w:val="12"/>
          <w:i w:val="1"/>
          <w:iCs w:val="1"/>
          <w:color w:val="auto"/>
        </w:rPr>
        <w:t>Capital Stock</w:t>
      </w:r>
      <w:r>
        <w:rPr>
          <w:rFonts w:ascii="Arial" w:cs="Arial" w:eastAsia="Arial" w:hAnsi="Arial"/>
          <w:sz w:val="12"/>
          <w:szCs w:val="12"/>
          <w:color w:val="auto"/>
        </w:rPr>
        <w:t>, in the Consolidated Financial Statements included elsewhere in this prospectus, we recorded a non-cash deemed dividend of $10.2 million as a result of the modification of the exchange rights for the Series A Preferred held by Platinum and the related contingent issuance of a five-year warrant to purchase shares of our common stock upon Platinum’s exercise of its Series A Preferred exchange rights.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jc w:val="both"/>
        <w:spacing w:after="0" w:line="313" w:lineRule="auto"/>
        <w:rPr>
          <w:sz w:val="20"/>
          <w:szCs w:val="20"/>
          <w:color w:val="auto"/>
        </w:rPr>
      </w:pPr>
      <w:r>
        <w:rPr>
          <w:rFonts w:ascii="Arial" w:cs="Arial" w:eastAsia="Arial" w:hAnsi="Arial"/>
          <w:sz w:val="10"/>
          <w:szCs w:val="10"/>
          <w:color w:val="auto"/>
        </w:rPr>
        <w:t>Since our inception in May 1998 through March 31, 2014, we have financed our operations and technology acquisitions primarily through the issuance and sale of equity and debt securities, including convertible promissory notes and short-term promissory notes, for aggregate cash proceeds of approximately $26.0 million, as well as from an aggregate of approximately $16.4 million of government research grant awards, strategic collaboration payments and other revenues. Additionally, we have issued equity securities with an approximate aggregate value at issuance of $12.6 million, primarily as compensation for professional services rendered to us since inception. At March 31, 2014, we had negligible cash and cash equivalents. To meet our cash needs and fund our working capital requirements after March 31, 2014 and prior to the expected completion of the Autilion Financing or an alternate debt- or equity-based financing, through July 1, 2014, we entered into securities purchase agreements with accredited investors pursuant to which we sold to such accredited investors certain Units for aggregate cash proceeds of $1,520,000, consisting of: (i) 10% subordinate convertible promissory notes in the aggregate face amount of $1,520,000 maturing on March 31, 2015; (ii) an aggregate of 1,520,000 restricted shares of our common stock; and (iii) warrants exercisable through December 31, 2016 to purchase an aggregate of 1,520,000 restricted shares of our common stock at an exercise price of $0.50 per share. We anticipate that our cash expenditures during the next twelve months will be approximately $4.0 to $6.0 million.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April 2013, we entered into the Securities Purchase Agreement with Autilion, under which Autilion is contractually obligated to purchase an aggregate of 72.0 million restricted shares of our common stock at a purchase price of $0.50 per share for aggregate cash proceeds to us of $36.0 million. To date, Autilion has completed only a nominal closing under the Securities Purchase Agreement. Autilion is therefore in default under the Securities Purchase Agreement, and no assurances can be given that Autilion will consummate additional investments under the Securities Purchase Agreement. In the event that Autilion does not complete a material closing under the Securities Purchase Agreement in the near term, we anticipate that we will need to raise between $4.0 million and $6.0 million from alternative financing sources to execute our current business plan, which we intend to obtain as a result of the consummation of the Offering, although no assurances can be given that we will raise the maximum Offering amount or a sufficient amount to fund our operations and satisfy our outstanding obligations. Substantial additional financing may not be available to us on a timely basis, on terms acceptable to us, or at all. In the event we are unable to obtain substantial additional financing on a timely basis, our business, financial condition, and results of operations may be harmed, the price of our stock may decline, and we may not be able to continue as a going concern.</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the event Autilion completes a closing under the Securities Purchase Agreement in an amount exceeding $13.0 million, and we issue to Autilion over 26 million shares of our restricted common stock in connection with such closing, without giving effect to any closings in connection with the Offering, Autilion will control in excess of 50% of our issued and outstanding common stock, resulting in a change in control of the Company. In addition, substantial dilution to existing stockholders will occur upon completion of a material portion of the Autilion Financing, or completion of an alternate equity-based financing.</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9" w:name="page90"/>
    <w:bookmarkEnd w:id="89"/>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If and as necessary, we may seek to complete a combination of additional private placements or public offerings of our securities, which may include both debt and equity securities, stem cell technology-based research and development collaborations, stem cell technology and drug candidate license fees and government grant awards. Although we have been successful since May 1998 with raising sufficient capital for our operations, and we will continue to pursue additional financing opportunities as necessary to meet our business objectives, there can be no assurance that substantial additional capital will be available to us in sufficient amounts, on terms favorable to us, and without substantial dilution to our current stockholders, if at all. If we are unable to complete one or more private placements or public offerings, or otherwise obtain sufficient financing through strategic collaborations or government grant awards, we may be required to delay, scale back or discontinue certain drug rescue and/or research and development activities, and this may adversely affect our ability to continue as a going concern. If we obtain additional financing by selling our equity or debt securities, we anticipate that substantial dilution to our existing stockholders will result. Our future working capital requirements will depend on many factors, including, without limitation, the scope and nature of strategic opportunities related to our stem cell technology platform, including drug rescue and cell therapy research and development efforts, the success of such programs, our ability to obtain government grant awards and our ability to enter into strategic collaborations with institutions on terms acceptable to us. To further advance drug rescue applications of our stem cell technology platform, as well as support our operating activities, we plan to continue to carefully manage our monthly operating costs associated with salaries and benefits, regulatory and public company consulting, contract research and development, legal, accounting and other working capital costs.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The following table summarizes changes in cash and cash equivalents for the periods stated (in thousands):</w:t>
            </w: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Fiscal Years Ended</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(2,126)</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(10)</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(638)</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638</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end of period</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VistaGen California has two inactive, wholly-owned subsidiaries, Artemis Neuroscience, Inc., a Maryland corporation, and VistaStem Canada, Inc., an Ontario corporation.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0" w:name="page91"/>
    <w:bookmarkEnd w:id="90"/>
    <w:tbl>
      <w:tblPr>
        <w:tblLayout w:type="fixed"/>
        <w:tblInd w:w="8" w:type="dxa"/>
        <w:tblCellMar>
          <w:top w:w="0" w:type="dxa"/>
          <w:left w:w="0" w:type="dxa"/>
          <w:bottom w:w="0" w:type="dxa"/>
          <w:right w:w="0" w:type="dxa"/>
        </w:tblCellMar>
      </w:tblPr>
      <w:tr>
        <w:trPr>
          <w:trHeight w:val="115"/>
        </w:trPr>
        <w:tc>
          <w:tcPr>
            <w:tcW w:w="4520" w:type="dxa"/>
            <w:vAlign w:val="bottom"/>
            <w:gridSpan w:val="3"/>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20" w:type="dxa"/>
            <w:vAlign w:val="bottom"/>
          </w:tcPr>
          <w:p>
            <w:pPr>
              <w:spacing w:after="0"/>
              <w:rPr>
                <w:sz w:val="10"/>
                <w:szCs w:val="10"/>
                <w:color w:val="auto"/>
              </w:rPr>
            </w:pPr>
          </w:p>
        </w:tc>
      </w:tr>
      <w:tr>
        <w:trPr>
          <w:trHeight w:val="295"/>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20" w:type="dxa"/>
            <w:vAlign w:val="bottom"/>
            <w:gridSpan w:val="3"/>
          </w:tcPr>
          <w:p>
            <w:pPr>
              <w:ind w:left="620"/>
              <w:spacing w:after="0"/>
              <w:rPr>
                <w:sz w:val="20"/>
                <w:szCs w:val="20"/>
                <w:color w:val="auto"/>
              </w:rPr>
            </w:pPr>
            <w:r>
              <w:rPr>
                <w:rFonts w:ascii="Arial" w:cs="Arial" w:eastAsia="Arial" w:hAnsi="Arial"/>
                <w:sz w:val="12"/>
                <w:szCs w:val="12"/>
                <w:b w:val="1"/>
                <w:bCs w:val="1"/>
                <w:color w:val="auto"/>
              </w:rPr>
              <w:t>MANAGEMENT</w:t>
            </w:r>
          </w:p>
        </w:tc>
      </w:tr>
      <w:tr>
        <w:trPr>
          <w:trHeight w:val="306"/>
        </w:trPr>
        <w:tc>
          <w:tcPr>
            <w:tcW w:w="4520" w:type="dxa"/>
            <w:vAlign w:val="bottom"/>
            <w:gridSpan w:val="3"/>
          </w:tcPr>
          <w:p>
            <w:pPr>
              <w:spacing w:after="0"/>
              <w:rPr>
                <w:sz w:val="20"/>
                <w:szCs w:val="20"/>
                <w:color w:val="auto"/>
              </w:rPr>
            </w:pPr>
            <w:r>
              <w:rPr>
                <w:rFonts w:ascii="Arial" w:cs="Arial" w:eastAsia="Arial" w:hAnsi="Arial"/>
                <w:sz w:val="12"/>
                <w:szCs w:val="12"/>
                <w:b w:val="1"/>
                <w:bCs w:val="1"/>
                <w:color w:val="auto"/>
              </w:rPr>
              <w:t>Directors and Executive Officers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306"/>
        </w:trPr>
        <w:tc>
          <w:tcPr>
            <w:tcW w:w="4520" w:type="dxa"/>
            <w:vAlign w:val="bottom"/>
            <w:gridSpan w:val="3"/>
          </w:tcPr>
          <w:p>
            <w:pPr>
              <w:spacing w:after="0"/>
              <w:rPr>
                <w:sz w:val="20"/>
                <w:szCs w:val="20"/>
                <w:color w:val="auto"/>
              </w:rPr>
            </w:pPr>
            <w:r>
              <w:rPr>
                <w:rFonts w:ascii="Arial" w:cs="Arial" w:eastAsia="Arial" w:hAnsi="Arial"/>
                <w:sz w:val="12"/>
                <w:szCs w:val="12"/>
                <w:color w:val="auto"/>
              </w:rPr>
              <w:t>Our directors and executive officers are as follows: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88"/>
        </w:trPr>
        <w:tc>
          <w:tcPr>
            <w:tcW w:w="452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88"/>
              </w:rPr>
              <w:t>Age</w:t>
            </w:r>
          </w:p>
        </w:tc>
        <w:tc>
          <w:tcPr>
            <w:tcW w:w="5760" w:type="dxa"/>
            <w:vAlign w:val="bottom"/>
            <w:gridSpan w:val="2"/>
          </w:tcPr>
          <w:p>
            <w:pPr>
              <w:ind w:left="140"/>
              <w:spacing w:after="0"/>
              <w:rPr>
                <w:sz w:val="20"/>
                <w:szCs w:val="20"/>
                <w:color w:val="auto"/>
              </w:rPr>
            </w:pPr>
            <w:r>
              <w:rPr>
                <w:rFonts w:ascii="Arial" w:cs="Arial" w:eastAsia="Arial" w:hAnsi="Arial"/>
                <w:sz w:val="12"/>
                <w:szCs w:val="12"/>
                <w:b w:val="1"/>
                <w:bCs w:val="1"/>
                <w:color w:val="auto"/>
              </w:rPr>
              <w:t>Position</w:t>
            </w:r>
          </w:p>
        </w:tc>
      </w:tr>
      <w:tr>
        <w:trPr>
          <w:trHeight w:val="142"/>
        </w:trPr>
        <w:tc>
          <w:tcPr>
            <w:tcW w:w="20" w:type="dxa"/>
            <w:vAlign w:val="bottom"/>
          </w:tcPr>
          <w:p>
            <w:pPr>
              <w:spacing w:after="0"/>
              <w:rPr>
                <w:sz w:val="12"/>
                <w:szCs w:val="12"/>
                <w:color w:val="auto"/>
              </w:rPr>
            </w:pPr>
          </w:p>
        </w:tc>
        <w:tc>
          <w:tcPr>
            <w:tcW w:w="4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Shawn K. Singh, J.D.</w:t>
            </w:r>
          </w:p>
        </w:tc>
        <w:tc>
          <w:tcPr>
            <w:tcW w:w="140" w:type="dxa"/>
            <w:vAlign w:val="bottom"/>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51</w:t>
            </w:r>
          </w:p>
        </w:tc>
        <w:tc>
          <w:tcPr>
            <w:tcW w:w="140" w:type="dxa"/>
            <w:vAlign w:val="bottom"/>
            <w:shd w:val="clear" w:color="auto" w:fill="CCEEFF"/>
          </w:tcPr>
          <w:p>
            <w:pPr>
              <w:spacing w:after="0"/>
              <w:rPr>
                <w:sz w:val="12"/>
                <w:szCs w:val="12"/>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Chief Executive Officer and Director</w:t>
            </w:r>
          </w:p>
        </w:tc>
      </w:tr>
      <w:tr>
        <w:trPr>
          <w:trHeight w:val="144"/>
        </w:trPr>
        <w:tc>
          <w:tcPr>
            <w:tcW w:w="20" w:type="dxa"/>
            <w:vAlign w:val="bottom"/>
          </w:tcPr>
          <w:p>
            <w:pPr>
              <w:spacing w:after="0"/>
              <w:rPr>
                <w:sz w:val="12"/>
                <w:szCs w:val="12"/>
                <w:color w:val="auto"/>
              </w:rPr>
            </w:pPr>
          </w:p>
        </w:tc>
        <w:tc>
          <w:tcPr>
            <w:tcW w:w="4500" w:type="dxa"/>
            <w:vAlign w:val="bottom"/>
            <w:gridSpan w:val="2"/>
          </w:tcPr>
          <w:p>
            <w:pPr>
              <w:spacing w:after="0"/>
              <w:rPr>
                <w:sz w:val="20"/>
                <w:szCs w:val="20"/>
                <w:color w:val="auto"/>
              </w:rPr>
            </w:pPr>
            <w:r>
              <w:rPr>
                <w:rFonts w:ascii="Arial" w:cs="Arial" w:eastAsia="Arial" w:hAnsi="Arial"/>
                <w:sz w:val="12"/>
                <w:szCs w:val="12"/>
                <w:color w:val="auto"/>
              </w:rPr>
              <w:t>H. Ralph Snodgrass, Ph.D.</w:t>
            </w:r>
          </w:p>
        </w:tc>
        <w:tc>
          <w:tcPr>
            <w:tcW w:w="1200" w:type="dxa"/>
            <w:vAlign w:val="bottom"/>
            <w:gridSpan w:val="2"/>
          </w:tcPr>
          <w:p>
            <w:pPr>
              <w:jc w:val="center"/>
              <w:ind w:left="100"/>
              <w:spacing w:after="0"/>
              <w:rPr>
                <w:sz w:val="20"/>
                <w:szCs w:val="20"/>
                <w:color w:val="auto"/>
              </w:rPr>
            </w:pPr>
            <w:r>
              <w:rPr>
                <w:rFonts w:ascii="Arial" w:cs="Arial" w:eastAsia="Arial" w:hAnsi="Arial"/>
                <w:sz w:val="12"/>
                <w:szCs w:val="12"/>
                <w:color w:val="auto"/>
                <w:w w:val="89"/>
              </w:rPr>
              <w:t>64</w:t>
            </w:r>
          </w:p>
        </w:tc>
        <w:tc>
          <w:tcPr>
            <w:tcW w:w="5760" w:type="dxa"/>
            <w:vAlign w:val="bottom"/>
            <w:gridSpan w:val="2"/>
          </w:tcPr>
          <w:p>
            <w:pPr>
              <w:ind w:left="140"/>
              <w:spacing w:after="0"/>
              <w:rPr>
                <w:sz w:val="20"/>
                <w:szCs w:val="20"/>
                <w:color w:val="auto"/>
              </w:rPr>
            </w:pPr>
            <w:r>
              <w:rPr>
                <w:rFonts w:ascii="Arial" w:cs="Arial" w:eastAsia="Arial" w:hAnsi="Arial"/>
                <w:sz w:val="12"/>
                <w:szCs w:val="12"/>
                <w:color w:val="auto"/>
              </w:rPr>
              <w:t>Founder, President, Chief Scientific Officer and Director</w:t>
            </w:r>
          </w:p>
        </w:tc>
      </w:tr>
      <w:tr>
        <w:trPr>
          <w:trHeight w:val="144"/>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Jerrold D. Dotson</w:t>
            </w:r>
          </w:p>
        </w:tc>
        <w:tc>
          <w:tcPr>
            <w:tcW w:w="1200" w:type="dxa"/>
            <w:vAlign w:val="bottom"/>
            <w:gridSpan w:val="2"/>
            <w:shd w:val="clear" w:color="auto" w:fill="CCEEFF"/>
          </w:tcPr>
          <w:p>
            <w:pPr>
              <w:jc w:val="center"/>
              <w:ind w:left="100"/>
              <w:spacing w:after="0"/>
              <w:rPr>
                <w:sz w:val="20"/>
                <w:szCs w:val="20"/>
                <w:color w:val="auto"/>
              </w:rPr>
            </w:pPr>
            <w:r>
              <w:rPr>
                <w:rFonts w:ascii="Arial" w:cs="Arial" w:eastAsia="Arial" w:hAnsi="Arial"/>
                <w:sz w:val="12"/>
                <w:szCs w:val="12"/>
                <w:color w:val="auto"/>
                <w:w w:val="89"/>
              </w:rPr>
              <w:t>60</w:t>
            </w:r>
          </w:p>
        </w:tc>
        <w:tc>
          <w:tcPr>
            <w:tcW w:w="576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Vice President, Chief Financial Officer and Secretary</w:t>
            </w:r>
          </w:p>
        </w:tc>
      </w:tr>
      <w:tr>
        <w:trPr>
          <w:trHeight w:val="144"/>
        </w:trPr>
        <w:tc>
          <w:tcPr>
            <w:tcW w:w="20" w:type="dxa"/>
            <w:vAlign w:val="bottom"/>
          </w:tcPr>
          <w:p>
            <w:pPr>
              <w:spacing w:after="0"/>
              <w:rPr>
                <w:sz w:val="12"/>
                <w:szCs w:val="12"/>
                <w:color w:val="auto"/>
              </w:rPr>
            </w:pPr>
          </w:p>
        </w:tc>
        <w:tc>
          <w:tcPr>
            <w:tcW w:w="4500" w:type="dxa"/>
            <w:vAlign w:val="bottom"/>
            <w:gridSpan w:val="2"/>
          </w:tcPr>
          <w:p>
            <w:pPr>
              <w:spacing w:after="0" w:line="144" w:lineRule="exact"/>
              <w:rPr>
                <w:sz w:val="20"/>
                <w:szCs w:val="20"/>
                <w:color w:val="auto"/>
              </w:rPr>
            </w:pPr>
            <w:r>
              <w:rPr>
                <w:rFonts w:ascii="Arial" w:cs="Arial" w:eastAsia="Arial" w:hAnsi="Arial"/>
                <w:sz w:val="12"/>
                <w:szCs w:val="12"/>
                <w:color w:val="auto"/>
              </w:rPr>
              <w:t xml:space="preserve">Jon S. Saxe </w:t>
            </w:r>
            <w:r>
              <w:rPr>
                <w:rFonts w:ascii="Arial" w:cs="Arial" w:eastAsia="Arial" w:hAnsi="Arial"/>
                <w:sz w:val="16"/>
                <w:szCs w:val="16"/>
                <w:color w:val="auto"/>
                <w:vertAlign w:val="superscript"/>
              </w:rPr>
              <w:t>(1)</w:t>
            </w:r>
          </w:p>
        </w:tc>
        <w:tc>
          <w:tcPr>
            <w:tcW w:w="1200" w:type="dxa"/>
            <w:vAlign w:val="bottom"/>
            <w:gridSpan w:val="2"/>
          </w:tcPr>
          <w:p>
            <w:pPr>
              <w:jc w:val="center"/>
              <w:ind w:left="100"/>
              <w:spacing w:after="0"/>
              <w:rPr>
                <w:sz w:val="20"/>
                <w:szCs w:val="20"/>
                <w:color w:val="auto"/>
              </w:rPr>
            </w:pPr>
            <w:r>
              <w:rPr>
                <w:rFonts w:ascii="Arial" w:cs="Arial" w:eastAsia="Arial" w:hAnsi="Arial"/>
                <w:sz w:val="12"/>
                <w:szCs w:val="12"/>
                <w:color w:val="auto"/>
                <w:w w:val="89"/>
              </w:rPr>
              <w:t>77</w:t>
            </w:r>
          </w:p>
        </w:tc>
        <w:tc>
          <w:tcPr>
            <w:tcW w:w="5760" w:type="dxa"/>
            <w:vAlign w:val="bottom"/>
            <w:gridSpan w:val="2"/>
          </w:tcPr>
          <w:p>
            <w:pPr>
              <w:ind w:left="140"/>
              <w:spacing w:after="0"/>
              <w:rPr>
                <w:sz w:val="20"/>
                <w:szCs w:val="20"/>
                <w:color w:val="auto"/>
              </w:rPr>
            </w:pPr>
            <w:r>
              <w:rPr>
                <w:rFonts w:ascii="Arial" w:cs="Arial" w:eastAsia="Arial" w:hAnsi="Arial"/>
                <w:sz w:val="12"/>
                <w:szCs w:val="12"/>
                <w:color w:val="auto"/>
              </w:rPr>
              <w:t>Director</w:t>
            </w:r>
          </w:p>
        </w:tc>
      </w:tr>
      <w:tr>
        <w:trPr>
          <w:trHeight w:val="144"/>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 xml:space="preserve">Brian J. Underdown, PhD. </w:t>
            </w:r>
            <w:r>
              <w:rPr>
                <w:rFonts w:ascii="Arial" w:cs="Arial" w:eastAsia="Arial" w:hAnsi="Arial"/>
                <w:sz w:val="16"/>
                <w:szCs w:val="16"/>
                <w:color w:val="auto"/>
                <w:vertAlign w:val="superscript"/>
              </w:rPr>
              <w:t>(2)</w:t>
            </w:r>
          </w:p>
        </w:tc>
        <w:tc>
          <w:tcPr>
            <w:tcW w:w="1200" w:type="dxa"/>
            <w:vAlign w:val="bottom"/>
            <w:gridSpan w:val="2"/>
            <w:shd w:val="clear" w:color="auto" w:fill="CCEEFF"/>
          </w:tcPr>
          <w:p>
            <w:pPr>
              <w:jc w:val="center"/>
              <w:ind w:left="100"/>
              <w:spacing w:after="0"/>
              <w:rPr>
                <w:sz w:val="20"/>
                <w:szCs w:val="20"/>
                <w:color w:val="auto"/>
              </w:rPr>
            </w:pPr>
            <w:r>
              <w:rPr>
                <w:rFonts w:ascii="Arial" w:cs="Arial" w:eastAsia="Arial" w:hAnsi="Arial"/>
                <w:sz w:val="12"/>
                <w:szCs w:val="12"/>
                <w:color w:val="auto"/>
                <w:w w:val="89"/>
              </w:rPr>
              <w:t>73</w:t>
            </w:r>
          </w:p>
        </w:tc>
        <w:tc>
          <w:tcPr>
            <w:tcW w:w="576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Director</w:t>
            </w:r>
          </w:p>
        </w:tc>
      </w:tr>
    </w:tbl>
    <w:p>
      <w:pPr>
        <w:spacing w:after="0" w:line="111" w:lineRule="exact"/>
        <w:rPr>
          <w:sz w:val="20"/>
          <w:szCs w:val="20"/>
          <w:color w:val="auto"/>
        </w:rPr>
      </w:pPr>
    </w:p>
    <w:p>
      <w:pPr>
        <w:ind w:left="428" w:hanging="428"/>
        <w:spacing w:after="0"/>
        <w:tabs>
          <w:tab w:leader="none" w:pos="428" w:val="left"/>
        </w:tabs>
        <w:numPr>
          <w:ilvl w:val="0"/>
          <w:numId w:val="43"/>
        </w:numPr>
        <w:rPr>
          <w:rFonts w:ascii="Arial" w:cs="Arial" w:eastAsia="Arial" w:hAnsi="Arial"/>
          <w:sz w:val="17"/>
          <w:szCs w:val="17"/>
          <w:color w:val="auto"/>
          <w:vertAlign w:val="superscript"/>
        </w:rPr>
      </w:pPr>
      <w:r>
        <w:rPr>
          <w:rFonts w:ascii="Arial" w:cs="Arial" w:eastAsia="Arial" w:hAnsi="Arial"/>
          <w:sz w:val="12"/>
          <w:szCs w:val="12"/>
          <w:color w:val="auto"/>
        </w:rPr>
        <w:t>Chairman of the audit committee and member of the compensation committee and corporate governance and nominating committee</w:t>
      </w:r>
    </w:p>
    <w:p>
      <w:pPr>
        <w:spacing w:after="0" w:line="1" w:lineRule="exact"/>
        <w:rPr>
          <w:rFonts w:ascii="Arial" w:cs="Arial" w:eastAsia="Arial" w:hAnsi="Arial"/>
          <w:sz w:val="17"/>
          <w:szCs w:val="17"/>
          <w:color w:val="auto"/>
          <w:vertAlign w:val="superscript"/>
        </w:rPr>
      </w:pPr>
    </w:p>
    <w:p>
      <w:pPr>
        <w:ind w:left="428" w:hanging="428"/>
        <w:spacing w:after="0" w:line="186" w:lineRule="auto"/>
        <w:tabs>
          <w:tab w:leader="none" w:pos="428" w:val="left"/>
        </w:tabs>
        <w:numPr>
          <w:ilvl w:val="0"/>
          <w:numId w:val="43"/>
        </w:numPr>
        <w:rPr>
          <w:rFonts w:ascii="Arial" w:cs="Arial" w:eastAsia="Arial" w:hAnsi="Arial"/>
          <w:sz w:val="16"/>
          <w:szCs w:val="16"/>
          <w:color w:val="auto"/>
          <w:vertAlign w:val="superscript"/>
        </w:rPr>
      </w:pPr>
      <w:r>
        <w:rPr>
          <w:rFonts w:ascii="Arial" w:cs="Arial" w:eastAsia="Arial" w:hAnsi="Arial"/>
          <w:sz w:val="11"/>
          <w:szCs w:val="11"/>
          <w:color w:val="auto"/>
        </w:rPr>
        <w:t>Member of the audit committee and chairman of the compensation committee and corporate governance and nominating committee</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Executive Officers</w:t>
      </w:r>
    </w:p>
    <w:p>
      <w:pPr>
        <w:spacing w:after="0" w:line="172" w:lineRule="exact"/>
        <w:rPr>
          <w:sz w:val="20"/>
          <w:szCs w:val="20"/>
          <w:color w:val="auto"/>
        </w:rPr>
      </w:pPr>
    </w:p>
    <w:p>
      <w:pPr>
        <w:jc w:val="both"/>
        <w:ind w:left="8"/>
        <w:spacing w:after="0" w:line="279" w:lineRule="auto"/>
        <w:rPr>
          <w:sz w:val="20"/>
          <w:szCs w:val="20"/>
          <w:color w:val="auto"/>
        </w:rPr>
      </w:pPr>
      <w:r>
        <w:rPr>
          <w:rFonts w:ascii="Arial" w:cs="Arial" w:eastAsia="Arial" w:hAnsi="Arial"/>
          <w:sz w:val="11"/>
          <w:szCs w:val="11"/>
          <w:b w:val="1"/>
          <w:bCs w:val="1"/>
          <w:i w:val="1"/>
          <w:iCs w:val="1"/>
          <w:color w:val="auto"/>
        </w:rPr>
        <w:t xml:space="preserve">Shawn K. Singh, J.D. </w:t>
      </w:r>
      <w:r>
        <w:rPr>
          <w:rFonts w:ascii="Arial" w:cs="Arial" w:eastAsia="Arial" w:hAnsi="Arial"/>
          <w:sz w:val="11"/>
          <w:szCs w:val="11"/>
          <w:color w:val="auto"/>
        </w:rPr>
        <w:t>has served as our Chief Executive Officer since August 2009; he joined our Board of Directors in 2000 and served on our management team (part-time) from late-2003, following our acquisition of Artemis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Neuroscience, of which he was President, to August 2009. Mr. Singh has over 20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(CRO) affiliated with Cato BioVentures. Mr. Singh served as President (part-time) of Echo Therapeutics (NASDAQ: ECTE), a medical device company,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US-based, China-focused specialty pharmaceutical company with a substantial revenue-generating and profitable commercial business and a marketed product portfolio of differentiated therapies for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J.D. degree from the University of Maryland School of Law. Mr. Singh is a member of the State Bar of California.</w:t>
      </w:r>
    </w:p>
    <w:p>
      <w:pPr>
        <w:spacing w:after="0" w:line="115"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15" w:right="199" w:bottom="1440" w:gutter="0" w:footer="0" w:header="0"/>
        </w:sectPr>
      </w:pPr>
    </w:p>
    <w:bookmarkStart w:id="91" w:name="page92"/>
    <w:bookmarkEnd w:id="91"/>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2"/>
          <w:szCs w:val="12"/>
          <w:b w:val="1"/>
          <w:bCs w:val="1"/>
          <w:i w:val="1"/>
          <w:iCs w:val="1"/>
          <w:color w:val="auto"/>
        </w:rPr>
        <w:t xml:space="preserve">H. Ralph Snodgrass, Ph.D. </w:t>
      </w:r>
      <w:r>
        <w:rPr>
          <w:rFonts w:ascii="Arial" w:cs="Arial" w:eastAsia="Arial" w:hAnsi="Arial"/>
          <w:sz w:val="12"/>
          <w:szCs w:val="12"/>
          <w:color w:val="auto"/>
        </w:rPr>
        <w:t>co-founded VistaGen with Dr. Gordon Keller in 1998 and served as our Chief Executive Officer until August 2009. Dr. Snodgrass has served as our President and Chief Scientific Officer since August 2009. 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has served as a member of our Board of Directors since 1998. Prior to founding VistaGen, Dr. Snodgrass served as a key member of the executive management team which lead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20 years of experience in senior biotechnology management and over 10 years research experience as a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2"/>
          <w:szCs w:val="12"/>
          <w:i w:val="1"/>
          <w:iCs w:val="1"/>
          <w:color w:val="auto"/>
        </w:rPr>
        <w:t>BIO</w:t>
      </w:r>
      <w:r>
        <w:rPr>
          <w:rFonts w:ascii="Arial" w:cs="Arial" w:eastAsia="Arial" w:hAnsi="Arial"/>
          <w:sz w:val="12"/>
          <w:szCs w:val="12"/>
          <w:color w:val="auto"/>
        </w:rPr>
        <w:t>),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28 years’ experience in the uses of stem cells as biological tools for research, drug discovery and development.</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Jerrold D. Dotson, CPA </w:t>
      </w:r>
      <w:r>
        <w:rPr>
          <w:rFonts w:ascii="Arial" w:cs="Arial" w:eastAsia="Arial" w:hAnsi="Arial"/>
          <w:sz w:val="12"/>
          <w:szCs w:val="12"/>
          <w:color w:val="auto"/>
        </w:rPr>
        <w:t>has served as our Chief Financial Officer since September 2011, as our Corporate Secretary since October 2013 and as a Vice President since February 2014. Mr. Dotson served as Corporate Controller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Jon S. Saxe, J.D. </w:t>
      </w:r>
      <w:r>
        <w:rPr>
          <w:rFonts w:ascii="Arial" w:cs="Arial" w:eastAsia="Arial" w:hAnsi="Arial"/>
          <w:sz w:val="12"/>
          <w:szCs w:val="12"/>
          <w:color w:val="auto"/>
        </w:rPr>
        <w:t>has served as Chairman of our Board of Directors since 2000. He also serves as the Chairman of our Audit Committee. Mr. Saxe is the retired President and was a director of PDL BioPharma from 1989 to 2008.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six private life science companies, including Arbor Vita Corporation and Arcuo Medical, LLC.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2" w:name="page93"/>
    <w:bookmarkEnd w:id="92"/>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selected Mr. Saxe to serve as Chairman of our Board of Directors due to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Brian J. Underdown, Ph.D. </w:t>
      </w:r>
      <w:r>
        <w:rPr>
          <w:rFonts w:ascii="Arial" w:cs="Arial" w:eastAsia="Arial" w:hAnsi="Arial"/>
          <w:sz w:val="12"/>
          <w:szCs w:val="12"/>
          <w:color w:val="auto"/>
        </w:rPr>
        <w:t>has served as a member of our Board of Directors since November 2009. Dr. Underdown has served as Managing Director of Lumira Capital Corp. since September 1997, having started in the venture capital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industry in 1997 with MDS Capital Corporation (MDSCC). His investment focus has been on therapeutics in both new and established companies in both Canada and the United States. Prior to joining MDSCC, Dr. Underdown held a number of senior management positions in the biopharmaceutical industry and at universities. Dr. Underdown’s past and current board positions include: ID Biomedical, Trillium Therapeutics, Cytochroma Inc., Argos Therapeutics, Nysa Membrane Technologies, Ception Therapeutics and Transmolecular Therapeutics. He has served on a number of Boards and advisory bodies of government sponsored research organizations including CANVAC, the Canadian National Centre of Excellence in Vaccines, Ontario Genomics Institute, Allergen, the Canadian National Centre of Excellence in Allergy and Asthma. Dr. Underdown obtained his Ph.D. in immunology from McGill University and undertook post-doctoral studies at Washington University School of Medicine.</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Election of Executive Officers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Composition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Our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four members. Accordingly, there are currently three vacancies on our board of directors. Our board of directors anticipates filling each of such vacancies as soon as practicable following the completion of this Offering. All actions of the board of directors require the approval of a majority of the directors in attendance at a meeting at which a quorum is present.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Independence</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securities are not currently listed on a national securities exchange or on any inter-dealer quotation system that has a requirement that directors be independent, or that a majority of our directors be independent. However, we evaluate independence by the standards for director independence established by applicable laws, rules, and listing standards, including, without limitation, the standards for independent directors established by the SEC, the New York Stock Exchange, Inc. and the NASDAQ Stock Market.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3" w:name="page94"/>
    <w:bookmarkEnd w:id="93"/>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and Dr. Underdown are “independent” as that term is defined under the applicable rules and regulations of the SEC. Our board of directors has also determined that Mr. Saxe and Dr. Underdown, who comprise our audit committee, compensation committee, corporate governance and nominating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Committees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and Dr. Underdown, are each members of the audit committee. Mr. Saxe and Dr. Underdown also currently serve as members of the compensation committee and the corporate governance and nominating committee.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Audit Committee</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Our audit committee is comprised of Mr. Saxe and Dr. Underdown.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141" w:lineRule="exact"/>
        <w:rPr>
          <w:sz w:val="20"/>
          <w:szCs w:val="20"/>
          <w:color w:val="auto"/>
        </w:rPr>
      </w:pPr>
    </w:p>
    <w:p>
      <w:pPr>
        <w:ind w:left="420" w:hanging="248"/>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overseeing our accounting and financial reporting process;</w:t>
      </w:r>
    </w:p>
    <w:p>
      <w:pPr>
        <w:spacing w:after="0" w:line="150" w:lineRule="exact"/>
        <w:rPr>
          <w:rFonts w:ascii="Arial" w:cs="Arial" w:eastAsia="Arial" w:hAnsi="Arial"/>
          <w:sz w:val="12"/>
          <w:szCs w:val="12"/>
          <w:color w:val="auto"/>
        </w:rPr>
      </w:pPr>
    </w:p>
    <w:p>
      <w:pPr>
        <w:ind w:left="420" w:hanging="248"/>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selecting, retaining and replacing our independent auditors and evaluating their qualifications, independence and performance;</w:t>
      </w:r>
    </w:p>
    <w:p>
      <w:pPr>
        <w:spacing w:after="0" w:line="150" w:lineRule="exact"/>
        <w:rPr>
          <w:rFonts w:ascii="Arial" w:cs="Arial" w:eastAsia="Arial" w:hAnsi="Arial"/>
          <w:sz w:val="12"/>
          <w:szCs w:val="12"/>
          <w:color w:val="auto"/>
        </w:rPr>
      </w:pPr>
    </w:p>
    <w:p>
      <w:pPr>
        <w:ind w:left="420" w:hanging="248"/>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reviewing and approving scope of the annual audit and audit fees;</w:t>
      </w:r>
    </w:p>
    <w:p>
      <w:pPr>
        <w:spacing w:after="0" w:line="150" w:lineRule="exact"/>
        <w:rPr>
          <w:rFonts w:ascii="Arial" w:cs="Arial" w:eastAsia="Arial" w:hAnsi="Arial"/>
          <w:sz w:val="12"/>
          <w:szCs w:val="12"/>
          <w:color w:val="auto"/>
        </w:rPr>
      </w:pPr>
    </w:p>
    <w:p>
      <w:pPr>
        <w:ind w:left="420" w:hanging="248"/>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monitoring rotation of partners of independent auditors on engagement team as required by law;</w:t>
      </w:r>
    </w:p>
    <w:p>
      <w:pPr>
        <w:spacing w:after="0" w:line="150" w:lineRule="exact"/>
        <w:rPr>
          <w:rFonts w:ascii="Arial" w:cs="Arial" w:eastAsia="Arial" w:hAnsi="Arial"/>
          <w:sz w:val="12"/>
          <w:szCs w:val="12"/>
          <w:color w:val="auto"/>
        </w:rPr>
      </w:pPr>
    </w:p>
    <w:p>
      <w:pPr>
        <w:ind w:left="420" w:hanging="248"/>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discussing with management and independent auditors the results of annual audit and review of quarterly financial statements;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4" w:name="page95"/>
    <w:bookmarkEnd w:id="94"/>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ind w:left="420" w:hanging="248"/>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reviewing adequacy and effectiveness of internal control policies and procedures;</w:t>
      </w:r>
    </w:p>
    <w:p>
      <w:pPr>
        <w:spacing w:after="0" w:line="150" w:lineRule="exact"/>
        <w:rPr>
          <w:rFonts w:ascii="Arial" w:cs="Arial" w:eastAsia="Arial" w:hAnsi="Arial"/>
          <w:sz w:val="12"/>
          <w:szCs w:val="12"/>
          <w:color w:val="auto"/>
        </w:rPr>
      </w:pPr>
    </w:p>
    <w:p>
      <w:pPr>
        <w:ind w:left="420" w:hanging="248"/>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approving retention of independent auditors to perform any proposed permissible non-audit services;</w:t>
      </w:r>
    </w:p>
    <w:p>
      <w:pPr>
        <w:spacing w:after="0" w:line="150" w:lineRule="exact"/>
        <w:rPr>
          <w:rFonts w:ascii="Arial" w:cs="Arial" w:eastAsia="Arial" w:hAnsi="Arial"/>
          <w:sz w:val="12"/>
          <w:szCs w:val="12"/>
          <w:color w:val="auto"/>
        </w:rPr>
      </w:pPr>
    </w:p>
    <w:p>
      <w:pPr>
        <w:ind w:left="420" w:hanging="248"/>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overseeing internal audit functions and annually reviewing audit committee charter and committee performance; and</w:t>
      </w:r>
    </w:p>
    <w:p>
      <w:pPr>
        <w:spacing w:after="0" w:line="150" w:lineRule="exact"/>
        <w:rPr>
          <w:rFonts w:ascii="Arial" w:cs="Arial" w:eastAsia="Arial" w:hAnsi="Arial"/>
          <w:sz w:val="12"/>
          <w:szCs w:val="12"/>
          <w:color w:val="auto"/>
        </w:rPr>
      </w:pPr>
    </w:p>
    <w:p>
      <w:pPr>
        <w:ind w:left="420" w:hanging="248"/>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preparing the audit committee report that the SEC requires in our annual proxy statement.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Compensation Committee</w:t>
      </w:r>
    </w:p>
    <w:p>
      <w:pPr>
        <w:spacing w:after="0" w:line="1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Our compensation committee is comprised of Mr. Saxe and Dr. Underdown, who serves as the committee chairman. Our compensation committee charter is available on our website. Under its charter, the compensation committee is primarily responsible for, among other things,</w:t>
      </w:r>
    </w:p>
    <w:p>
      <w:pPr>
        <w:spacing w:after="0" w:line="115" w:lineRule="exact"/>
        <w:rPr>
          <w:sz w:val="20"/>
          <w:szCs w:val="20"/>
          <w:color w:val="auto"/>
        </w:rPr>
      </w:pPr>
    </w:p>
    <w:p>
      <w:pPr>
        <w:ind w:left="720" w:hanging="399"/>
        <w:spacing w:after="0" w:line="380" w:lineRule="auto"/>
        <w:tabs>
          <w:tab w:leader="none" w:pos="720" w:val="left"/>
        </w:tabs>
        <w:numPr>
          <w:ilvl w:val="1"/>
          <w:numId w:val="46"/>
        </w:numPr>
        <w:rPr>
          <w:rFonts w:ascii="Arial" w:cs="Arial" w:eastAsia="Arial" w:hAnsi="Arial"/>
          <w:sz w:val="10"/>
          <w:szCs w:val="10"/>
          <w:color w:val="auto"/>
        </w:rPr>
      </w:pPr>
      <w:r>
        <w:rPr>
          <w:rFonts w:ascii="Arial" w:cs="Arial" w:eastAsia="Arial" w:hAnsi="Arial"/>
          <w:sz w:val="10"/>
          <w:szCs w:val="10"/>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68" w:lineRule="exact"/>
        <w:rPr>
          <w:rFonts w:ascii="Arial" w:cs="Arial" w:eastAsia="Arial" w:hAnsi="Arial"/>
          <w:sz w:val="10"/>
          <w:szCs w:val="10"/>
          <w:color w:val="auto"/>
        </w:rPr>
      </w:pPr>
    </w:p>
    <w:p>
      <w:pPr>
        <w:ind w:left="420" w:hanging="248"/>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Determining the objectives of our executive officer compensation programs;</w:t>
      </w:r>
    </w:p>
    <w:p>
      <w:pPr>
        <w:spacing w:after="0" w:line="150" w:lineRule="exact"/>
        <w:rPr>
          <w:rFonts w:ascii="Arial" w:cs="Arial" w:eastAsia="Arial" w:hAnsi="Arial"/>
          <w:sz w:val="12"/>
          <w:szCs w:val="12"/>
          <w:color w:val="auto"/>
        </w:rPr>
      </w:pPr>
    </w:p>
    <w:p>
      <w:pPr>
        <w:ind w:left="420" w:hanging="248"/>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Ensuring corporate performance measures and goals regarding executive officer compensation are set and determining the extent to which they are achieved and any related compensation earned;</w:t>
      </w:r>
    </w:p>
    <w:p>
      <w:pPr>
        <w:spacing w:after="0" w:line="150" w:lineRule="exact"/>
        <w:rPr>
          <w:rFonts w:ascii="Arial" w:cs="Arial" w:eastAsia="Arial" w:hAnsi="Arial"/>
          <w:sz w:val="12"/>
          <w:szCs w:val="12"/>
          <w:color w:val="auto"/>
        </w:rPr>
      </w:pPr>
    </w:p>
    <w:p>
      <w:pPr>
        <w:ind w:left="420" w:hanging="248"/>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Establishing goals and objectives relevant to CEO compensation, evaluating CEO performance in light of such goals and objectives, and determining CEO compensation based on the evaluation;</w:t>
      </w:r>
    </w:p>
    <w:p>
      <w:pPr>
        <w:spacing w:after="0" w:line="150" w:lineRule="exact"/>
        <w:rPr>
          <w:rFonts w:ascii="Arial" w:cs="Arial" w:eastAsia="Arial" w:hAnsi="Arial"/>
          <w:sz w:val="12"/>
          <w:szCs w:val="12"/>
          <w:color w:val="auto"/>
        </w:rPr>
      </w:pPr>
    </w:p>
    <w:p>
      <w:pPr>
        <w:ind w:left="420" w:hanging="248"/>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Endeavoring to ensure that our executive compensation programs are effective in attracting and retaining key employees and reinforcing business strategies and objectives for enhancing stockholder value;</w:t>
      </w:r>
    </w:p>
    <w:p>
      <w:pPr>
        <w:spacing w:after="0" w:line="150" w:lineRule="exact"/>
        <w:rPr>
          <w:rFonts w:ascii="Arial" w:cs="Arial" w:eastAsia="Arial" w:hAnsi="Arial"/>
          <w:sz w:val="12"/>
          <w:szCs w:val="12"/>
          <w:color w:val="auto"/>
        </w:rPr>
      </w:pPr>
    </w:p>
    <w:p>
      <w:pPr>
        <w:ind w:left="420" w:hanging="248"/>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Monitoring the administration of incentive-compensation plans and equity-based incentive plans as in effect and as adopted from time to time by the board;</w:t>
      </w:r>
    </w:p>
    <w:p>
      <w:pPr>
        <w:spacing w:after="0" w:line="150" w:lineRule="exact"/>
        <w:rPr>
          <w:rFonts w:ascii="Arial" w:cs="Arial" w:eastAsia="Arial" w:hAnsi="Arial"/>
          <w:sz w:val="12"/>
          <w:szCs w:val="12"/>
          <w:color w:val="auto"/>
        </w:rPr>
      </w:pPr>
    </w:p>
    <w:p>
      <w:pPr>
        <w:ind w:left="420" w:hanging="248"/>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Reviewing and approving any new equity compensation plan or any material change to an existing plan; and</w:t>
      </w:r>
    </w:p>
    <w:p>
      <w:pPr>
        <w:spacing w:after="0" w:line="150" w:lineRule="exact"/>
        <w:rPr>
          <w:rFonts w:ascii="Arial" w:cs="Arial" w:eastAsia="Arial" w:hAnsi="Arial"/>
          <w:sz w:val="12"/>
          <w:szCs w:val="12"/>
          <w:color w:val="auto"/>
        </w:rPr>
      </w:pPr>
    </w:p>
    <w:p>
      <w:pPr>
        <w:ind w:left="420" w:hanging="248"/>
        <w:spacing w:after="0" w:line="276" w:lineRule="auto"/>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Corporate Governance and Nominating Committee</w:t>
      </w:r>
    </w:p>
    <w:p>
      <w:pPr>
        <w:spacing w:after="0" w:line="1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115" w:lineRule="exact"/>
        <w:rPr>
          <w:sz w:val="20"/>
          <w:szCs w:val="20"/>
          <w:color w:val="auto"/>
        </w:rPr>
      </w:pPr>
    </w:p>
    <w:p>
      <w:pPr>
        <w:ind w:left="420" w:hanging="248"/>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Monitoring the size and composition of the board;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5" w:name="page96"/>
    <w:bookmarkEnd w:id="95"/>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ind w:left="420" w:hanging="248"/>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Making recommendations to the board with respect to the nominations or elections of our directors;</w:t>
      </w:r>
    </w:p>
    <w:p>
      <w:pPr>
        <w:spacing w:after="0" w:line="150" w:lineRule="exact"/>
        <w:rPr>
          <w:rFonts w:ascii="Arial" w:cs="Arial" w:eastAsia="Arial" w:hAnsi="Arial"/>
          <w:sz w:val="12"/>
          <w:szCs w:val="12"/>
          <w:color w:val="auto"/>
        </w:rPr>
      </w:pPr>
    </w:p>
    <w:p>
      <w:pPr>
        <w:ind w:left="420" w:hanging="248"/>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Reviewing the adequacy of our corporate governance policies and procedures and our Code of Business Conduct and Ethics, and recommending any proposed changes to the board for approval; and</w:t>
      </w:r>
    </w:p>
    <w:p>
      <w:pPr>
        <w:spacing w:after="0" w:line="150" w:lineRule="exact"/>
        <w:rPr>
          <w:rFonts w:ascii="Arial" w:cs="Arial" w:eastAsia="Arial" w:hAnsi="Arial"/>
          <w:sz w:val="12"/>
          <w:szCs w:val="12"/>
          <w:color w:val="auto"/>
        </w:rPr>
      </w:pPr>
    </w:p>
    <w:p>
      <w:pPr>
        <w:ind w:left="420" w:right="20" w:hanging="248"/>
        <w:spacing w:after="0" w:line="276" w:lineRule="auto"/>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 of Business Conduct and Ethics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We have adopted a Code of Business Conduct and Ethics applicable to our employees, officers and directors. Our Code of Business Conduct and Ethics is available on our website. We intend to disclose any future amendments to certain provisions of our Code of Business Conduct and Ethics, or waivers of these provisions, on our website at www.vistagen.com or in filings with the SEC under the Exchange Act.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EXECUTIVE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Summary Compensation Table for Fiscal Years 2014 and 2013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This section provides compensation information about the following individuals:</w:t>
      </w:r>
    </w:p>
    <w:p>
      <w:pPr>
        <w:spacing w:after="0" w:line="168" w:lineRule="exact"/>
        <w:rPr>
          <w:sz w:val="20"/>
          <w:szCs w:val="20"/>
          <w:color w:val="auto"/>
        </w:rPr>
      </w:pPr>
    </w:p>
    <w:p>
      <w:pPr>
        <w:ind w:left="420" w:hanging="248"/>
        <w:spacing w:after="0"/>
        <w:tabs>
          <w:tab w:leader="none" w:pos="4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Shawn K. Singh, J.D., our Chief Executive Officer (CEO) and director;</w:t>
      </w:r>
    </w:p>
    <w:p>
      <w:pPr>
        <w:spacing w:after="0" w:line="14" w:lineRule="exact"/>
        <w:rPr>
          <w:rFonts w:ascii="Arial" w:cs="Arial" w:eastAsia="Arial" w:hAnsi="Arial"/>
          <w:sz w:val="12"/>
          <w:szCs w:val="12"/>
          <w:color w:val="auto"/>
        </w:rPr>
      </w:pPr>
    </w:p>
    <w:p>
      <w:pPr>
        <w:ind w:left="420" w:hanging="248"/>
        <w:spacing w:after="0"/>
        <w:tabs>
          <w:tab w:leader="none" w:pos="4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H. Ralph Snodgrass, Ph.D., our President, Chief Scientific Officer (CSO) and director; and</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Jerrold D. Dotson, CPA, our Vice President, Chief Financial Officer (CFO) and Secretary</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In the discussion below, we refer to this group of executives as the named executive officers (</w:t>
      </w:r>
      <w:r>
        <w:rPr>
          <w:rFonts w:ascii="Arial" w:cs="Arial" w:eastAsia="Arial" w:hAnsi="Arial"/>
          <w:sz w:val="12"/>
          <w:szCs w:val="12"/>
          <w:i w:val="1"/>
          <w:iCs w:val="1"/>
          <w:color w:val="auto"/>
        </w:rPr>
        <w:t>NEOs</w:t>
      </w:r>
      <w:r>
        <w:rPr>
          <w:rFonts w:ascii="Arial" w:cs="Arial" w:eastAsia="Arial" w:hAnsi="Arial"/>
          <w:sz w:val="12"/>
          <w:szCs w:val="12"/>
          <w:color w:val="auto"/>
        </w:rPr>
        <w:t>). This group includes the executive officers for whom disclosure is required under the applicable rules of the SEC.</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shows information regarding the compensation of our named executive officers for services performed in the fiscal years ended March 31, 2014 and 2013: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Option and Warrant</w:t>
            </w:r>
          </w:p>
        </w:tc>
        <w:tc>
          <w:tcPr>
            <w:tcW w:w="15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6"/>
              </w:rPr>
              <w:t>All Other Compensation</w:t>
            </w: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00" w:type="dxa"/>
            <w:vAlign w:val="bottom"/>
            <w:gridSpan w:val="2"/>
          </w:tcPr>
          <w:p>
            <w:pPr>
              <w:spacing w:after="0"/>
              <w:rPr>
                <w:sz w:val="20"/>
                <w:szCs w:val="20"/>
                <w:color w:val="auto"/>
              </w:rPr>
            </w:pPr>
            <w:r>
              <w:rPr>
                <w:rFonts w:ascii="Arial" w:cs="Arial" w:eastAsia="Arial" w:hAnsi="Arial"/>
                <w:sz w:val="12"/>
                <w:szCs w:val="12"/>
                <w:b w:val="1"/>
                <w:bCs w:val="1"/>
                <w:color w:val="auto"/>
              </w:rPr>
              <w:t>Name and Principal Position</w:t>
            </w:r>
          </w:p>
        </w:tc>
        <w:tc>
          <w:tcPr>
            <w:tcW w:w="1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w w:val="88"/>
              </w:rPr>
              <w:t>Fiscal Year</w:t>
            </w:r>
          </w:p>
        </w:tc>
        <w:tc>
          <w:tcPr>
            <w:tcW w:w="100" w:type="dxa"/>
            <w:vAlign w:val="bottom"/>
          </w:tcPr>
          <w:p>
            <w:pPr>
              <w:spacing w:after="0"/>
              <w:rPr>
                <w:sz w:val="13"/>
                <w:szCs w:val="13"/>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Salary ($)</w:t>
            </w:r>
          </w:p>
        </w:tc>
        <w:tc>
          <w:tcPr>
            <w:tcW w:w="1400" w:type="dxa"/>
            <w:vAlign w:val="bottom"/>
          </w:tcPr>
          <w:p>
            <w:pPr>
              <w:jc w:val="right"/>
              <w:ind w:right="400"/>
              <w:spacing w:after="0"/>
              <w:rPr>
                <w:sz w:val="20"/>
                <w:szCs w:val="20"/>
                <w:color w:val="auto"/>
              </w:rPr>
            </w:pPr>
            <w:r>
              <w:rPr>
                <w:rFonts w:ascii="Arial" w:cs="Arial" w:eastAsia="Arial" w:hAnsi="Arial"/>
                <w:sz w:val="12"/>
                <w:szCs w:val="12"/>
                <w:b w:val="1"/>
                <w:bCs w:val="1"/>
                <w:color w:val="auto"/>
              </w:rPr>
              <w:t>Bonus ($)</w:t>
            </w:r>
          </w:p>
        </w:tc>
        <w:tc>
          <w:tcPr>
            <w:tcW w:w="240" w:type="dxa"/>
            <w:vAlign w:val="bottom"/>
          </w:tcPr>
          <w:p>
            <w:pPr>
              <w:spacing w:after="0"/>
              <w:rPr>
                <w:sz w:val="13"/>
                <w:szCs w:val="13"/>
                <w:color w:val="auto"/>
              </w:rPr>
            </w:pPr>
          </w:p>
        </w:tc>
        <w:tc>
          <w:tcPr>
            <w:tcW w:w="1740" w:type="dxa"/>
            <w:vAlign w:val="bottom"/>
            <w:gridSpan w:val="2"/>
          </w:tcPr>
          <w:p>
            <w:pPr>
              <w:jc w:val="right"/>
              <w:ind w:right="720"/>
              <w:spacing w:after="0" w:line="157" w:lineRule="exact"/>
              <w:rPr>
                <w:sz w:val="20"/>
                <w:szCs w:val="20"/>
                <w:color w:val="auto"/>
              </w:rPr>
            </w:pPr>
            <w:r>
              <w:rPr>
                <w:rFonts w:ascii="Arial" w:cs="Arial" w:eastAsia="Arial" w:hAnsi="Arial"/>
                <w:sz w:val="12"/>
                <w:szCs w:val="12"/>
                <w:b w:val="1"/>
                <w:bCs w:val="1"/>
                <w:color w:val="auto"/>
              </w:rPr>
              <w:t xml:space="preserve">Awards </w:t>
            </w:r>
            <w:r>
              <w:rPr>
                <w:rFonts w:ascii="Arial" w:cs="Arial" w:eastAsia="Arial" w:hAnsi="Arial"/>
                <w:sz w:val="16"/>
                <w:szCs w:val="16"/>
                <w:b w:val="1"/>
                <w:bCs w:val="1"/>
                <w:color w:val="auto"/>
                <w:vertAlign w:val="superscript"/>
              </w:rPr>
              <w:t>(7)</w:t>
            </w:r>
            <w:r>
              <w:rPr>
                <w:rFonts w:ascii="Arial" w:cs="Arial" w:eastAsia="Arial" w:hAnsi="Arial"/>
                <w:sz w:val="12"/>
                <w:szCs w:val="12"/>
                <w:b w:val="1"/>
                <w:bCs w:val="1"/>
                <w:color w:val="auto"/>
              </w:rPr>
              <w:t xml:space="preserve"> ($)</w:t>
            </w:r>
          </w:p>
        </w:tc>
        <w:tc>
          <w:tcPr>
            <w:tcW w:w="1400" w:type="dxa"/>
            <w:vAlign w:val="bottom"/>
          </w:tcPr>
          <w:p>
            <w:pPr>
              <w:jc w:val="right"/>
              <w:ind w:right="5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88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Shawn K. Singh, J.D. </w:t>
            </w:r>
            <w:r>
              <w:rPr>
                <w:rFonts w:ascii="Arial" w:cs="Arial" w:eastAsia="Arial" w:hAnsi="Arial"/>
                <w:sz w:val="16"/>
                <w:szCs w:val="16"/>
                <w:color w:val="auto"/>
                <w:vertAlign w:val="superscript"/>
              </w:rPr>
              <w:t>(1)</w:t>
            </w:r>
          </w:p>
        </w:tc>
        <w:tc>
          <w:tcPr>
            <w:tcW w:w="138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9"/>
              </w:rPr>
              <w:t>2014</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250,000</w:t>
            </w:r>
            <w:r>
              <w:rPr>
                <w:rFonts w:ascii="Arial" w:cs="Arial" w:eastAsia="Arial" w:hAnsi="Arial"/>
                <w:sz w:val="8"/>
                <w:szCs w:val="8"/>
                <w:color w:val="auto"/>
              </w:rPr>
              <w:t>(4)</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98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159,802</w:t>
            </w:r>
            <w:r>
              <w:rPr>
                <w:rFonts w:ascii="Arial" w:cs="Arial" w:eastAsia="Arial" w:hAnsi="Arial"/>
                <w:sz w:val="8"/>
                <w:szCs w:val="8"/>
                <w:color w:val="auto"/>
              </w:rPr>
              <w:t>(8)</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409,802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Chief Executive Officer</w:t>
            </w:r>
          </w:p>
        </w:tc>
        <w:tc>
          <w:tcPr>
            <w:tcW w:w="138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9"/>
              </w:rPr>
              <w:t>2013</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201,646</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9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802,411</w:t>
            </w:r>
            <w:r>
              <w:rPr>
                <w:rFonts w:ascii="Arial" w:cs="Arial" w:eastAsia="Arial" w:hAnsi="Arial"/>
                <w:sz w:val="8"/>
                <w:szCs w:val="8"/>
                <w:color w:val="auto"/>
              </w:rPr>
              <w:t>(9)(10)</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1,004,057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88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H. Ralph Snodgrass, Ph.D. </w:t>
            </w:r>
            <w:r>
              <w:rPr>
                <w:rFonts w:ascii="Arial" w:cs="Arial" w:eastAsia="Arial" w:hAnsi="Arial"/>
                <w:sz w:val="16"/>
                <w:szCs w:val="16"/>
                <w:color w:val="auto"/>
                <w:vertAlign w:val="superscript"/>
              </w:rPr>
              <w:t>(2)</w:t>
            </w:r>
          </w:p>
        </w:tc>
        <w:tc>
          <w:tcPr>
            <w:tcW w:w="138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9"/>
              </w:rPr>
              <w:t>2014</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250,000</w:t>
            </w:r>
            <w:r>
              <w:rPr>
                <w:rFonts w:ascii="Arial" w:cs="Arial" w:eastAsia="Arial" w:hAnsi="Arial"/>
                <w:sz w:val="8"/>
                <w:szCs w:val="8"/>
                <w:color w:val="auto"/>
              </w:rPr>
              <w:t>(5)</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98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102,353</w:t>
            </w:r>
            <w:r>
              <w:rPr>
                <w:rFonts w:ascii="Arial" w:cs="Arial" w:eastAsia="Arial" w:hAnsi="Arial"/>
                <w:sz w:val="8"/>
                <w:szCs w:val="8"/>
                <w:color w:val="auto"/>
              </w:rPr>
              <w:t>(8)</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352,353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President, Chief Scientific Officer</w:t>
            </w:r>
          </w:p>
        </w:tc>
        <w:tc>
          <w:tcPr>
            <w:tcW w:w="138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9"/>
              </w:rPr>
              <w:t>2013</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203,086</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534,941</w:t>
            </w:r>
            <w:r>
              <w:rPr>
                <w:rFonts w:ascii="Arial" w:cs="Arial" w:eastAsia="Arial" w:hAnsi="Arial"/>
                <w:sz w:val="8"/>
                <w:szCs w:val="8"/>
                <w:color w:val="auto"/>
              </w:rPr>
              <w:t>(10)</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738,027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88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Jerrold D. Dotson </w:t>
            </w:r>
            <w:r>
              <w:rPr>
                <w:rFonts w:ascii="Arial" w:cs="Arial" w:eastAsia="Arial" w:hAnsi="Arial"/>
                <w:sz w:val="16"/>
                <w:szCs w:val="16"/>
                <w:color w:val="auto"/>
                <w:vertAlign w:val="superscript"/>
              </w:rPr>
              <w:t>(3)</w:t>
            </w:r>
          </w:p>
        </w:tc>
        <w:tc>
          <w:tcPr>
            <w:tcW w:w="138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9"/>
              </w:rPr>
              <w:t>2014</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200,000</w:t>
            </w:r>
            <w:r>
              <w:rPr>
                <w:rFonts w:ascii="Arial" w:cs="Arial" w:eastAsia="Arial" w:hAnsi="Arial"/>
                <w:sz w:val="8"/>
                <w:szCs w:val="8"/>
                <w:color w:val="auto"/>
              </w:rPr>
              <w:t>(6)</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98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36,846</w:t>
            </w:r>
            <w:r>
              <w:rPr>
                <w:rFonts w:ascii="Arial" w:cs="Arial" w:eastAsia="Arial" w:hAnsi="Arial"/>
                <w:sz w:val="8"/>
                <w:szCs w:val="8"/>
                <w:color w:val="auto"/>
              </w:rPr>
              <w:t>(8)</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236,846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shd w:val="clear" w:color="auto" w:fill="CCEEFF"/>
          </w:tcPr>
          <w:p>
            <w:pPr>
              <w:spacing w:after="0" w:line="136" w:lineRule="exact"/>
              <w:rPr>
                <w:sz w:val="20"/>
                <w:szCs w:val="20"/>
                <w:color w:val="auto"/>
              </w:rPr>
            </w:pPr>
            <w:r>
              <w:rPr>
                <w:rFonts w:ascii="Arial" w:cs="Arial" w:eastAsia="Arial" w:hAnsi="Arial"/>
                <w:sz w:val="12"/>
                <w:szCs w:val="12"/>
                <w:i w:val="1"/>
                <w:iCs w:val="1"/>
                <w:color w:val="auto"/>
                <w:w w:val="90"/>
              </w:rPr>
              <w:t>Vice President, Chief Financial Officer,</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Secretary</w:t>
            </w:r>
          </w:p>
        </w:tc>
        <w:tc>
          <w:tcPr>
            <w:tcW w:w="138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9"/>
              </w:rPr>
              <w:t>2013</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97,269</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134,316</w:t>
            </w:r>
            <w:r>
              <w:rPr>
                <w:rFonts w:ascii="Arial" w:cs="Arial" w:eastAsia="Arial" w:hAnsi="Arial"/>
                <w:sz w:val="8"/>
                <w:szCs w:val="8"/>
                <w:color w:val="auto"/>
              </w:rPr>
              <w:t>(11)</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62,333</w:t>
            </w:r>
            <w:r>
              <w:rPr>
                <w:rFonts w:ascii="Arial" w:cs="Arial" w:eastAsia="Arial" w:hAnsi="Arial"/>
                <w:sz w:val="8"/>
                <w:szCs w:val="8"/>
                <w:color w:val="auto"/>
              </w:rPr>
              <w:t>(12)</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293,918</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500"/>
              <w:spacing w:after="0"/>
              <w:rPr>
                <w:sz w:val="20"/>
                <w:szCs w:val="20"/>
                <w:color w:val="auto"/>
              </w:rPr>
            </w:pPr>
            <w:r>
              <w:rPr>
                <w:rFonts w:ascii="Arial" w:cs="Arial" w:eastAsia="Arial" w:hAnsi="Arial"/>
                <w:sz w:val="12"/>
                <w:szCs w:val="12"/>
                <w:color w:val="auto"/>
              </w:rPr>
              <w:t>-90-</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8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38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40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4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6" w:name="page97"/>
    <w:bookmarkEnd w:id="96"/>
    <w:p>
      <w:pPr>
        <w:ind w:left="8"/>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left="288" w:hanging="288"/>
        <w:spacing w:after="0" w:line="234" w:lineRule="auto"/>
        <w:tabs>
          <w:tab w:leader="none" w:pos="288" w:val="left"/>
        </w:tabs>
        <w:numPr>
          <w:ilvl w:val="0"/>
          <w:numId w:val="50"/>
        </w:numPr>
        <w:rPr>
          <w:rFonts w:ascii="Arial" w:cs="Arial" w:eastAsia="Arial" w:hAnsi="Arial"/>
          <w:sz w:val="17"/>
          <w:szCs w:val="17"/>
          <w:color w:val="auto"/>
          <w:vertAlign w:val="superscript"/>
        </w:rPr>
      </w:pPr>
      <w:r>
        <w:rPr>
          <w:rFonts w:ascii="Arial" w:cs="Arial" w:eastAsia="Arial" w:hAnsi="Arial"/>
          <w:sz w:val="12"/>
          <w:szCs w:val="12"/>
          <w:color w:val="auto"/>
        </w:rPr>
        <w:t>Mr. Singh became VistaGen California’s Chief Executive Officer on August 20, 2009 and our Chief Executive Officer in May 2011, in connection with the Merger. In our fiscal years ended March 31, 2014 and 2013, Mr. Singh’s annual base cash salary, excluding potential cash bonus amounts, pursuant to his January 2010 employment agreement was contractually set at $347,500. However, to conserve cash for our operations during our fiscal years ended March 31, 2014 and 2013, Mr. Singh voluntarily reduced his base cash salary in each of such fiscal years to the amounts indicated. In addition, pursuant to his employment agreement, Mr. Singh is eligible to receive an annual incentive bonus of up to fifty percent (50%) of his base cash salary. However to conserve cash for our operations during our fiscal years ended March 31, 2014 and 2013, Mr. Singh voluntarily refrained from receiving any cash bonus from us.</w:t>
      </w:r>
    </w:p>
    <w:p>
      <w:pPr>
        <w:spacing w:after="0" w:line="135" w:lineRule="exact"/>
        <w:rPr>
          <w:rFonts w:ascii="Arial" w:cs="Arial" w:eastAsia="Arial" w:hAnsi="Arial"/>
          <w:sz w:val="17"/>
          <w:szCs w:val="17"/>
          <w:color w:val="auto"/>
          <w:vertAlign w:val="superscript"/>
        </w:rPr>
      </w:pPr>
    </w:p>
    <w:p>
      <w:pPr>
        <w:jc w:val="both"/>
        <w:ind w:left="288" w:hanging="288"/>
        <w:spacing w:after="0" w:line="256" w:lineRule="auto"/>
        <w:tabs>
          <w:tab w:leader="none" w:pos="288" w:val="left"/>
        </w:tabs>
        <w:numPr>
          <w:ilvl w:val="0"/>
          <w:numId w:val="50"/>
        </w:numPr>
        <w:rPr>
          <w:rFonts w:ascii="Arial" w:cs="Arial" w:eastAsia="Arial" w:hAnsi="Arial"/>
          <w:sz w:val="16"/>
          <w:szCs w:val="16"/>
          <w:color w:val="auto"/>
          <w:vertAlign w:val="superscript"/>
        </w:rPr>
      </w:pPr>
      <w:r>
        <w:rPr>
          <w:rFonts w:ascii="Arial" w:cs="Arial" w:eastAsia="Arial" w:hAnsi="Arial"/>
          <w:sz w:val="11"/>
          <w:szCs w:val="11"/>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2014 and 2013, Dr. Snodgrass’ annual base cash salary, excluding potential cash bonus amounts, pursuant to his January 2010 employment agreement was contractually set at $305,000. However, to conserve cash for our operations during our fiscal years ended March 31, 2014 and 2013, Dr. Snodgrass voluntarily reduced his base cash salary in each of such fiscal years to the amounts indicated. In addition, pursuant to his employment agreement, Dr. Snodgrass is eligible to receive an annual incentive bonus of up to fifty percent (50%) of his base cash salary. However to conserve cash for our operations during our fiscal years ended March 31, 2014 and 2012, Dr. Snodgrass voluntarily refrained from receiving any cash bonus from us.</w:t>
      </w:r>
    </w:p>
    <w:p>
      <w:pPr>
        <w:spacing w:after="0" w:line="86" w:lineRule="exact"/>
        <w:rPr>
          <w:rFonts w:ascii="Arial" w:cs="Arial" w:eastAsia="Arial" w:hAnsi="Arial"/>
          <w:sz w:val="16"/>
          <w:szCs w:val="16"/>
          <w:color w:val="auto"/>
          <w:vertAlign w:val="superscript"/>
        </w:rPr>
      </w:pPr>
    </w:p>
    <w:p>
      <w:pPr>
        <w:ind w:left="288" w:hanging="288"/>
        <w:spacing w:after="0"/>
        <w:tabs>
          <w:tab w:leader="none" w:pos="288" w:val="left"/>
        </w:tabs>
        <w:numPr>
          <w:ilvl w:val="0"/>
          <w:numId w:val="50"/>
        </w:numPr>
        <w:rPr>
          <w:rFonts w:ascii="Arial" w:cs="Arial" w:eastAsia="Arial" w:hAnsi="Arial"/>
          <w:sz w:val="17"/>
          <w:szCs w:val="17"/>
          <w:color w:val="auto"/>
          <w:vertAlign w:val="superscript"/>
        </w:rPr>
      </w:pPr>
      <w:r>
        <w:rPr>
          <w:rFonts w:ascii="Arial" w:cs="Arial" w:eastAsia="Arial" w:hAnsi="Arial"/>
          <w:sz w:val="12"/>
          <w:szCs w:val="12"/>
          <w:color w:val="auto"/>
        </w:rPr>
        <w:t>Mr. Dotson served as Chief Financial Officer on a part-time contract basis from September 19, 2011 through August 2012, at which time he became a full-time employee of the Company.</w:t>
      </w:r>
    </w:p>
    <w:p>
      <w:pPr>
        <w:spacing w:after="0" w:line="92" w:lineRule="exact"/>
        <w:rPr>
          <w:rFonts w:ascii="Arial" w:cs="Arial" w:eastAsia="Arial" w:hAnsi="Arial"/>
          <w:sz w:val="17"/>
          <w:szCs w:val="17"/>
          <w:color w:val="auto"/>
          <w:vertAlign w:val="superscript"/>
        </w:rPr>
      </w:pPr>
    </w:p>
    <w:p>
      <w:pPr>
        <w:ind w:left="288" w:hanging="288"/>
        <w:spacing w:after="0"/>
        <w:tabs>
          <w:tab w:leader="none" w:pos="288" w:val="left"/>
        </w:tabs>
        <w:numPr>
          <w:ilvl w:val="0"/>
          <w:numId w:val="50"/>
        </w:numPr>
        <w:rPr>
          <w:rFonts w:ascii="Arial" w:cs="Arial" w:eastAsia="Arial" w:hAnsi="Arial"/>
          <w:sz w:val="17"/>
          <w:szCs w:val="17"/>
          <w:color w:val="auto"/>
          <w:vertAlign w:val="superscript"/>
        </w:rPr>
      </w:pPr>
      <w:r>
        <w:rPr>
          <w:rFonts w:ascii="Arial" w:cs="Arial" w:eastAsia="Arial" w:hAnsi="Arial"/>
          <w:sz w:val="12"/>
          <w:szCs w:val="12"/>
          <w:color w:val="auto"/>
        </w:rPr>
        <w:t>Of this amount, Mr. Singh received only $125,000 in cash; the remaining balance has been accrued for future payment.</w:t>
      </w:r>
    </w:p>
    <w:p>
      <w:pPr>
        <w:spacing w:after="0" w:line="92" w:lineRule="exact"/>
        <w:rPr>
          <w:rFonts w:ascii="Arial" w:cs="Arial" w:eastAsia="Arial" w:hAnsi="Arial"/>
          <w:sz w:val="17"/>
          <w:szCs w:val="17"/>
          <w:color w:val="auto"/>
          <w:vertAlign w:val="superscript"/>
        </w:rPr>
      </w:pPr>
    </w:p>
    <w:p>
      <w:pPr>
        <w:ind w:left="288" w:hanging="288"/>
        <w:spacing w:after="0"/>
        <w:tabs>
          <w:tab w:leader="none" w:pos="288" w:val="left"/>
        </w:tabs>
        <w:numPr>
          <w:ilvl w:val="0"/>
          <w:numId w:val="50"/>
        </w:numPr>
        <w:rPr>
          <w:rFonts w:ascii="Arial" w:cs="Arial" w:eastAsia="Arial" w:hAnsi="Arial"/>
          <w:sz w:val="17"/>
          <w:szCs w:val="17"/>
          <w:color w:val="auto"/>
          <w:vertAlign w:val="superscript"/>
        </w:rPr>
      </w:pPr>
      <w:r>
        <w:rPr>
          <w:rFonts w:ascii="Arial" w:cs="Arial" w:eastAsia="Arial" w:hAnsi="Arial"/>
          <w:sz w:val="12"/>
          <w:szCs w:val="12"/>
          <w:color w:val="auto"/>
        </w:rPr>
        <w:t>Of this amount, Dr. Snodgrass received only $149,606 in cash; the remaining balance has been accrued for future payment.</w:t>
      </w:r>
    </w:p>
    <w:p>
      <w:pPr>
        <w:spacing w:after="0" w:line="92" w:lineRule="exact"/>
        <w:rPr>
          <w:rFonts w:ascii="Arial" w:cs="Arial" w:eastAsia="Arial" w:hAnsi="Arial"/>
          <w:sz w:val="17"/>
          <w:szCs w:val="17"/>
          <w:color w:val="auto"/>
          <w:vertAlign w:val="superscript"/>
        </w:rPr>
      </w:pPr>
    </w:p>
    <w:p>
      <w:pPr>
        <w:ind w:left="288" w:hanging="288"/>
        <w:spacing w:after="0"/>
        <w:tabs>
          <w:tab w:leader="none" w:pos="288" w:val="left"/>
        </w:tabs>
        <w:numPr>
          <w:ilvl w:val="0"/>
          <w:numId w:val="50"/>
        </w:numPr>
        <w:rPr>
          <w:rFonts w:ascii="Arial" w:cs="Arial" w:eastAsia="Arial" w:hAnsi="Arial"/>
          <w:sz w:val="17"/>
          <w:szCs w:val="17"/>
          <w:color w:val="auto"/>
          <w:vertAlign w:val="superscript"/>
        </w:rPr>
      </w:pPr>
      <w:r>
        <w:rPr>
          <w:rFonts w:ascii="Arial" w:cs="Arial" w:eastAsia="Arial" w:hAnsi="Arial"/>
          <w:sz w:val="12"/>
          <w:szCs w:val="12"/>
          <w:color w:val="auto"/>
        </w:rPr>
        <w:t>Of this amount, Mr. Dotson received only $143,333 in cash; the remaining balance has been accrued for future payment.</w:t>
      </w:r>
    </w:p>
    <w:p>
      <w:pPr>
        <w:spacing w:after="0" w:line="135" w:lineRule="exact"/>
        <w:rPr>
          <w:rFonts w:ascii="Arial" w:cs="Arial" w:eastAsia="Arial" w:hAnsi="Arial"/>
          <w:sz w:val="17"/>
          <w:szCs w:val="17"/>
          <w:color w:val="auto"/>
          <w:vertAlign w:val="superscript"/>
        </w:rPr>
      </w:pPr>
    </w:p>
    <w:p>
      <w:pPr>
        <w:jc w:val="both"/>
        <w:ind w:left="288" w:hanging="288"/>
        <w:spacing w:after="0" w:line="236" w:lineRule="auto"/>
        <w:tabs>
          <w:tab w:leader="none" w:pos="288" w:val="left"/>
        </w:tabs>
        <w:numPr>
          <w:ilvl w:val="0"/>
          <w:numId w:val="50"/>
        </w:numPr>
        <w:rPr>
          <w:rFonts w:ascii="Arial" w:cs="Arial" w:eastAsia="Arial" w:hAnsi="Arial"/>
          <w:sz w:val="17"/>
          <w:szCs w:val="17"/>
          <w:color w:val="auto"/>
          <w:vertAlign w:val="superscript"/>
        </w:rPr>
      </w:pPr>
      <w:r>
        <w:rPr>
          <w:rFonts w:ascii="Arial" w:cs="Arial" w:eastAsia="Arial" w:hAnsi="Arial"/>
          <w:sz w:val="12"/>
          <w:szCs w:val="12"/>
          <w:color w:val="auto"/>
        </w:rPr>
        <w:t>The amounts in Option and Warrant Awards column do not represent any cash payments actually received by Mr. Singh, Dr. Snodgrass or Mr. Dotson with respect to any of the options or warrants to purchase restricted shares of our common stock awarded to them or modified during the periods presented. Rather, the amounts in the Option and Warrant Awards column represent the deemed aggregate grant date fair value of options or warrants to purchase restricted shares of our common stock awarded to Mr. Singh, Dr. Snodgrass and Mr. Dotson or the effect of modifications to prior grants of options or warrants occurring during the fiscal year presented, computed in accordance with the Financial Accounting Standards Board’s Accounting Standards Codification Topic 718, Compensation – Stock Compensation (</w:t>
      </w:r>
      <w:r>
        <w:rPr>
          <w:rFonts w:ascii="Arial" w:cs="Arial" w:eastAsia="Arial" w:hAnsi="Arial"/>
          <w:sz w:val="12"/>
          <w:szCs w:val="12"/>
          <w:i w:val="1"/>
          <w:iCs w:val="1"/>
          <w:color w:val="auto"/>
        </w:rPr>
        <w:t>ASC 718</w:t>
      </w:r>
      <w:r>
        <w:rPr>
          <w:rFonts w:ascii="Arial" w:cs="Arial" w:eastAsia="Arial" w:hAnsi="Arial"/>
          <w:sz w:val="12"/>
          <w:szCs w:val="12"/>
          <w:color w:val="auto"/>
        </w:rPr>
        <w:t>). Except as indicated in note (9) below, to date, Mr. Singh, Dr. Snodgrass and Mr. Dotson have not exercised such options or warrants to purchase common stock, and there can be no assurance that any of them will ever realize any of the ASC 718 grant date fair value amounts presented in the Option and Warrant Awards column.</w:t>
      </w:r>
    </w:p>
    <w:p>
      <w:pPr>
        <w:spacing w:after="0" w:line="25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128" w:right="219" w:bottom="1440" w:gutter="0" w:footer="0" w:header="0"/>
        </w:sectPr>
      </w:pPr>
    </w:p>
    <w:bookmarkStart w:id="97" w:name="page98"/>
    <w:bookmarkEnd w:id="97"/>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table below provides information regarding the option and warrant awards and modifications we granted to Mr. Singh, Dr. Snodgrass and Mr. Dotson during fiscal 2014 and the assumptions used in the Black Scholes Option Pricing Model to determine the grant date fair values of the respective awards and modifications: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2"/>
                <w:szCs w:val="12"/>
                <w:color w:val="auto"/>
                <w:w w:val="92"/>
              </w:rPr>
              <w:t>Option/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2"/>
                <w:szCs w:val="12"/>
                <w:color w:val="auto"/>
                <w:w w:val="96"/>
              </w:rPr>
              <w:t>Option</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2"/>
                <w:szCs w:val="12"/>
                <w:color w:val="auto"/>
                <w:w w:val="88"/>
              </w:rPr>
              <w:t>Warrant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left="524"/>
              <w:spacing w:after="0"/>
              <w:rPr>
                <w:sz w:val="20"/>
                <w:szCs w:val="20"/>
                <w:color w:val="auto"/>
              </w:rPr>
            </w:pPr>
            <w:r>
              <w:rPr>
                <w:rFonts w:ascii="Arial" w:cs="Arial" w:eastAsia="Arial" w:hAnsi="Arial"/>
                <w:sz w:val="12"/>
                <w:szCs w:val="12"/>
                <w:color w:val="auto"/>
                <w:w w:val="96"/>
              </w:rPr>
              <w:t>Option</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4"/>
          </w:tcPr>
          <w:p>
            <w:pPr>
              <w:jc w:val="center"/>
              <w:ind w:left="505"/>
              <w:spacing w:after="0"/>
              <w:rPr>
                <w:sz w:val="20"/>
                <w:szCs w:val="20"/>
                <w:color w:val="auto"/>
              </w:rPr>
            </w:pPr>
            <w:r>
              <w:rPr>
                <w:rFonts w:ascii="Arial" w:cs="Arial" w:eastAsia="Arial" w:hAnsi="Arial"/>
                <w:sz w:val="12"/>
                <w:szCs w:val="12"/>
                <w:color w:val="auto"/>
                <w:w w:val="88"/>
              </w:rPr>
              <w:t>Warrant</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2"/>
                <w:szCs w:val="12"/>
                <w:color w:val="auto"/>
                <w:w w:val="93"/>
              </w:rPr>
              <w:t>Warrant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2"/>
                <w:szCs w:val="12"/>
                <w:color w:val="auto"/>
                <w:w w:val="93"/>
              </w:rPr>
              <w:t>Grant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2"/>
                <w:szCs w:val="12"/>
                <w:color w:val="auto"/>
                <w:w w:val="86"/>
              </w:rPr>
              <w:t>Grant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tcPr>
          <w:p>
            <w:pPr>
              <w:jc w:val="center"/>
              <w:ind w:left="384"/>
              <w:spacing w:after="0"/>
              <w:rPr>
                <w:sz w:val="20"/>
                <w:szCs w:val="20"/>
                <w:color w:val="auto"/>
              </w:rPr>
            </w:pPr>
            <w:r>
              <w:rPr>
                <w:rFonts w:ascii="Arial" w:cs="Arial" w:eastAsia="Arial" w:hAnsi="Arial"/>
                <w:sz w:val="12"/>
                <w:szCs w:val="12"/>
                <w:color w:val="auto"/>
                <w:w w:val="96"/>
              </w:rPr>
              <w:t>Modification</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4"/>
          </w:tcPr>
          <w:p>
            <w:pPr>
              <w:jc w:val="center"/>
              <w:ind w:left="505"/>
              <w:spacing w:after="0"/>
              <w:rPr>
                <w:sz w:val="20"/>
                <w:szCs w:val="20"/>
                <w:color w:val="auto"/>
              </w:rPr>
            </w:pPr>
            <w:r>
              <w:rPr>
                <w:rFonts w:ascii="Arial" w:cs="Arial" w:eastAsia="Arial" w:hAnsi="Arial"/>
                <w:sz w:val="12"/>
                <w:szCs w:val="12"/>
                <w:color w:val="auto"/>
                <w:w w:val="96"/>
              </w:rPr>
              <w:t>Modification</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2"/>
                <w:szCs w:val="12"/>
                <w:color w:val="auto"/>
                <w:w w:val="89"/>
              </w:rPr>
              <w:t>Exchange (a)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63"/>
              <w:spacing w:after="0"/>
              <w:rPr>
                <w:sz w:val="20"/>
                <w:szCs w:val="20"/>
                <w:color w:val="auto"/>
              </w:rPr>
            </w:pPr>
            <w:r>
              <w:rPr>
                <w:rFonts w:ascii="Arial" w:cs="Arial" w:eastAsia="Arial" w:hAnsi="Arial"/>
                <w:sz w:val="12"/>
                <w:szCs w:val="12"/>
                <w:color w:val="auto"/>
                <w:w w:val="89"/>
              </w:rPr>
              <w:t>10/27/2013</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center"/>
              <w:ind w:right="143"/>
              <w:spacing w:after="0"/>
              <w:rPr>
                <w:sz w:val="20"/>
                <w:szCs w:val="20"/>
                <w:color w:val="auto"/>
              </w:rPr>
            </w:pPr>
            <w:r>
              <w:rPr>
                <w:rFonts w:ascii="Arial" w:cs="Arial" w:eastAsia="Arial" w:hAnsi="Arial"/>
                <w:sz w:val="12"/>
                <w:szCs w:val="12"/>
                <w:color w:val="auto"/>
                <w:w w:val="93"/>
              </w:rPr>
              <w:t>3/19/2014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left="524"/>
              <w:spacing w:after="0"/>
              <w:rPr>
                <w:sz w:val="20"/>
                <w:szCs w:val="20"/>
                <w:color w:val="auto"/>
              </w:rPr>
            </w:pPr>
            <w:r>
              <w:rPr>
                <w:rFonts w:ascii="Arial" w:cs="Arial" w:eastAsia="Arial" w:hAnsi="Arial"/>
                <w:sz w:val="12"/>
                <w:szCs w:val="12"/>
                <w:color w:val="auto"/>
                <w:w w:val="89"/>
              </w:rPr>
              <w:t>12/20/2013</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4"/>
          </w:tcPr>
          <w:p>
            <w:pPr>
              <w:jc w:val="center"/>
              <w:ind w:left="505"/>
              <w:spacing w:after="0"/>
              <w:rPr>
                <w:sz w:val="20"/>
                <w:szCs w:val="20"/>
                <w:color w:val="auto"/>
              </w:rPr>
            </w:pPr>
            <w:r>
              <w:rPr>
                <w:rFonts w:ascii="Arial" w:cs="Arial" w:eastAsia="Arial" w:hAnsi="Arial"/>
                <w:sz w:val="12"/>
                <w:szCs w:val="12"/>
                <w:color w:val="auto"/>
                <w:w w:val="89"/>
              </w:rPr>
              <w:t>12/20/2013</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3"/>
              <w:spacing w:after="0"/>
              <w:rPr>
                <w:sz w:val="20"/>
                <w:szCs w:val="20"/>
                <w:color w:val="auto"/>
              </w:rPr>
            </w:pPr>
            <w:r>
              <w:rPr>
                <w:rFonts w:ascii="Arial" w:cs="Arial" w:eastAsia="Arial" w:hAnsi="Arial"/>
                <w:sz w:val="12"/>
                <w:szCs w:val="12"/>
                <w:color w:val="auto"/>
                <w:w w:val="89"/>
              </w:rPr>
              <w:t>3/19/2014</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right"/>
              <w:ind w:right="44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2"/>
                <w:szCs w:val="12"/>
                <w:color w:val="auto"/>
              </w:rPr>
              <w:t>Singh</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134,436</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25,366</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159,802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00" w:type="dxa"/>
            <w:vAlign w:val="bottom"/>
          </w:tcPr>
          <w:p>
            <w:pPr>
              <w:spacing w:after="0"/>
              <w:rPr>
                <w:sz w:val="20"/>
                <w:szCs w:val="20"/>
                <w:color w:val="auto"/>
              </w:rPr>
            </w:pPr>
            <w:r>
              <w:rPr>
                <w:rFonts w:ascii="Arial" w:cs="Arial" w:eastAsia="Arial" w:hAnsi="Arial"/>
                <w:sz w:val="12"/>
                <w:szCs w:val="12"/>
                <w:color w:val="auto"/>
              </w:rPr>
              <w:t>Snodgrass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14,560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2"/>
                <w:szCs w:val="12"/>
                <w:color w:val="auto"/>
              </w:rPr>
              <w:t>56,835</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2"/>
                <w:szCs w:val="12"/>
                <w:color w:val="auto"/>
              </w:rPr>
              <w:t>30,958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2"/>
                <w:szCs w:val="12"/>
                <w:color w:val="auto"/>
              </w:rPr>
              <w:t>102,353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2"/>
                <w:szCs w:val="12"/>
                <w:color w:val="auto"/>
              </w:rPr>
              <w:t>Dotson</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6,380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29,120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1,346</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36,846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6,380</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43,680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192,617</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25,366</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30,958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299,001</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7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1"/>
                <w:szCs w:val="11"/>
                <w:color w:val="auto"/>
              </w:rPr>
              <w:t>Before</w:t>
            </w: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304"/>
              <w:spacing w:after="0"/>
              <w:rPr>
                <w:sz w:val="20"/>
                <w:szCs w:val="20"/>
                <w:color w:val="auto"/>
              </w:rPr>
            </w:pPr>
            <w:r>
              <w:rPr>
                <w:rFonts w:ascii="Arial" w:cs="Arial" w:eastAsia="Arial" w:hAnsi="Arial"/>
                <w:sz w:val="11"/>
                <w:szCs w:val="11"/>
                <w:color w:val="auto"/>
              </w:rPr>
              <w:t>After</w:t>
            </w:r>
          </w:p>
        </w:tc>
        <w:tc>
          <w:tcPr>
            <w:tcW w:w="3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1"/>
                <w:szCs w:val="11"/>
                <w:color w:val="auto"/>
              </w:rPr>
              <w:t>Before</w:t>
            </w: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1"/>
                <w:szCs w:val="11"/>
                <w:color w:val="auto"/>
              </w:rPr>
              <w:t>After</w:t>
            </w: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1"/>
                <w:szCs w:val="11"/>
                <w:color w:val="auto"/>
              </w:rPr>
              <w:t>Before</w:t>
            </w: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1"/>
                <w:szCs w:val="11"/>
                <w:color w:val="auto"/>
              </w:rPr>
              <w:t>After</w:t>
            </w: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1"/>
                <w:szCs w:val="11"/>
                <w:color w:val="auto"/>
              </w:rPr>
              <w:t>Market price per share</w:t>
            </w:r>
          </w:p>
        </w:tc>
        <w:tc>
          <w:tcPr>
            <w:tcW w:w="14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w w:val="97"/>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0.40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0.46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0.40</w:t>
            </w: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0.40</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0.40</w:t>
            </w: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0.40</w:t>
            </w: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0.46</w:t>
            </w:r>
          </w:p>
        </w:tc>
        <w:tc>
          <w:tcPr>
            <w:tcW w:w="2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0.46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spacing w:after="0"/>
              <w:rPr>
                <w:sz w:val="20"/>
                <w:szCs w:val="20"/>
                <w:color w:val="auto"/>
              </w:rPr>
            </w:pPr>
            <w:r>
              <w:rPr>
                <w:rFonts w:ascii="Arial" w:cs="Arial" w:eastAsia="Arial" w:hAnsi="Arial"/>
                <w:sz w:val="11"/>
                <w:szCs w:val="11"/>
                <w:color w:val="auto"/>
              </w:rPr>
              <w:t>Exercise price per share</w:t>
            </w:r>
          </w:p>
        </w:tc>
        <w:tc>
          <w:tcPr>
            <w:tcW w:w="140" w:type="dxa"/>
            <w:vAlign w:val="bottom"/>
          </w:tcPr>
          <w:p>
            <w:pPr>
              <w:jc w:val="right"/>
              <w:ind w:right="8"/>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0.40</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0.50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1"/>
                <w:szCs w:val="11"/>
                <w:color w:val="auto"/>
              </w:rPr>
              <w:t>$0.75 to $2.10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0.50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$0.50 to $1.75</w:t>
            </w: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0.50</w:t>
            </w:r>
          </w:p>
        </w:tc>
        <w:tc>
          <w:tcPr>
            <w:tcW w:w="140" w:type="dxa"/>
            <w:vAlign w:val="bottom"/>
          </w:tcPr>
          <w:p>
            <w:pPr>
              <w:spacing w:after="0"/>
              <w:rPr>
                <w:sz w:val="12"/>
                <w:szCs w:val="12"/>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1"/>
                <w:szCs w:val="11"/>
                <w:color w:val="auto"/>
              </w:rPr>
              <w:t>0.50</w:t>
            </w:r>
          </w:p>
        </w:tc>
        <w:tc>
          <w:tcPr>
            <w:tcW w:w="220" w:type="dxa"/>
            <w:vAlign w:val="bottom"/>
          </w:tcPr>
          <w:p>
            <w:pPr>
              <w:spacing w:after="0"/>
              <w:rPr>
                <w:sz w:val="12"/>
                <w:szCs w:val="1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0.07% to</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0.75% to</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1.675%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1.750%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0.7% to 2.68%</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w w:val="95"/>
              </w:rPr>
              <w:t>0.12% to 2.68%</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1.18%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0.106%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1.750%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68.76% to</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1"/>
                <w:szCs w:val="11"/>
                <w:color w:val="auto"/>
              </w:rPr>
              <w:t>76.51% to</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20" w:type="dxa"/>
            <w:vAlign w:val="bottom"/>
            <w:gridSpan w:val="2"/>
          </w:tcPr>
          <w:p>
            <w:pPr>
              <w:spacing w:after="0"/>
              <w:rPr>
                <w:sz w:val="20"/>
                <w:szCs w:val="20"/>
                <w:color w:val="auto"/>
              </w:rPr>
            </w:pPr>
            <w:r>
              <w:rPr>
                <w:rFonts w:ascii="Arial" w:cs="Arial" w:eastAsia="Arial" w:hAnsi="Arial"/>
                <w:sz w:val="11"/>
                <w:szCs w:val="11"/>
                <w:color w:val="auto"/>
              </w:rPr>
              <w:t>Volatility</w:t>
            </w:r>
          </w:p>
        </w:tc>
        <w:tc>
          <w:tcPr>
            <w:tcW w:w="14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1"/>
                <w:szCs w:val="11"/>
                <w:color w:val="auto"/>
              </w:rPr>
              <w:t>99.53%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80.57%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1"/>
                <w:szCs w:val="11"/>
                <w:color w:val="auto"/>
                <w:w w:val="97"/>
              </w:rPr>
              <w:t>68.8% to 97.6%</w:t>
            </w:r>
          </w:p>
        </w:tc>
        <w:tc>
          <w:tcPr>
            <w:tcW w:w="140" w:type="dxa"/>
            <w:vAlign w:val="bottom"/>
          </w:tcPr>
          <w:p>
            <w:pPr>
              <w:spacing w:after="0"/>
              <w:rPr>
                <w:sz w:val="12"/>
                <w:szCs w:val="1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1"/>
                <w:szCs w:val="11"/>
                <w:color w:val="auto"/>
              </w:rPr>
              <w:t>68.8% to 97.6%</w:t>
            </w: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78.21%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78.21%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1"/>
                <w:szCs w:val="11"/>
                <w:color w:val="auto"/>
              </w:rPr>
              <w:t>68.96 %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80.57%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0.87 to</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0.03 to</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3.03 to</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1"/>
                <w:szCs w:val="11"/>
                <w:color w:val="auto"/>
              </w:rPr>
              <w:t>Expected term (years)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6.25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0.25 to 8.86</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8.86</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3.96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0.63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rPr>
                <w:sz w:val="20"/>
                <w:szCs w:val="20"/>
                <w:color w:val="auto"/>
              </w:rPr>
            </w:pPr>
            <w:r>
              <w:rPr>
                <w:rFonts w:ascii="Arial" w:cs="Arial" w:eastAsia="Arial" w:hAnsi="Arial"/>
                <w:sz w:val="11"/>
                <w:szCs w:val="11"/>
                <w:color w:val="auto"/>
              </w:rPr>
              <w:t>Dividend rate</w:t>
            </w:r>
          </w:p>
        </w:tc>
        <w:tc>
          <w:tcPr>
            <w:tcW w:w="140" w:type="dxa"/>
            <w:vAlign w:val="bottom"/>
          </w:tcPr>
          <w:p>
            <w:pPr>
              <w:spacing w:after="0"/>
              <w:rPr>
                <w:sz w:val="11"/>
                <w:szCs w:val="1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0%</w:t>
            </w:r>
          </w:p>
        </w:tc>
        <w:tc>
          <w:tcPr>
            <w:tcW w:w="180" w:type="dxa"/>
            <w:vAlign w:val="bottom"/>
          </w:tcPr>
          <w:p>
            <w:pPr>
              <w:spacing w:after="0"/>
              <w:rPr>
                <w:sz w:val="11"/>
                <w:szCs w:val="1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1"/>
                <w:szCs w:val="11"/>
                <w:color w:val="auto"/>
              </w:rPr>
              <w:t>Fair value per share</w:t>
            </w:r>
          </w:p>
        </w:tc>
        <w:tc>
          <w:tcPr>
            <w:tcW w:w="14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w w:val="97"/>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0.29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$0.00 to $0.32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$0.07 to $0.34</w:t>
            </w:r>
          </w:p>
        </w:tc>
        <w:tc>
          <w:tcPr>
            <w:tcW w:w="18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$0.00 to $0.11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w w:val="93"/>
              </w:rPr>
              <w:t>$0.18 to $0.21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0.08</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1"/>
                <w:szCs w:val="11"/>
                <w:color w:val="auto"/>
              </w:rPr>
              <w:t>Aggregate shares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20,000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150,000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2,322,500</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2,322,500</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166,052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166,052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150,000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150,000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8" w:name="page99"/>
    <w:bookmarkEnd w:id="98"/>
    <w:p>
      <w:pPr>
        <w:ind w:left="8"/>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left="8" w:hanging="8"/>
        <w:spacing w:after="0" w:line="259" w:lineRule="auto"/>
        <w:tabs>
          <w:tab w:leader="none" w:pos="210" w:val="left"/>
        </w:tabs>
        <w:numPr>
          <w:ilvl w:val="0"/>
          <w:numId w:val="51"/>
        </w:numPr>
        <w:rPr>
          <w:rFonts w:ascii="Arial" w:cs="Arial" w:eastAsia="Arial" w:hAnsi="Arial"/>
          <w:sz w:val="12"/>
          <w:szCs w:val="12"/>
          <w:color w:val="auto"/>
        </w:rPr>
      </w:pPr>
      <w:r>
        <w:rPr>
          <w:rFonts w:ascii="Arial" w:cs="Arial" w:eastAsia="Arial" w:hAnsi="Arial"/>
          <w:sz w:val="12"/>
          <w:szCs w:val="12"/>
          <w:color w:val="auto"/>
        </w:rPr>
        <w:t>On March 19, 2014, the Board and Dr. Snodgrass agreed to cancel a fully-vested option to purchase 150,000 shares of our restricted common stock at a price of $0.50 per share and expiring on November 4, 2014 in exchange for the grant of a five-year warrant to purchase 150,000 shares of our restricted common stock at a price of $0.50 per share. Shares subject to the cancelled option grant were returned to the 2008 Stock Incentive Plan for potential future grants. The cancellation of the option and grant of the warrant was accounted for as a modification of an award under ASC 718 and, accordingly, the difference in the fair value of the two instruments at the modification date was recorded in stock compensation expense and is the amount reported in the table above.</w:t>
      </w:r>
    </w:p>
    <w:p>
      <w:pPr>
        <w:spacing w:after="0" w:line="125" w:lineRule="exact"/>
        <w:rPr>
          <w:sz w:val="20"/>
          <w:szCs w:val="20"/>
          <w:color w:val="auto"/>
        </w:rPr>
      </w:pPr>
    </w:p>
    <w:p>
      <w:pPr>
        <w:ind w:left="288" w:right="20" w:hanging="288"/>
        <w:spacing w:after="0" w:line="213" w:lineRule="auto"/>
        <w:tabs>
          <w:tab w:leader="none" w:pos="288" w:val="left"/>
        </w:tabs>
        <w:numPr>
          <w:ilvl w:val="0"/>
          <w:numId w:val="52"/>
        </w:numPr>
        <w:rPr>
          <w:rFonts w:ascii="Arial" w:cs="Arial" w:eastAsia="Arial" w:hAnsi="Arial"/>
          <w:sz w:val="17"/>
          <w:szCs w:val="17"/>
          <w:color w:val="auto"/>
          <w:vertAlign w:val="superscript"/>
        </w:rPr>
      </w:pPr>
      <w:r>
        <w:rPr>
          <w:rFonts w:ascii="Arial" w:cs="Arial" w:eastAsia="Arial" w:hAnsi="Arial"/>
          <w:sz w:val="12"/>
          <w:szCs w:val="12"/>
          <w:color w:val="auto"/>
        </w:rPr>
        <w:t>In June and October 2013, Mr. Singh exercised warrants granted to him in March 2013, described in Note 10, below, to purchase an aggregate of 60,000 shares of our restricted common stock at $0.64 per share. Mr. Singh continues to hold the shares of our restricted common stock issued upon his exercise of the warrants.</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8"/>
          <w:szCs w:val="8"/>
          <w:color w:val="auto"/>
        </w:rPr>
        <w:t>(10)</w:t>
      </w:r>
    </w:p>
    <w:p>
      <w:pPr>
        <w:ind w:left="448"/>
        <w:spacing w:after="0"/>
        <w:rPr>
          <w:sz w:val="20"/>
          <w:szCs w:val="20"/>
          <w:color w:val="auto"/>
        </w:rPr>
      </w:pPr>
      <w:r>
        <w:rPr>
          <w:rFonts w:ascii="Arial" w:cs="Arial" w:eastAsia="Arial" w:hAnsi="Arial"/>
          <w:sz w:val="12"/>
          <w:szCs w:val="12"/>
          <w:color w:val="auto"/>
        </w:rPr>
        <w:t>We used the Black Scholes Option Pricing Model and the following assumptions for determining the grant date fair value of the warrants to purchase shares of our common stock granted in March 2013.</w:t>
      </w:r>
    </w:p>
    <w:p>
      <w:pPr>
        <w:spacing w:after="0" w:line="221" w:lineRule="exact"/>
        <w:rPr>
          <w:sz w:val="20"/>
          <w:szCs w:val="20"/>
          <w:color w:val="auto"/>
        </w:rPr>
      </w:pPr>
    </w:p>
    <w:tbl>
      <w:tblPr>
        <w:tblLayout w:type="fixed"/>
        <w:tblInd w:w="44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44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144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0.64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Expected Term (years)</w:t>
            </w:r>
          </w:p>
        </w:tc>
        <w:tc>
          <w:tcPr>
            <w:tcW w:w="144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Dividend rate</w:t>
            </w:r>
          </w:p>
        </w:tc>
        <w:tc>
          <w:tcPr>
            <w:tcW w:w="14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Grant date fair value per share</w:t>
            </w:r>
          </w:p>
        </w:tc>
        <w:tc>
          <w:tcPr>
            <w:tcW w:w="144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0.53</w:t>
            </w:r>
          </w:p>
        </w:tc>
        <w:tc>
          <w:tcPr>
            <w:tcW w:w="0" w:type="dxa"/>
            <w:vAlign w:val="bottom"/>
          </w:tcPr>
          <w:p>
            <w:pPr>
              <w:spacing w:after="0"/>
              <w:rPr>
                <w:sz w:val="1"/>
                <w:szCs w:val="1"/>
                <w:color w:val="auto"/>
              </w:rPr>
            </w:pPr>
          </w:p>
        </w:tc>
      </w:tr>
      <w:tr>
        <w:trPr>
          <w:trHeight w:val="279"/>
        </w:trPr>
        <w:tc>
          <w:tcPr>
            <w:tcW w:w="8840" w:type="dxa"/>
            <w:vAlign w:val="bottom"/>
            <w:gridSpan w:val="2"/>
          </w:tcPr>
          <w:p>
            <w:pPr>
              <w:spacing w:after="0"/>
              <w:rPr>
                <w:sz w:val="20"/>
                <w:szCs w:val="20"/>
                <w:color w:val="auto"/>
              </w:rPr>
            </w:pPr>
            <w:r>
              <w:rPr>
                <w:rFonts w:ascii="Arial" w:cs="Arial" w:eastAsia="Arial" w:hAnsi="Arial"/>
                <w:sz w:val="12"/>
                <w:szCs w:val="12"/>
                <w:color w:val="auto"/>
              </w:rPr>
              <w:t>Mr. Singh, Dr. Snodgrass and Mr. Dotson were granted warrants to purchase 1,500,000, 1,000,000 and 200,000 restricted shares of our common stock, respectively.</w:t>
            </w: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8"/>
          <w:szCs w:val="8"/>
          <w:color w:val="auto"/>
        </w:rPr>
        <w:t>(11)</w:t>
      </w:r>
    </w:p>
    <w:p>
      <w:pPr>
        <w:spacing w:after="0" w:line="106" w:lineRule="exact"/>
        <w:rPr>
          <w:sz w:val="20"/>
          <w:szCs w:val="20"/>
          <w:color w:val="auto"/>
        </w:rPr>
      </w:pPr>
    </w:p>
    <w:p>
      <w:pPr>
        <w:jc w:val="both"/>
        <w:ind w:left="448"/>
        <w:spacing w:after="0" w:line="257" w:lineRule="auto"/>
        <w:rPr>
          <w:sz w:val="20"/>
          <w:szCs w:val="20"/>
          <w:color w:val="auto"/>
        </w:rPr>
      </w:pPr>
      <w:r>
        <w:rPr>
          <w:rFonts w:ascii="Arial" w:cs="Arial" w:eastAsia="Arial" w:hAnsi="Arial"/>
          <w:sz w:val="12"/>
          <w:szCs w:val="12"/>
          <w:color w:val="auto"/>
        </w:rPr>
        <w:t>In October 2012, we modified the stock option award granted to Mr. Dotson in September 2011 to reduce the exercise price of the option from $2.58 per share to $0.75 per share and granted him a new stock option to purchase an additional 50,000 restricted shares of our common stock. We used the Black Scholes Option Pricing Model and the following assumptions to determine incremental fair value of the modified option and the grant date fair value of $0.51 per share for the new option: market price per share: $0.71; exercise price per share: $0.75; risk-free interest rate: 1.00%; expected term: 6.25 years; volatility 85.35%; dividend rate: 0%. The figure reported includes (i) the grant date fair value of the warrant granted to Mr. Dotson, determined in accordance with the assumptions described in note 5 above, $106,988; (ii) the fair value of the new option, $25,385; and (iii) the incremental fair value resulting from the modification of the September 2011 stock option grant, $1,943.</w:t>
      </w:r>
    </w:p>
    <w:p>
      <w:pPr>
        <w:spacing w:after="0" w:line="296" w:lineRule="exact"/>
        <w:rPr>
          <w:sz w:val="20"/>
          <w:szCs w:val="20"/>
          <w:color w:val="auto"/>
        </w:rPr>
      </w:pPr>
    </w:p>
    <w:p>
      <w:pPr>
        <w:ind w:left="8"/>
        <w:spacing w:after="0"/>
        <w:rPr>
          <w:sz w:val="20"/>
          <w:szCs w:val="20"/>
          <w:color w:val="auto"/>
        </w:rPr>
      </w:pPr>
      <w:r>
        <w:rPr>
          <w:rFonts w:ascii="Arial" w:cs="Arial" w:eastAsia="Arial" w:hAnsi="Arial"/>
          <w:sz w:val="8"/>
          <w:szCs w:val="8"/>
          <w:color w:val="auto"/>
        </w:rPr>
        <w:t>(12)</w:t>
      </w:r>
    </w:p>
    <w:p>
      <w:pPr>
        <w:ind w:left="448"/>
        <w:spacing w:after="0"/>
        <w:rPr>
          <w:sz w:val="20"/>
          <w:szCs w:val="20"/>
          <w:color w:val="auto"/>
        </w:rPr>
      </w:pPr>
      <w:r>
        <w:rPr>
          <w:rFonts w:ascii="Arial" w:cs="Arial" w:eastAsia="Arial" w:hAnsi="Arial"/>
          <w:sz w:val="12"/>
          <w:szCs w:val="12"/>
          <w:color w:val="auto"/>
        </w:rPr>
        <w:t>Amount shown represent cash compensation paid to Mr. Dotson under the terms of the consulting agreement between us and Mr. Dotson for the period April 2012 through August 2012.</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 of the NEOs is entitled to perquisites or other personal benefits that, in the aggregate, are worth over $50,000 or over 10% of their base salary.</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99" w:name="page100"/>
    <w:bookmarkEnd w:id="99"/>
    <w:p>
      <w:pPr>
        <w:ind w:left="8"/>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Options and Warrants Granted to Named Executive Officers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provides information regarding each unexercised stock option and warrant to purchase restricted shares of our common stock held by each of the named executive officers as of March 31, 2014:</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ind w:left="1560"/>
              <w:spacing w:after="0"/>
              <w:rPr>
                <w:sz w:val="20"/>
                <w:szCs w:val="20"/>
                <w:color w:val="auto"/>
              </w:rPr>
            </w:pPr>
            <w:r>
              <w:rPr>
                <w:rFonts w:ascii="Arial" w:cs="Arial" w:eastAsia="Arial" w:hAnsi="Arial"/>
                <w:sz w:val="12"/>
                <w:szCs w:val="12"/>
                <w:b w:val="1"/>
                <w:bCs w:val="1"/>
                <w:color w:val="auto"/>
                <w:w w:val="98"/>
              </w:rPr>
              <w:t>Stock Options</w:t>
            </w: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960" w:type="dxa"/>
            <w:vAlign w:val="bottom"/>
            <w:gridSpan w:val="2"/>
          </w:tcPr>
          <w:p>
            <w:pPr>
              <w:jc w:val="center"/>
              <w:ind w:right="240"/>
              <w:spacing w:after="0" w:line="129" w:lineRule="exact"/>
              <w:rPr>
                <w:sz w:val="20"/>
                <w:szCs w:val="20"/>
                <w:color w:val="auto"/>
              </w:rPr>
            </w:pPr>
            <w:r>
              <w:rPr>
                <w:rFonts w:ascii="Arial" w:cs="Arial" w:eastAsia="Arial" w:hAnsi="Arial"/>
                <w:sz w:val="12"/>
                <w:szCs w:val="12"/>
                <w:b w:val="1"/>
                <w:bCs w:val="1"/>
                <w:color w:val="auto"/>
                <w:w w:val="93"/>
              </w:rPr>
              <w:t>Number of</w:t>
            </w:r>
          </w:p>
        </w:tc>
        <w:tc>
          <w:tcPr>
            <w:tcW w:w="2380" w:type="dxa"/>
            <w:vAlign w:val="bottom"/>
            <w:gridSpan w:val="3"/>
          </w:tcPr>
          <w:p>
            <w:pPr>
              <w:jc w:val="center"/>
              <w:ind w:right="780"/>
              <w:spacing w:after="0" w:line="129" w:lineRule="exact"/>
              <w:rPr>
                <w:sz w:val="20"/>
                <w:szCs w:val="20"/>
                <w:color w:val="auto"/>
              </w:rPr>
            </w:pPr>
            <w:r>
              <w:rPr>
                <w:rFonts w:ascii="Arial" w:cs="Arial" w:eastAsia="Arial" w:hAnsi="Arial"/>
                <w:sz w:val="12"/>
                <w:szCs w:val="12"/>
                <w:b w:val="1"/>
                <w:bCs w:val="1"/>
                <w:color w:val="auto"/>
                <w:w w:val="93"/>
              </w:rPr>
              <w:t>Number of</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Securities</w:t>
            </w:r>
          </w:p>
        </w:tc>
        <w:tc>
          <w:tcPr>
            <w:tcW w:w="2380" w:type="dxa"/>
            <w:vAlign w:val="bottom"/>
            <w:gridSpan w:val="3"/>
          </w:tcPr>
          <w:p>
            <w:pPr>
              <w:jc w:val="center"/>
              <w:ind w:right="800"/>
              <w:spacing w:after="0"/>
              <w:rPr>
                <w:sz w:val="20"/>
                <w:szCs w:val="20"/>
                <w:color w:val="auto"/>
              </w:rPr>
            </w:pPr>
            <w:r>
              <w:rPr>
                <w:rFonts w:ascii="Arial" w:cs="Arial" w:eastAsia="Arial" w:hAnsi="Arial"/>
                <w:sz w:val="12"/>
                <w:szCs w:val="12"/>
                <w:b w:val="1"/>
                <w:bCs w:val="1"/>
                <w:color w:val="auto"/>
                <w:w w:val="87"/>
              </w:rPr>
              <w:t>Securities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Underlying</w:t>
            </w:r>
          </w:p>
        </w:tc>
        <w:tc>
          <w:tcPr>
            <w:tcW w:w="2380" w:type="dxa"/>
            <w:vAlign w:val="bottom"/>
            <w:gridSpan w:val="3"/>
          </w:tcPr>
          <w:p>
            <w:pPr>
              <w:jc w:val="center"/>
              <w:ind w:right="800"/>
              <w:spacing w:after="0"/>
              <w:rPr>
                <w:sz w:val="20"/>
                <w:szCs w:val="20"/>
                <w:color w:val="auto"/>
              </w:rPr>
            </w:pPr>
            <w:r>
              <w:rPr>
                <w:rFonts w:ascii="Arial" w:cs="Arial" w:eastAsia="Arial" w:hAnsi="Arial"/>
                <w:sz w:val="12"/>
                <w:szCs w:val="12"/>
                <w:b w:val="1"/>
                <w:bCs w:val="1"/>
                <w:color w:val="auto"/>
                <w:w w:val="92"/>
              </w:rPr>
              <w:t>Underlying</w:t>
            </w:r>
          </w:p>
        </w:tc>
        <w:tc>
          <w:tcPr>
            <w:tcW w:w="130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w w:val="92"/>
              </w:rPr>
              <w:t>Option</w:t>
            </w: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Unexercised</w:t>
            </w:r>
          </w:p>
        </w:tc>
        <w:tc>
          <w:tcPr>
            <w:tcW w:w="2380" w:type="dxa"/>
            <w:vAlign w:val="bottom"/>
            <w:gridSpan w:val="3"/>
          </w:tcPr>
          <w:p>
            <w:pPr>
              <w:jc w:val="center"/>
              <w:ind w:right="800"/>
              <w:spacing w:after="0"/>
              <w:rPr>
                <w:sz w:val="20"/>
                <w:szCs w:val="20"/>
                <w:color w:val="auto"/>
              </w:rPr>
            </w:pPr>
            <w:r>
              <w:rPr>
                <w:rFonts w:ascii="Arial" w:cs="Arial" w:eastAsia="Arial" w:hAnsi="Arial"/>
                <w:sz w:val="12"/>
                <w:szCs w:val="12"/>
                <w:b w:val="1"/>
                <w:bCs w:val="1"/>
                <w:color w:val="auto"/>
                <w:w w:val="86"/>
              </w:rPr>
              <w:t>Unexercised</w:t>
            </w:r>
          </w:p>
        </w:tc>
        <w:tc>
          <w:tcPr>
            <w:tcW w:w="130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w w:val="89"/>
              </w:rPr>
              <w:t>Exercise</w:t>
            </w:r>
          </w:p>
        </w:tc>
        <w:tc>
          <w:tcPr>
            <w:tcW w:w="2120" w:type="dxa"/>
            <w:vAlign w:val="bottom"/>
          </w:tcPr>
          <w:p>
            <w:pPr>
              <w:jc w:val="center"/>
              <w:spacing w:after="0"/>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Options (#)</w:t>
            </w:r>
          </w:p>
        </w:tc>
        <w:tc>
          <w:tcPr>
            <w:tcW w:w="2380" w:type="dxa"/>
            <w:vAlign w:val="bottom"/>
            <w:gridSpan w:val="3"/>
          </w:tcPr>
          <w:p>
            <w:pPr>
              <w:jc w:val="center"/>
              <w:ind w:right="800"/>
              <w:spacing w:after="0"/>
              <w:rPr>
                <w:sz w:val="20"/>
                <w:szCs w:val="20"/>
                <w:color w:val="auto"/>
              </w:rPr>
            </w:pPr>
            <w:r>
              <w:rPr>
                <w:rFonts w:ascii="Arial" w:cs="Arial" w:eastAsia="Arial" w:hAnsi="Arial"/>
                <w:sz w:val="12"/>
                <w:szCs w:val="12"/>
                <w:b w:val="1"/>
                <w:bCs w:val="1"/>
                <w:color w:val="auto"/>
                <w:w w:val="91"/>
              </w:rPr>
              <w:t>Options (#)</w:t>
            </w:r>
          </w:p>
        </w:tc>
        <w:tc>
          <w:tcPr>
            <w:tcW w:w="130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w w:val="95"/>
              </w:rPr>
              <w:t>Price</w:t>
            </w:r>
          </w:p>
        </w:tc>
        <w:tc>
          <w:tcPr>
            <w:tcW w:w="212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0" w:type="dxa"/>
            <w:vAlign w:val="bottom"/>
          </w:tcPr>
          <w:p>
            <w:pPr>
              <w:spacing w:after="0"/>
              <w:rPr>
                <w:sz w:val="1"/>
                <w:szCs w:val="1"/>
                <w:color w:val="auto"/>
              </w:rPr>
            </w:pPr>
          </w:p>
        </w:tc>
      </w:tr>
      <w:tr>
        <w:trPr>
          <w:trHeight w:val="157"/>
        </w:trPr>
        <w:tc>
          <w:tcPr>
            <w:tcW w:w="37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Exercisable</w:t>
            </w:r>
          </w:p>
        </w:tc>
        <w:tc>
          <w:tcPr>
            <w:tcW w:w="2380" w:type="dxa"/>
            <w:vAlign w:val="bottom"/>
            <w:gridSpan w:val="3"/>
          </w:tcPr>
          <w:p>
            <w:pPr>
              <w:jc w:val="center"/>
              <w:ind w:right="780"/>
              <w:spacing w:after="0"/>
              <w:rPr>
                <w:sz w:val="20"/>
                <w:szCs w:val="20"/>
                <w:color w:val="auto"/>
              </w:rPr>
            </w:pPr>
            <w:r>
              <w:rPr>
                <w:rFonts w:ascii="Arial" w:cs="Arial" w:eastAsia="Arial" w:hAnsi="Arial"/>
                <w:sz w:val="12"/>
                <w:szCs w:val="12"/>
                <w:b w:val="1"/>
                <w:bCs w:val="1"/>
                <w:color w:val="auto"/>
                <w:w w:val="88"/>
              </w:rPr>
              <w:t>Unexercisable</w:t>
            </w:r>
          </w:p>
        </w:tc>
        <w:tc>
          <w:tcPr>
            <w:tcW w:w="1200" w:type="dxa"/>
            <w:vAlign w:val="bottom"/>
          </w:tcPr>
          <w:p>
            <w:pPr>
              <w:jc w:val="center"/>
              <w:ind w:right="480"/>
              <w:spacing w:after="0"/>
              <w:rPr>
                <w:sz w:val="20"/>
                <w:szCs w:val="20"/>
                <w:color w:val="auto"/>
              </w:rPr>
            </w:pPr>
            <w:r>
              <w:rPr>
                <w:rFonts w:ascii="Arial" w:cs="Arial" w:eastAsia="Arial" w:hAnsi="Arial"/>
                <w:sz w:val="12"/>
                <w:szCs w:val="12"/>
                <w:color w:val="auto"/>
                <w:w w:val="95"/>
              </w:rPr>
              <w:t>($)</w:t>
            </w:r>
          </w:p>
        </w:tc>
        <w:tc>
          <w:tcPr>
            <w:tcW w:w="1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0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2"/>
                <w:szCs w:val="12"/>
                <w:color w:val="auto"/>
              </w:rPr>
              <w:t>Shawn K. Singh, J.D.</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20,000</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0.80</w:t>
            </w:r>
          </w:p>
        </w:tc>
        <w:tc>
          <w:tcPr>
            <w:tcW w:w="21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12/21/2016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2"/>
                <w:szCs w:val="12"/>
                <w:color w:val="auto"/>
              </w:rPr>
              <w:t>40,000</w:t>
            </w: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0.72</w:t>
            </w:r>
          </w:p>
        </w:tc>
        <w:tc>
          <w:tcPr>
            <w:tcW w:w="2120" w:type="dxa"/>
            <w:vAlign w:val="bottom"/>
          </w:tcPr>
          <w:p>
            <w:pPr>
              <w:ind w:left="580"/>
              <w:spacing w:after="0"/>
              <w:rPr>
                <w:sz w:val="20"/>
                <w:szCs w:val="20"/>
                <w:color w:val="auto"/>
              </w:rPr>
            </w:pPr>
            <w:r>
              <w:rPr>
                <w:rFonts w:ascii="Arial" w:cs="Arial" w:eastAsia="Arial" w:hAnsi="Arial"/>
                <w:sz w:val="12"/>
                <w:szCs w:val="12"/>
                <w:color w:val="auto"/>
              </w:rPr>
              <w:t>5/17/2017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20,000</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1/17/2018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2"/>
                <w:szCs w:val="12"/>
                <w:color w:val="auto"/>
              </w:rPr>
              <w:t>20,000</w:t>
            </w: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tcPr>
          <w:p>
            <w:pPr>
              <w:ind w:left="580"/>
              <w:spacing w:after="0"/>
              <w:rPr>
                <w:sz w:val="20"/>
                <w:szCs w:val="20"/>
                <w:color w:val="auto"/>
              </w:rPr>
            </w:pPr>
            <w:r>
              <w:rPr>
                <w:rFonts w:ascii="Arial" w:cs="Arial" w:eastAsia="Arial" w:hAnsi="Arial"/>
                <w:sz w:val="12"/>
                <w:szCs w:val="12"/>
                <w:color w:val="auto"/>
              </w:rPr>
              <w:t>1/17/2018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60,000</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3/24/2019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2"/>
                <w:szCs w:val="12"/>
                <w:color w:val="auto"/>
              </w:rPr>
              <w:t>22,500</w:t>
            </w: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tcPr>
          <w:p>
            <w:pPr>
              <w:ind w:left="580"/>
              <w:spacing w:after="0"/>
              <w:rPr>
                <w:sz w:val="20"/>
                <w:szCs w:val="20"/>
                <w:color w:val="auto"/>
              </w:rPr>
            </w:pPr>
            <w:r>
              <w:rPr>
                <w:rFonts w:ascii="Arial" w:cs="Arial" w:eastAsia="Arial" w:hAnsi="Arial"/>
                <w:sz w:val="12"/>
                <w:szCs w:val="12"/>
                <w:color w:val="auto"/>
              </w:rPr>
              <w:t>6/17/2019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w:t>
            </w:r>
          </w:p>
        </w:tc>
        <w:tc>
          <w:tcPr>
            <w:tcW w:w="2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11/4/2019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2"/>
                <w:szCs w:val="12"/>
                <w:color w:val="auto"/>
              </w:rPr>
              <w:t>425,000</w:t>
            </w: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tcPr>
          <w:p>
            <w:pPr>
              <w:ind w:left="580"/>
              <w:spacing w:after="0"/>
              <w:rPr>
                <w:sz w:val="20"/>
                <w:szCs w:val="20"/>
                <w:color w:val="auto"/>
              </w:rPr>
            </w:pPr>
            <w:r>
              <w:rPr>
                <w:rFonts w:ascii="Arial" w:cs="Arial" w:eastAsia="Arial" w:hAnsi="Arial"/>
                <w:sz w:val="12"/>
                <w:szCs w:val="12"/>
                <w:color w:val="auto"/>
              </w:rPr>
              <w:t>12/30/2019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72,916</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27,084</w:t>
            </w:r>
          </w:p>
        </w:tc>
        <w:tc>
          <w:tcPr>
            <w:tcW w:w="5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4/25/2021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2"/>
                <w:szCs w:val="12"/>
                <w:color w:val="auto"/>
              </w:rPr>
              <w:t>80,338</w:t>
            </w: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tcPr>
          <w:p>
            <w:pPr>
              <w:ind w:left="580"/>
              <w:spacing w:after="0"/>
              <w:rPr>
                <w:sz w:val="20"/>
                <w:szCs w:val="20"/>
                <w:color w:val="auto"/>
              </w:rPr>
            </w:pPr>
            <w:r>
              <w:rPr>
                <w:rFonts w:ascii="Arial" w:cs="Arial" w:eastAsia="Arial" w:hAnsi="Arial"/>
                <w:sz w:val="12"/>
                <w:szCs w:val="12"/>
                <w:color w:val="auto"/>
              </w:rPr>
              <w:t>12/31/2016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35,714</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12/31/2016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2"/>
                <w:szCs w:val="12"/>
                <w:color w:val="auto"/>
              </w:rPr>
              <w:t>50,000</w:t>
            </w: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tcPr>
          <w:p>
            <w:pPr>
              <w:ind w:left="580"/>
              <w:spacing w:after="0"/>
              <w:rPr>
                <w:sz w:val="20"/>
                <w:szCs w:val="20"/>
                <w:color w:val="auto"/>
              </w:rPr>
            </w:pPr>
            <w:r>
              <w:rPr>
                <w:rFonts w:ascii="Arial" w:cs="Arial" w:eastAsia="Arial" w:hAnsi="Arial"/>
                <w:sz w:val="12"/>
                <w:szCs w:val="12"/>
                <w:color w:val="auto"/>
              </w:rPr>
              <w:t>12/6/2017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100,000</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w:t>
            </w:r>
          </w:p>
        </w:tc>
        <w:tc>
          <w:tcPr>
            <w:tcW w:w="21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7/30/2016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690,000</w:t>
            </w:r>
          </w:p>
        </w:tc>
        <w:tc>
          <w:tcPr>
            <w:tcW w:w="220" w:type="dxa"/>
            <w:vAlign w:val="bottom"/>
          </w:tcPr>
          <w:p>
            <w:pPr>
              <w:spacing w:after="0"/>
              <w:rPr>
                <w:sz w:val="12"/>
                <w:szCs w:val="12"/>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2"/>
                <w:szCs w:val="12"/>
                <w:color w:val="auto"/>
              </w:rPr>
              <w:t>750,000</w:t>
            </w:r>
            <w:r>
              <w:rPr>
                <w:rFonts w:ascii="Arial" w:cs="Arial" w:eastAsia="Arial" w:hAnsi="Arial"/>
                <w:sz w:val="8"/>
                <w:szCs w:val="8"/>
                <w:color w:val="auto"/>
              </w:rPr>
              <w:t>(1)</w:t>
            </w:r>
          </w:p>
        </w:tc>
        <w:tc>
          <w:tcPr>
            <w:tcW w:w="540" w:type="dxa"/>
            <w:vAlign w:val="bottom"/>
          </w:tcPr>
          <w:p>
            <w:pPr>
              <w:spacing w:after="0"/>
              <w:rPr>
                <w:sz w:val="12"/>
                <w:szCs w:val="1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0.64</w:t>
            </w:r>
          </w:p>
        </w:tc>
        <w:tc>
          <w:tcPr>
            <w:tcW w:w="2120" w:type="dxa"/>
            <w:vAlign w:val="bottom"/>
          </w:tcPr>
          <w:p>
            <w:pPr>
              <w:ind w:left="580"/>
              <w:spacing w:after="0"/>
              <w:rPr>
                <w:sz w:val="20"/>
                <w:szCs w:val="20"/>
                <w:color w:val="auto"/>
              </w:rPr>
            </w:pPr>
            <w:r>
              <w:rPr>
                <w:rFonts w:ascii="Arial" w:cs="Arial" w:eastAsia="Arial" w:hAnsi="Arial"/>
                <w:sz w:val="12"/>
                <w:szCs w:val="12"/>
                <w:color w:val="auto"/>
              </w:rPr>
              <w:t>3/3/2023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2,636,468</w:t>
            </w:r>
          </w:p>
        </w:tc>
        <w:tc>
          <w:tcPr>
            <w:tcW w:w="220" w:type="dxa"/>
            <w:vAlign w:val="bottom"/>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777,084</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2"/>
                <w:szCs w:val="12"/>
                <w:color w:val="auto"/>
              </w:rPr>
              <w:t>H. Ralph Snodgrass, Ph.D.</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50,000</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3/24/2019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2"/>
                <w:szCs w:val="12"/>
                <w:color w:val="auto"/>
              </w:rPr>
              <w:t>25,000</w:t>
            </w: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tcPr>
          <w:p>
            <w:pPr>
              <w:ind w:left="580"/>
              <w:spacing w:after="0"/>
              <w:rPr>
                <w:sz w:val="20"/>
                <w:szCs w:val="20"/>
                <w:color w:val="auto"/>
              </w:rPr>
            </w:pPr>
            <w:r>
              <w:rPr>
                <w:rFonts w:ascii="Arial" w:cs="Arial" w:eastAsia="Arial" w:hAnsi="Arial"/>
                <w:sz w:val="12"/>
                <w:szCs w:val="12"/>
                <w:color w:val="auto"/>
              </w:rPr>
              <w:t>6/17/2014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6,362</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0.88</w:t>
            </w:r>
          </w:p>
        </w:tc>
        <w:tc>
          <w:tcPr>
            <w:tcW w:w="21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12/20/2016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2"/>
                <w:szCs w:val="12"/>
                <w:color w:val="auto"/>
              </w:rPr>
              <w:t>250,000</w:t>
            </w: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tcPr>
          <w:p>
            <w:pPr>
              <w:ind w:left="580"/>
              <w:spacing w:after="0"/>
              <w:rPr>
                <w:sz w:val="20"/>
                <w:szCs w:val="20"/>
                <w:color w:val="auto"/>
              </w:rPr>
            </w:pPr>
            <w:r>
              <w:rPr>
                <w:rFonts w:ascii="Arial" w:cs="Arial" w:eastAsia="Arial" w:hAnsi="Arial"/>
                <w:sz w:val="12"/>
                <w:szCs w:val="12"/>
                <w:color w:val="auto"/>
              </w:rPr>
              <w:t>12/30/2019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72,916</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27,084</w:t>
            </w:r>
          </w:p>
        </w:tc>
        <w:tc>
          <w:tcPr>
            <w:tcW w:w="5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4/25/2021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2"/>
                <w:szCs w:val="12"/>
                <w:color w:val="auto"/>
              </w:rPr>
              <w:t>500,000</w:t>
            </w:r>
          </w:p>
        </w:tc>
        <w:tc>
          <w:tcPr>
            <w:tcW w:w="1840" w:type="dxa"/>
            <w:vAlign w:val="bottom"/>
            <w:gridSpan w:val="2"/>
          </w:tcPr>
          <w:p>
            <w:pPr>
              <w:jc w:val="right"/>
              <w:ind w:right="120"/>
              <w:spacing w:after="0"/>
              <w:rPr>
                <w:sz w:val="20"/>
                <w:szCs w:val="20"/>
                <w:color w:val="auto"/>
              </w:rPr>
            </w:pPr>
            <w:r>
              <w:rPr>
                <w:rFonts w:ascii="Arial" w:cs="Arial" w:eastAsia="Arial" w:hAnsi="Arial"/>
                <w:sz w:val="12"/>
                <w:szCs w:val="12"/>
                <w:color w:val="auto"/>
              </w:rPr>
              <w:t>500,000</w:t>
            </w:r>
            <w:r>
              <w:rPr>
                <w:rFonts w:ascii="Arial" w:cs="Arial" w:eastAsia="Arial" w:hAnsi="Arial"/>
                <w:sz w:val="8"/>
                <w:szCs w:val="8"/>
                <w:color w:val="auto"/>
              </w:rPr>
              <w:t>(1)</w:t>
            </w:r>
          </w:p>
        </w:tc>
        <w:tc>
          <w:tcPr>
            <w:tcW w:w="540" w:type="dxa"/>
            <w:vAlign w:val="bottom"/>
          </w:tcPr>
          <w:p>
            <w:pPr>
              <w:spacing w:after="0"/>
              <w:rPr>
                <w:sz w:val="12"/>
                <w:szCs w:val="1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0.64</w:t>
            </w:r>
          </w:p>
        </w:tc>
        <w:tc>
          <w:tcPr>
            <w:tcW w:w="2120" w:type="dxa"/>
            <w:vAlign w:val="bottom"/>
          </w:tcPr>
          <w:p>
            <w:pPr>
              <w:ind w:left="580"/>
              <w:spacing w:after="0"/>
              <w:rPr>
                <w:sz w:val="20"/>
                <w:szCs w:val="20"/>
                <w:color w:val="auto"/>
              </w:rPr>
            </w:pPr>
            <w:r>
              <w:rPr>
                <w:rFonts w:ascii="Arial" w:cs="Arial" w:eastAsia="Arial" w:hAnsi="Arial"/>
                <w:sz w:val="12"/>
                <w:szCs w:val="12"/>
                <w:color w:val="auto"/>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50,000</w:t>
            </w:r>
            <w:r>
              <w:rPr>
                <w:rFonts w:ascii="Arial" w:cs="Arial" w:eastAsia="Arial" w:hAnsi="Arial"/>
                <w:sz w:val="8"/>
                <w:szCs w:val="8"/>
                <w:color w:val="auto"/>
              </w:rPr>
              <w:t>(2)</w:t>
            </w:r>
          </w:p>
        </w:tc>
        <w:tc>
          <w:tcPr>
            <w:tcW w:w="5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3/19/2024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2"/>
                <w:szCs w:val="12"/>
                <w:color w:val="auto"/>
              </w:rPr>
              <w:t>150,000</w:t>
            </w:r>
            <w:r>
              <w:rPr>
                <w:rFonts w:ascii="Arial" w:cs="Arial" w:eastAsia="Arial" w:hAnsi="Arial"/>
                <w:sz w:val="8"/>
                <w:szCs w:val="8"/>
                <w:color w:val="auto"/>
              </w:rPr>
              <w:t>(2)</w:t>
            </w:r>
          </w:p>
        </w:tc>
        <w:tc>
          <w:tcPr>
            <w:tcW w:w="540" w:type="dxa"/>
            <w:vAlign w:val="bottom"/>
          </w:tcPr>
          <w:p>
            <w:pPr>
              <w:spacing w:after="0"/>
              <w:rPr>
                <w:sz w:val="12"/>
                <w:szCs w:val="1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tcPr>
          <w:p>
            <w:pPr>
              <w:ind w:left="580"/>
              <w:spacing w:after="0"/>
              <w:rPr>
                <w:sz w:val="20"/>
                <w:szCs w:val="20"/>
                <w:color w:val="auto"/>
              </w:rPr>
            </w:pPr>
            <w:r>
              <w:rPr>
                <w:rFonts w:ascii="Arial" w:cs="Arial" w:eastAsia="Arial" w:hAnsi="Arial"/>
                <w:sz w:val="12"/>
                <w:szCs w:val="12"/>
                <w:color w:val="auto"/>
              </w:rPr>
              <w:t>3/19/2024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904,278</w:t>
            </w:r>
          </w:p>
        </w:tc>
        <w:tc>
          <w:tcPr>
            <w:tcW w:w="220" w:type="dxa"/>
            <w:vAlign w:val="bottom"/>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727,084</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2"/>
                <w:szCs w:val="12"/>
                <w:color w:val="auto"/>
              </w:rPr>
              <w:t>Jerrold D. Dotson</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74,782</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25,218</w:t>
            </w:r>
          </w:p>
        </w:tc>
        <w:tc>
          <w:tcPr>
            <w:tcW w:w="5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10/30/2022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2"/>
                <w:szCs w:val="12"/>
                <w:color w:val="auto"/>
              </w:rPr>
              <w:t>4,166</w:t>
            </w: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15,834</w:t>
            </w:r>
          </w:p>
        </w:tc>
        <w:tc>
          <w:tcPr>
            <w:tcW w:w="540" w:type="dxa"/>
            <w:vAlign w:val="bottom"/>
          </w:tcPr>
          <w:p>
            <w:pPr>
              <w:spacing w:after="0"/>
              <w:rPr>
                <w:sz w:val="12"/>
                <w:szCs w:val="1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0.40</w:t>
            </w:r>
          </w:p>
        </w:tc>
        <w:tc>
          <w:tcPr>
            <w:tcW w:w="2120" w:type="dxa"/>
            <w:vAlign w:val="bottom"/>
          </w:tcPr>
          <w:p>
            <w:pPr>
              <w:ind w:left="580"/>
              <w:spacing w:after="0"/>
              <w:rPr>
                <w:sz w:val="20"/>
                <w:szCs w:val="20"/>
                <w:color w:val="auto"/>
              </w:rPr>
            </w:pPr>
            <w:r>
              <w:rPr>
                <w:rFonts w:ascii="Arial" w:cs="Arial" w:eastAsia="Arial" w:hAnsi="Arial"/>
                <w:sz w:val="12"/>
                <w:szCs w:val="12"/>
                <w:color w:val="auto"/>
              </w:rPr>
              <w:t>10/27/2023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100,000</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100,000</w:t>
            </w:r>
            <w:r>
              <w:rPr>
                <w:rFonts w:ascii="Arial" w:cs="Arial" w:eastAsia="Arial" w:hAnsi="Arial"/>
                <w:sz w:val="8"/>
                <w:szCs w:val="8"/>
                <w:color w:val="auto"/>
              </w:rPr>
              <w:t>(1)</w:t>
            </w:r>
          </w:p>
        </w:tc>
        <w:tc>
          <w:tcPr>
            <w:tcW w:w="5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0.64</w:t>
            </w:r>
          </w:p>
        </w:tc>
        <w:tc>
          <w:tcPr>
            <w:tcW w:w="21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2"/>
                <w:szCs w:val="12"/>
                <w:color w:val="auto"/>
              </w:rPr>
              <w:t>100,000</w:t>
            </w:r>
            <w:r>
              <w:rPr>
                <w:rFonts w:ascii="Arial" w:cs="Arial" w:eastAsia="Arial" w:hAnsi="Arial"/>
                <w:sz w:val="8"/>
                <w:szCs w:val="8"/>
                <w:color w:val="auto"/>
              </w:rPr>
              <w:t>(2)</w:t>
            </w:r>
          </w:p>
        </w:tc>
        <w:tc>
          <w:tcPr>
            <w:tcW w:w="540" w:type="dxa"/>
            <w:vAlign w:val="bottom"/>
          </w:tcPr>
          <w:p>
            <w:pPr>
              <w:spacing w:after="0"/>
              <w:rPr>
                <w:sz w:val="12"/>
                <w:szCs w:val="1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0.50</w:t>
            </w:r>
          </w:p>
        </w:tc>
        <w:tc>
          <w:tcPr>
            <w:tcW w:w="2120" w:type="dxa"/>
            <w:vAlign w:val="bottom"/>
          </w:tcPr>
          <w:p>
            <w:pPr>
              <w:ind w:left="580"/>
              <w:spacing w:after="0"/>
              <w:rPr>
                <w:sz w:val="20"/>
                <w:szCs w:val="20"/>
                <w:color w:val="auto"/>
              </w:rPr>
            </w:pPr>
            <w:r>
              <w:rPr>
                <w:rFonts w:ascii="Arial" w:cs="Arial" w:eastAsia="Arial" w:hAnsi="Arial"/>
                <w:sz w:val="12"/>
                <w:szCs w:val="12"/>
                <w:color w:val="auto"/>
              </w:rPr>
              <w:t>3/19/2024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178,948</w:t>
            </w:r>
          </w:p>
        </w:tc>
        <w:tc>
          <w:tcPr>
            <w:tcW w:w="220" w:type="dxa"/>
            <w:vAlign w:val="bottom"/>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241,052</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868" w:right="20" w:hanging="868"/>
        <w:spacing w:after="0" w:line="224" w:lineRule="auto"/>
        <w:tabs>
          <w:tab w:leader="none" w:pos="868" w:val="left"/>
        </w:tabs>
        <w:numPr>
          <w:ilvl w:val="0"/>
          <w:numId w:val="53"/>
        </w:numPr>
        <w:rPr>
          <w:rFonts w:ascii="Arial" w:cs="Arial" w:eastAsia="Arial" w:hAnsi="Arial"/>
          <w:sz w:val="17"/>
          <w:szCs w:val="17"/>
          <w:color w:val="auto"/>
          <w:vertAlign w:val="superscript"/>
        </w:rPr>
      </w:pPr>
      <w:r>
        <w:rPr>
          <w:rFonts w:ascii="Arial" w:cs="Arial" w:eastAsia="Arial" w:hAnsi="Arial"/>
          <w:sz w:val="12"/>
          <w:szCs w:val="12"/>
          <w:color w:val="auto"/>
        </w:rPr>
        <w:t>Represents warrant to purchase restricted shares of our common stock granted on March 3, 2013 at the market price of our common stock on the grant date. At March 31, 2014, the warrant is exercisable for 50% of the shares and becomes exercisable for 25% of the shares on April 1, 2014 and will become fully vested on April 1, 2015 or upon a change in control of the Company, as defined, or upon the consummation by the Company and a third party of a license or sale transaction involving at least one new Drug Rescue Variant</w:t>
      </w:r>
      <w:r>
        <w:rPr>
          <w:rFonts w:ascii="Arial" w:cs="Arial" w:eastAsia="Arial" w:hAnsi="Arial"/>
          <w:sz w:val="12"/>
          <w:szCs w:val="12"/>
          <w:i w:val="1"/>
          <w:iCs w:val="1"/>
          <w:color w:val="auto"/>
        </w:rPr>
        <w:t>.</w:t>
      </w:r>
    </w:p>
    <w:p>
      <w:pPr>
        <w:spacing w:after="0" w:line="136" w:lineRule="exact"/>
        <w:rPr>
          <w:rFonts w:ascii="Arial" w:cs="Arial" w:eastAsia="Arial" w:hAnsi="Arial"/>
          <w:sz w:val="17"/>
          <w:szCs w:val="17"/>
          <w:color w:val="auto"/>
          <w:vertAlign w:val="superscript"/>
        </w:rPr>
      </w:pPr>
    </w:p>
    <w:p>
      <w:pPr>
        <w:jc w:val="both"/>
        <w:ind w:left="868" w:right="20" w:hanging="847"/>
        <w:spacing w:after="0" w:line="224" w:lineRule="auto"/>
        <w:tabs>
          <w:tab w:leader="none" w:pos="868" w:val="left"/>
        </w:tabs>
        <w:numPr>
          <w:ilvl w:val="1"/>
          <w:numId w:val="53"/>
        </w:numPr>
        <w:rPr>
          <w:rFonts w:ascii="Arial" w:cs="Arial" w:eastAsia="Arial" w:hAnsi="Arial"/>
          <w:sz w:val="17"/>
          <w:szCs w:val="17"/>
          <w:color w:val="auto"/>
          <w:vertAlign w:val="superscript"/>
        </w:rPr>
      </w:pPr>
      <w:r>
        <w:rPr>
          <w:rFonts w:ascii="Arial" w:cs="Arial" w:eastAsia="Arial" w:hAnsi="Arial"/>
          <w:sz w:val="12"/>
          <w:szCs w:val="12"/>
          <w:color w:val="auto"/>
        </w:rPr>
        <w:t>Represents warrant to purchase restricted shares of our common stock granted on March 19, 2014 when the market price of our common stock was $0.46 per share. The warrant becomes exercisable for 50% of the shares on April 1, 2014, 25% of the shares on April 1, 2015 and 25% of the shares on April 1, 2016, provided that the warrant will become fully vested upon a change in control of the Company, as defined, or upon the consummation by the Company and a third party of a license or sale transaction involving at least one new Drug Rescue Variant.</w:t>
      </w:r>
    </w:p>
    <w:p>
      <w:pPr>
        <w:spacing w:after="0" w:line="2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100" w:name="page101"/>
    <w:bookmarkEnd w:id="100"/>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Employment or Severance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have employment agreements with Mr. Singh and Dr. Snodgrass.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Singh Agreement</w:t>
      </w:r>
    </w:p>
    <w:p>
      <w:pPr>
        <w:spacing w:after="0" w:line="150"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We entered into an employment agreement with Mr. Singh on April 28, 2010. Under the agreement, as amended on May 9, 2011, Mr. Singh’s base salary is $347,500 per year. However, Mr. Singh has not received his full base salary in any fiscal year since he entered into his agreement in 2010. In each of our fiscal years ended March 31, 2014, 2013, 2012 and 2011, Mr. Singh voluntarily reduced his base salary to $250,000, $201,646, 292,268 and $168,274, respectively, to conserve cash for our operations. Although, under his agreement, Mr. Singh is eligible to receive an annual incentive cash bonus of up to 50% of his base salary, he has voluntarily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94" w:lineRule="exact"/>
        <w:rPr>
          <w:sz w:val="20"/>
          <w:szCs w:val="20"/>
          <w:color w:val="auto"/>
        </w:rPr>
      </w:pPr>
    </w:p>
    <w:p>
      <w:pPr>
        <w:ind w:left="800" w:hanging="444"/>
        <w:spacing w:after="0"/>
        <w:tabs>
          <w:tab w:leader="none" w:pos="800" w:val="left"/>
        </w:tabs>
        <w:numPr>
          <w:ilvl w:val="1"/>
          <w:numId w:val="54"/>
        </w:numPr>
        <w:rPr>
          <w:rFonts w:ascii="Arial" w:cs="Arial" w:eastAsia="Arial" w:hAnsi="Arial"/>
          <w:sz w:val="12"/>
          <w:szCs w:val="12"/>
          <w:color w:val="auto"/>
        </w:rPr>
      </w:pPr>
      <w:r>
        <w:rPr>
          <w:rFonts w:ascii="Arial" w:cs="Arial" w:eastAsia="Arial" w:hAnsi="Arial"/>
          <w:sz w:val="12"/>
          <w:szCs w:val="12"/>
          <w:color w:val="auto"/>
        </w:rPr>
        <w:t>twelve months of his then-current base salary payable in the form of salary continuation;</w:t>
      </w:r>
    </w:p>
    <w:p>
      <w:pPr>
        <w:spacing w:after="0" w:line="150" w:lineRule="exact"/>
        <w:rPr>
          <w:rFonts w:ascii="Arial" w:cs="Arial" w:eastAsia="Arial" w:hAnsi="Arial"/>
          <w:sz w:val="12"/>
          <w:szCs w:val="12"/>
          <w:color w:val="auto"/>
        </w:rPr>
      </w:pPr>
    </w:p>
    <w:p>
      <w:pPr>
        <w:ind w:left="760" w:hanging="426"/>
        <w:spacing w:after="0"/>
        <w:tabs>
          <w:tab w:leader="none" w:pos="7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 pro-rated portion of the incentive cash bonus that the board of directors determines in good faith that Mr. Singh earned prior to his termination; and</w:t>
      </w:r>
    </w:p>
    <w:p>
      <w:pPr>
        <w:spacing w:after="0" w:line="150" w:lineRule="exact"/>
        <w:rPr>
          <w:rFonts w:ascii="Arial" w:cs="Arial" w:eastAsia="Arial" w:hAnsi="Arial"/>
          <w:sz w:val="12"/>
          <w:szCs w:val="12"/>
          <w:color w:val="auto"/>
        </w:rPr>
      </w:pPr>
    </w:p>
    <w:p>
      <w:pPr>
        <w:ind w:left="760" w:hanging="426"/>
        <w:spacing w:after="0"/>
        <w:tabs>
          <w:tab w:leader="none" w:pos="7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such amounts required to reimburse him for Consolidated Omnibus Budget Reconciliation Act (</w:t>
      </w:r>
      <w:r>
        <w:rPr>
          <w:rFonts w:ascii="Arial" w:cs="Arial" w:eastAsia="Arial" w:hAnsi="Arial"/>
          <w:sz w:val="12"/>
          <w:szCs w:val="12"/>
          <w:i w:val="1"/>
          <w:iCs w:val="1"/>
          <w:color w:val="auto"/>
        </w:rPr>
        <w:t>COBRA</w:t>
      </w:r>
      <w:r>
        <w:rPr>
          <w:rFonts w:ascii="Arial" w:cs="Arial" w:eastAsia="Arial" w:hAnsi="Arial"/>
          <w:sz w:val="12"/>
          <w:szCs w:val="12"/>
          <w:color w:val="auto"/>
        </w:rPr>
        <w:t>) payments for continuation of his medical health benefits for such twelve-month period.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In addition, in the event Mr. Singh terminates his employment with good reason following a change of control, he is entitled to twelve months of his then-current base salary payable in the form of salary continuation.</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In December 2006, we accepted a full-recourse promissory note in the amount of $103,411 from Mr. Singh in payment of the exercise price for options and warrants to purchase an aggregate of 126,389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2014 and 2013, we had accrued $101,936 as an estimate of the gross-up amount. However, at Mr. Singh’s suggestion, we have not yet paid such amount to Mr. Singh to conserve capital for our operations. See Notes 9 and 14 to our audited consolidated financial statements that are included elsewhere in this prospectus.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Snodgrass Agreement</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entered into an employment agreement with Dr. Snodgrass on April 28, 2010. As amended on May 9, 2011, under the agreement, Dr. Snodgrass’s base salary is $305,000 per year. However, Dr. Snodgrass has not received his full base salary in any fiscal year since he entered into his agreement in 2010. In each of our fiscal years ended March 31, 2014, 2013, 2012 and 2011, Dr. Snodgrass voluntarily reduced his annual salary to $250,000, $203,086, $249,266 and $141,486, respectively, to conserve cash for our operations. Dr. Snodgrass is eligible to receive an annual incentive cash bonus of up to 50% of his base salary. Payment of his annual incentive bonus is at the discretion of the board of directors. In the event we terminate Dr. Snodgrass’s employment without cause, he is entitled to receive severance in an amount equal to</w:t>
      </w:r>
    </w:p>
    <w:p>
      <w:pPr>
        <w:spacing w:after="0" w:line="143" w:lineRule="exact"/>
        <w:rPr>
          <w:sz w:val="20"/>
          <w:szCs w:val="20"/>
          <w:color w:val="auto"/>
        </w:rPr>
      </w:pPr>
    </w:p>
    <w:p>
      <w:pPr>
        <w:ind w:left="760" w:hanging="426"/>
        <w:spacing w:after="0"/>
        <w:tabs>
          <w:tab w:leader="none" w:pos="7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twelve months of his then-current base salary payable in the form of salary continuation;</w:t>
      </w:r>
    </w:p>
    <w:p>
      <w:pPr>
        <w:spacing w:after="0" w:line="150" w:lineRule="exact"/>
        <w:rPr>
          <w:rFonts w:ascii="Arial" w:cs="Arial" w:eastAsia="Arial" w:hAnsi="Arial"/>
          <w:sz w:val="12"/>
          <w:szCs w:val="12"/>
          <w:color w:val="auto"/>
        </w:rPr>
      </w:pPr>
    </w:p>
    <w:p>
      <w:pPr>
        <w:ind w:left="760" w:hanging="426"/>
        <w:spacing w:after="0"/>
        <w:tabs>
          <w:tab w:leader="none" w:pos="7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 pro-rated portion of the incentive bonus that the board of directors determines in good faith that Dr. Snodgrass earned prior to his termination; and</w:t>
      </w:r>
    </w:p>
    <w:p>
      <w:pPr>
        <w:spacing w:after="0" w:line="150" w:lineRule="exact"/>
        <w:rPr>
          <w:rFonts w:ascii="Arial" w:cs="Arial" w:eastAsia="Arial" w:hAnsi="Arial"/>
          <w:sz w:val="12"/>
          <w:szCs w:val="12"/>
          <w:color w:val="auto"/>
        </w:rPr>
      </w:pPr>
    </w:p>
    <w:p>
      <w:pPr>
        <w:ind w:left="760" w:hanging="426"/>
        <w:spacing w:after="0"/>
        <w:tabs>
          <w:tab w:leader="none" w:pos="7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such amounts required to reimburse him for COBRA payments for continuation of his medical health benefits for such twelve-month period.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01" w:name="page102"/>
    <w:bookmarkEnd w:id="101"/>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In addition, in the event Dr. Snodgrass terminates his employment with good reason, he is entitled to twelve months of his then-current base salary payable in the form of salary continuation.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of Control Provisions</w:t>
      </w:r>
    </w:p>
    <w:p>
      <w:pPr>
        <w:spacing w:after="0" w:line="150" w:lineRule="exact"/>
        <w:rPr>
          <w:sz w:val="20"/>
          <w:szCs w:val="20"/>
          <w:color w:val="auto"/>
        </w:rPr>
      </w:pPr>
    </w:p>
    <w:p>
      <w:pPr>
        <w:spacing w:after="0" w:line="380" w:lineRule="auto"/>
        <w:rPr>
          <w:sz w:val="20"/>
          <w:szCs w:val="20"/>
          <w:color w:val="auto"/>
        </w:rPr>
      </w:pPr>
      <w:r>
        <w:rPr>
          <w:rFonts w:ascii="Arial" w:cs="Arial" w:eastAsia="Arial" w:hAnsi="Arial"/>
          <w:sz w:val="10"/>
          <w:szCs w:val="10"/>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effected by us without the executive’s consent (subject to our right to cure):</w:t>
      </w:r>
    </w:p>
    <w:p>
      <w:pPr>
        <w:spacing w:after="0" w:line="68" w:lineRule="exact"/>
        <w:rPr>
          <w:sz w:val="20"/>
          <w:szCs w:val="20"/>
          <w:color w:val="auto"/>
        </w:rPr>
      </w:pPr>
    </w:p>
    <w:p>
      <w:pPr>
        <w:ind w:left="760" w:hanging="422"/>
        <w:spacing w:after="0"/>
        <w:tabs>
          <w:tab w:leader="none" w:pos="7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a material reduction in the executive’s responsibility; or</w:t>
      </w:r>
    </w:p>
    <w:p>
      <w:pPr>
        <w:spacing w:after="0" w:line="168" w:lineRule="exact"/>
        <w:rPr>
          <w:rFonts w:ascii="Arial" w:cs="Arial" w:eastAsia="Arial" w:hAnsi="Arial"/>
          <w:sz w:val="12"/>
          <w:szCs w:val="12"/>
          <w:color w:val="auto"/>
        </w:rPr>
      </w:pPr>
    </w:p>
    <w:p>
      <w:pPr>
        <w:ind w:left="800" w:hanging="444"/>
        <w:spacing w:after="0"/>
        <w:tabs>
          <w:tab w:leader="none" w:pos="800" w:val="left"/>
        </w:tabs>
        <w:numPr>
          <w:ilvl w:val="1"/>
          <w:numId w:val="56"/>
        </w:numPr>
        <w:rPr>
          <w:rFonts w:ascii="Arial" w:cs="Arial" w:eastAsia="Arial" w:hAnsi="Arial"/>
          <w:sz w:val="12"/>
          <w:szCs w:val="12"/>
          <w:color w:val="auto"/>
        </w:rPr>
      </w:pPr>
      <w:r>
        <w:rPr>
          <w:rFonts w:ascii="Arial" w:cs="Arial" w:eastAsia="Arial" w:hAnsi="Arial"/>
          <w:sz w:val="12"/>
          <w:szCs w:val="12"/>
          <w:color w:val="auto"/>
        </w:rPr>
        <w:t>a material reduction in the executive’s base salary following the Merger except for reductions that are comparable to reductions generally applicable to similarly situated executives of the Company.</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Furthermore, pursuant to their respective employment agreements and their stock option award agreements as amended, in the event we terminate the executive without cause within twelve months of a change of control, the executive’s remaining unvested shares become fully vested and exercisable. Upon a change of control in which the successor corporation does not assume the executive’s stock options, the stock options granted to the executive become fully vested and exercisable.</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Pursuant to their respective employment agreements, a change of control occurs when: (i) any “person” as such term is used in Sections 13(d) and 14(d) of the Securities Exchange Act of 1934, as amended (other than the Company, a subsidiary, an affiliate, or the Company employee benefit plan, including any trustee of such plan acting as trustee), becoming the “beneficial owner” (as defined in Rule 13d-3 under the Exchange Act), directly or indirectly, of securities of the Company representing 50% or more of the combined voting power of the Company’s then outstanding securities; (ii) a sale of substantially all of the Company’s assets; or (iii) any merger or reorganization of the Company whether or not another entity is the survivor, pursuant to which the holders of all the shares of capital stock of the Company outstanding prior to the transaction hold, as a group, fewer than 50% of the shares of capital stock of the Company outstanding after the transaction.</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Pursuant to their respective employment agreements, the estimated amount that could be paid by us assuming that a change of control occurred on the last business day of our current fiscal year, is $347,500 for Mr. Singh and $305,000 for Dr. Snodgrass, excluding the imputed value of accelerated vesting of incentive stock options, if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Employee Benefit Plans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Grants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of March 31, 2014, options to purchase a total of 4,249,271 shares of common stock are outstanding at a weighted average exercise price of $0.50 per share, of which 3,655,061 options are vested and exercisable at a weighted average exercise price of $0.50 per share and 593,867 are unvested and unexercisable at a weighted average exercise price of $0.51 per share. These options were issued under our 2008 Plan and our 1999 Plan, each as more particularly described below. At March 31, 2014, an additional 735,200 shares remain available for future equity grants under our 2008 Plan.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02" w:name="page103"/>
    <w:bookmarkEnd w:id="102"/>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2008 Stock Incentive Plan</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Our stockholders adopted our 2008 Stock Incentive Plan (</w:t>
      </w:r>
      <w:r>
        <w:rPr>
          <w:rFonts w:ascii="Arial" w:cs="Arial" w:eastAsia="Arial" w:hAnsi="Arial"/>
          <w:sz w:val="11"/>
          <w:szCs w:val="11"/>
          <w:i w:val="1"/>
          <w:iCs w:val="1"/>
          <w:color w:val="auto"/>
        </w:rPr>
        <w:t>2008 Plan</w:t>
      </w:r>
      <w:r>
        <w:rPr>
          <w:rFonts w:ascii="Arial" w:cs="Arial" w:eastAsia="Arial" w:hAnsi="Arial"/>
          <w:sz w:val="11"/>
          <w:szCs w:val="11"/>
          <w:color w:val="auto"/>
        </w:rPr>
        <w:t xml:space="preserve">) on December 19, 2008. The maximum number of shares of our common stock that may be granted pursuant to the 2008 Plan is currently 5,000,000.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Arial" w:cs="Arial" w:eastAsia="Arial" w:hAnsi="Arial"/>
          <w:sz w:val="11"/>
          <w:szCs w:val="11"/>
          <w:i w:val="1"/>
          <w:iCs w:val="1"/>
          <w:color w:val="auto"/>
        </w:rPr>
        <w:t>Code</w:t>
      </w:r>
      <w:r>
        <w:rPr>
          <w:rFonts w:ascii="Arial" w:cs="Arial" w:eastAsia="Arial" w:hAnsi="Arial"/>
          <w:sz w:val="11"/>
          <w:szCs w:val="11"/>
          <w:color w:val="auto"/>
        </w:rPr>
        <w:t>), is 5,000,000.</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our employees. Awards other than incentive stock options may be granted to employees, directors and consultants.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board of directors or the compensation committee of the board of directors, referred to as the “Administrator”, administers our 2008 Plan, including selecting the award recipients, determining the number of shares to be subject to each award, determining the exercise or purchase price of each award and determining the vesting and exercise periods of each award.</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exercise price of all incentive stock options granted under our 2008 Plan must be at least equal to 100% of the fair market value of the shares on the date of grant. However, incentive stock options granted to an employee who owns stock possessing more than 10% of the voting power of all classes of our stock or the stock of any parent or subsidiary of us, must have an exercise price of not less than 110% of the fair market value on the grant date. The maximum term of these incentive stock options granted to employees who own stock possessing more than 10% of the voting power of all classes of our stock or the stock of any parent or subsidiary of us must not exceed five years. The maximum term of an incentive stock option granted to any other participant must not exceed ten years. The Administrator will determine the term and exercise or purchase price of all other awards granted under our 2008 Plan.</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15" w:lineRule="exact"/>
        <w:rPr>
          <w:sz w:val="20"/>
          <w:szCs w:val="20"/>
          <w:color w:val="auto"/>
        </w:rPr>
      </w:pPr>
    </w:p>
    <w:p>
      <w:pPr>
        <w:ind w:left="680" w:hanging="377"/>
        <w:spacing w:after="0"/>
        <w:tabs>
          <w:tab w:leader="none" w:pos="6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by will and by the laws of descent and distribution; and</w:t>
      </w:r>
    </w:p>
    <w:p>
      <w:pPr>
        <w:spacing w:after="0" w:line="168" w:lineRule="exact"/>
        <w:rPr>
          <w:rFonts w:ascii="Arial" w:cs="Arial" w:eastAsia="Arial" w:hAnsi="Arial"/>
          <w:sz w:val="12"/>
          <w:szCs w:val="12"/>
          <w:color w:val="auto"/>
        </w:rPr>
      </w:pPr>
    </w:p>
    <w:p>
      <w:pPr>
        <w:ind w:left="680" w:hanging="377"/>
        <w:spacing w:after="0"/>
        <w:tabs>
          <w:tab w:leader="none" w:pos="6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during the lifetime of the participant, to the extent and in the manner authorized by the Administrator by gift or pursuant to a domestic relations order to members of the participant’s immediate family.</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The 2008 Plan permits the designation of beneficiaries by holders of awards, including incentive stock options. In the event of termination of a participant’s service for any reason other than disability or death, such participant may, but only during the period specified in the award agreement of not less than 30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which have become exercisable prior to the time of termination, will remain exercisable for twelve months from the date of termination (unless a shorter or longer period of time is determined by the Administrator).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03" w:name="page104"/>
    <w:bookmarkEnd w:id="103"/>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Following the date that the exemption from application of Section 162(m) of the Code ceases to apply to awards, the maximum number of shares with respect to which options and stock appreciation rights may be granted to any participant in any calendar year will be 2,500,000 shares of Common Stock. In connection with a participant’s commencement of service with us, a participant may be granted options and stock appreciation rights for up to an additional 500,000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2,500,000 shares of common stock. The limits described in this paragraph are subject to adjustment in the event of any change in our capital structure as described below.</w:t>
      </w:r>
    </w:p>
    <w:p>
      <w:pPr>
        <w:spacing w:after="0" w:line="12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terms and conditions of awards shall be determined by the Administrator, including the vesting schedule and any forfeiture provisions. Awards under the plan may vest upon the passage of time or upon the attainment of certain performance criteria. The performance criteria established by the Administrator may be based on any one of, or combination of, the following:</w:t>
      </w:r>
    </w:p>
    <w:p>
      <w:pPr>
        <w:spacing w:after="0" w:line="115" w:lineRule="exact"/>
        <w:rPr>
          <w:sz w:val="20"/>
          <w:szCs w:val="20"/>
          <w:color w:val="auto"/>
        </w:rPr>
      </w:pPr>
    </w:p>
    <w:p>
      <w:pPr>
        <w:ind w:left="760" w:hanging="426"/>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increase in share price;</w:t>
      </w:r>
    </w:p>
    <w:p>
      <w:pPr>
        <w:spacing w:after="0" w:line="150" w:lineRule="exact"/>
        <w:rPr>
          <w:rFonts w:ascii="Arial" w:cs="Arial" w:eastAsia="Arial" w:hAnsi="Arial"/>
          <w:sz w:val="12"/>
          <w:szCs w:val="12"/>
          <w:color w:val="auto"/>
        </w:rPr>
      </w:pPr>
    </w:p>
    <w:p>
      <w:pPr>
        <w:ind w:left="760" w:hanging="426"/>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earnings per share;</w:t>
      </w:r>
    </w:p>
    <w:p>
      <w:pPr>
        <w:spacing w:after="0" w:line="150" w:lineRule="exact"/>
        <w:rPr>
          <w:rFonts w:ascii="Arial" w:cs="Arial" w:eastAsia="Arial" w:hAnsi="Arial"/>
          <w:sz w:val="12"/>
          <w:szCs w:val="12"/>
          <w:color w:val="auto"/>
        </w:rPr>
      </w:pPr>
    </w:p>
    <w:p>
      <w:pPr>
        <w:ind w:left="760" w:hanging="426"/>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total shareholder return;</w:t>
      </w:r>
    </w:p>
    <w:p>
      <w:pPr>
        <w:spacing w:after="0" w:line="150" w:lineRule="exact"/>
        <w:rPr>
          <w:rFonts w:ascii="Arial" w:cs="Arial" w:eastAsia="Arial" w:hAnsi="Arial"/>
          <w:sz w:val="12"/>
          <w:szCs w:val="12"/>
          <w:color w:val="auto"/>
        </w:rPr>
      </w:pPr>
    </w:p>
    <w:p>
      <w:pPr>
        <w:ind w:left="760" w:hanging="426"/>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operating margin;</w:t>
      </w:r>
    </w:p>
    <w:p>
      <w:pPr>
        <w:spacing w:after="0" w:line="150" w:lineRule="exact"/>
        <w:rPr>
          <w:rFonts w:ascii="Arial" w:cs="Arial" w:eastAsia="Arial" w:hAnsi="Arial"/>
          <w:sz w:val="12"/>
          <w:szCs w:val="12"/>
          <w:color w:val="auto"/>
        </w:rPr>
      </w:pPr>
    </w:p>
    <w:p>
      <w:pPr>
        <w:ind w:left="760" w:hanging="426"/>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gross margin;</w:t>
      </w:r>
    </w:p>
    <w:p>
      <w:pPr>
        <w:spacing w:after="0" w:line="150" w:lineRule="exact"/>
        <w:rPr>
          <w:rFonts w:ascii="Arial" w:cs="Arial" w:eastAsia="Arial" w:hAnsi="Arial"/>
          <w:sz w:val="12"/>
          <w:szCs w:val="12"/>
          <w:color w:val="auto"/>
        </w:rPr>
      </w:pPr>
    </w:p>
    <w:p>
      <w:pPr>
        <w:ind w:left="760" w:hanging="421"/>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return on equity;</w:t>
      </w:r>
    </w:p>
    <w:p>
      <w:pPr>
        <w:spacing w:after="0" w:line="150" w:lineRule="exact"/>
        <w:rPr>
          <w:rFonts w:ascii="Arial" w:cs="Arial" w:eastAsia="Arial" w:hAnsi="Arial"/>
          <w:sz w:val="12"/>
          <w:szCs w:val="12"/>
          <w:color w:val="auto"/>
        </w:rPr>
      </w:pPr>
    </w:p>
    <w:p>
      <w:pPr>
        <w:ind w:left="760" w:hanging="426"/>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return on assets;</w:t>
      </w:r>
    </w:p>
    <w:p>
      <w:pPr>
        <w:spacing w:after="0" w:line="150" w:lineRule="exact"/>
        <w:rPr>
          <w:rFonts w:ascii="Arial" w:cs="Arial" w:eastAsia="Arial" w:hAnsi="Arial"/>
          <w:sz w:val="12"/>
          <w:szCs w:val="12"/>
          <w:color w:val="auto"/>
        </w:rPr>
      </w:pPr>
    </w:p>
    <w:p>
      <w:pPr>
        <w:ind w:left="840" w:hanging="466"/>
        <w:spacing w:after="0"/>
        <w:tabs>
          <w:tab w:leader="none" w:pos="840" w:val="left"/>
        </w:tabs>
        <w:numPr>
          <w:ilvl w:val="1"/>
          <w:numId w:val="58"/>
        </w:numPr>
        <w:rPr>
          <w:rFonts w:ascii="Arial" w:cs="Arial" w:eastAsia="Arial" w:hAnsi="Arial"/>
          <w:sz w:val="12"/>
          <w:szCs w:val="12"/>
          <w:color w:val="auto"/>
        </w:rPr>
      </w:pPr>
      <w:r>
        <w:rPr>
          <w:rFonts w:ascii="Arial" w:cs="Arial" w:eastAsia="Arial" w:hAnsi="Arial"/>
          <w:sz w:val="12"/>
          <w:szCs w:val="12"/>
          <w:color w:val="auto"/>
        </w:rPr>
        <w:t>return on investment;</w:t>
      </w:r>
    </w:p>
    <w:p>
      <w:pPr>
        <w:spacing w:after="0" w:line="150" w:lineRule="exact"/>
        <w:rPr>
          <w:rFonts w:ascii="Arial" w:cs="Arial" w:eastAsia="Arial" w:hAnsi="Arial"/>
          <w:sz w:val="12"/>
          <w:szCs w:val="12"/>
          <w:color w:val="auto"/>
        </w:rPr>
      </w:pPr>
    </w:p>
    <w:p>
      <w:pPr>
        <w:ind w:left="760" w:hanging="426"/>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operating income;</w:t>
      </w:r>
    </w:p>
    <w:p>
      <w:pPr>
        <w:spacing w:after="0" w:line="150" w:lineRule="exact"/>
        <w:rPr>
          <w:rFonts w:ascii="Arial" w:cs="Arial" w:eastAsia="Arial" w:hAnsi="Arial"/>
          <w:sz w:val="12"/>
          <w:szCs w:val="12"/>
          <w:color w:val="auto"/>
        </w:rPr>
      </w:pPr>
    </w:p>
    <w:p>
      <w:pPr>
        <w:ind w:left="760" w:hanging="426"/>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net operating income;</w:t>
      </w:r>
    </w:p>
    <w:p>
      <w:pPr>
        <w:spacing w:after="0" w:line="150" w:lineRule="exact"/>
        <w:rPr>
          <w:rFonts w:ascii="Arial" w:cs="Arial" w:eastAsia="Arial" w:hAnsi="Arial"/>
          <w:sz w:val="12"/>
          <w:szCs w:val="12"/>
          <w:color w:val="auto"/>
        </w:rPr>
      </w:pPr>
    </w:p>
    <w:p>
      <w:pPr>
        <w:ind w:left="760" w:hanging="426"/>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pre-tax profit;</w:t>
      </w:r>
    </w:p>
    <w:p>
      <w:pPr>
        <w:spacing w:after="0" w:line="168" w:lineRule="exact"/>
        <w:rPr>
          <w:rFonts w:ascii="Arial" w:cs="Arial" w:eastAsia="Arial" w:hAnsi="Arial"/>
          <w:sz w:val="12"/>
          <w:szCs w:val="12"/>
          <w:color w:val="auto"/>
        </w:rPr>
      </w:pPr>
    </w:p>
    <w:p>
      <w:pPr>
        <w:ind w:left="760" w:hanging="426"/>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cash flow;</w:t>
      </w:r>
    </w:p>
    <w:p>
      <w:pPr>
        <w:spacing w:after="0" w:line="150" w:lineRule="exact"/>
        <w:rPr>
          <w:rFonts w:ascii="Arial" w:cs="Arial" w:eastAsia="Arial" w:hAnsi="Arial"/>
          <w:sz w:val="12"/>
          <w:szCs w:val="12"/>
          <w:color w:val="auto"/>
        </w:rPr>
      </w:pPr>
    </w:p>
    <w:p>
      <w:pPr>
        <w:ind w:left="760" w:hanging="426"/>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revenue;</w:t>
      </w:r>
    </w:p>
    <w:p>
      <w:pPr>
        <w:spacing w:after="0" w:line="150" w:lineRule="exact"/>
        <w:rPr>
          <w:rFonts w:ascii="Arial" w:cs="Arial" w:eastAsia="Arial" w:hAnsi="Arial"/>
          <w:sz w:val="12"/>
          <w:szCs w:val="12"/>
          <w:color w:val="auto"/>
        </w:rPr>
      </w:pPr>
    </w:p>
    <w:p>
      <w:pPr>
        <w:ind w:left="760" w:hanging="426"/>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expenses;</w:t>
      </w:r>
    </w:p>
    <w:p>
      <w:pPr>
        <w:spacing w:after="0" w:line="150" w:lineRule="exact"/>
        <w:rPr>
          <w:rFonts w:ascii="Arial" w:cs="Arial" w:eastAsia="Arial" w:hAnsi="Arial"/>
          <w:sz w:val="12"/>
          <w:szCs w:val="12"/>
          <w:color w:val="auto"/>
        </w:rPr>
      </w:pPr>
    </w:p>
    <w:p>
      <w:pPr>
        <w:ind w:left="760" w:hanging="426"/>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earnings before interest, taxes and depreciation;</w:t>
      </w:r>
    </w:p>
    <w:p>
      <w:pPr>
        <w:spacing w:after="0" w:line="150" w:lineRule="exact"/>
        <w:rPr>
          <w:rFonts w:ascii="Arial" w:cs="Arial" w:eastAsia="Arial" w:hAnsi="Arial"/>
          <w:sz w:val="12"/>
          <w:szCs w:val="12"/>
          <w:color w:val="auto"/>
        </w:rPr>
      </w:pPr>
    </w:p>
    <w:p>
      <w:pPr>
        <w:ind w:left="760" w:hanging="426"/>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economic value added; and</w:t>
      </w:r>
    </w:p>
    <w:p>
      <w:pPr>
        <w:spacing w:after="0" w:line="150" w:lineRule="exact"/>
        <w:rPr>
          <w:rFonts w:ascii="Arial" w:cs="Arial" w:eastAsia="Arial" w:hAnsi="Arial"/>
          <w:sz w:val="12"/>
          <w:szCs w:val="12"/>
          <w:color w:val="auto"/>
        </w:rPr>
      </w:pPr>
    </w:p>
    <w:p>
      <w:pPr>
        <w:ind w:left="760" w:hanging="426"/>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market share.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04" w:name="page105"/>
    <w:bookmarkEnd w:id="104"/>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shall have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Under our 2008 Plan, a Corporate Transaction is generally defined as:</w:t>
      </w:r>
    </w:p>
    <w:p>
      <w:pPr>
        <w:spacing w:after="0" w:line="150" w:lineRule="exact"/>
        <w:rPr>
          <w:sz w:val="20"/>
          <w:szCs w:val="20"/>
          <w:color w:val="auto"/>
        </w:rPr>
      </w:pPr>
    </w:p>
    <w:p>
      <w:pPr>
        <w:ind w:left="800" w:right="20" w:hanging="439"/>
        <w:spacing w:after="0" w:line="276" w:lineRule="auto"/>
        <w:tabs>
          <w:tab w:leader="none" w:pos="80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14" w:lineRule="exact"/>
        <w:rPr>
          <w:rFonts w:ascii="Arial" w:cs="Arial" w:eastAsia="Arial" w:hAnsi="Arial"/>
          <w:sz w:val="12"/>
          <w:szCs w:val="12"/>
          <w:color w:val="auto"/>
        </w:rPr>
      </w:pPr>
    </w:p>
    <w:p>
      <w:pPr>
        <w:jc w:val="both"/>
        <w:ind w:left="800" w:right="20" w:hanging="444"/>
        <w:spacing w:after="0" w:line="263" w:lineRule="auto"/>
        <w:tabs>
          <w:tab w:leader="none" w:pos="80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40" w:lineRule="exact"/>
        <w:rPr>
          <w:rFonts w:ascii="Arial" w:cs="Arial" w:eastAsia="Arial" w:hAnsi="Arial"/>
          <w:sz w:val="12"/>
          <w:szCs w:val="12"/>
          <w:color w:val="auto"/>
        </w:rPr>
      </w:pPr>
    </w:p>
    <w:p>
      <w:pPr>
        <w:ind w:left="800" w:hanging="444"/>
        <w:spacing w:after="0"/>
        <w:tabs>
          <w:tab w:leader="none" w:pos="80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 sale, transfer or other disposition of all or substantially all of the assets of our corporation;</w:t>
      </w:r>
    </w:p>
    <w:p>
      <w:pPr>
        <w:spacing w:after="0" w:line="168" w:lineRule="exact"/>
        <w:rPr>
          <w:rFonts w:ascii="Arial" w:cs="Arial" w:eastAsia="Arial" w:hAnsi="Arial"/>
          <w:sz w:val="12"/>
          <w:szCs w:val="12"/>
          <w:color w:val="auto"/>
        </w:rPr>
      </w:pPr>
    </w:p>
    <w:p>
      <w:pPr>
        <w:ind w:left="800" w:hanging="444"/>
        <w:spacing w:after="0"/>
        <w:tabs>
          <w:tab w:leader="none" w:pos="80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 merger or consolidation in which our corporation is not the surviving entity; or</w:t>
      </w:r>
    </w:p>
    <w:p>
      <w:pPr>
        <w:spacing w:after="0" w:line="168" w:lineRule="exact"/>
        <w:rPr>
          <w:rFonts w:ascii="Arial" w:cs="Arial" w:eastAsia="Arial" w:hAnsi="Arial"/>
          <w:sz w:val="12"/>
          <w:szCs w:val="12"/>
          <w:color w:val="auto"/>
        </w:rPr>
      </w:pPr>
    </w:p>
    <w:p>
      <w:pPr>
        <w:ind w:left="800" w:hanging="444"/>
        <w:spacing w:after="0"/>
        <w:tabs>
          <w:tab w:leader="none" w:pos="80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 complete liquidation or dissolution.</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33"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shall obtain shareholder approval of any such amendment to the 2008 Stock Plan in such a manner and to such a degree as required.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As of July 1, 2014, we had options to purchase an aggregate of 3,964,800 shares of common stock outstanding under our 2008 Plan.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05" w:name="page106"/>
    <w:bookmarkEnd w:id="105"/>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1999 Stock Incentive Plan</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Our Board of Directors adopted our 1999 Plan on December 6, 1999. The 1999 Plan has terminated under its own terms, and as a result, no awards may currently be granted under the 1999 Plan. However, most of the options and awards that have already been granted pursuant to the 1999 Plan remain outstanding.</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1999 Plan permitted us to make grants of incentive stock options, non-qualified stock options and restricted stock awards. We initially reserved 450,000 shares of our common stock for the issuance of awards under the 1999 Plan, which number was subject to adjustment in the event of a stock split, stock dividend or other change in our capitalization. Generally, shares that were forfeited or cancelled from awards under the 1999 Plan also were available for future awards until the date the 1999 Plan terminated under its own terms.</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1999 Plan could be administered by either our board of directors or a committee designated by our board of directors. Our board of directors designated our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of our directors, executive officers, employees, and certain other key persons (including consultants and advisors) were eligible to participate in the 1999 Plan.</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exercise price of incentive stock options awarded under the 1999 Plan could not be less than the fair market value of the common stock on the date of the option grant and could not be less than 110% of the fair market value of our common stock to persons owning stock representing more than 10% of the voting power of all classes of our stock. The exercise price of non-qualified stock options could not be less than 85% of the fair market value of our common stock. It is expected that the term of each option granted under the 1999 Plan will not exceed ten years (or five years, in the case of an incentive stock option granted to a 10% shareholder) from the date of grant. Our compensation committee determined at what time or times each option may be exercised (provided that in no event may it exceed ten years from the date of grant) and, subject to the provisions of the 1999 Plan, the period of time, if any, after retirement, death, disability or other termination of employment during which options could be exercised.</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Restricted stock could also be granted under our 1999 Plan. Restricted stock awards issued by us were shares of common stock that vest in accordance with terms and conditions established by our compensation committee, which could impose conditions to vesting it determined to be appropriate. Shares of restricted stock that do not vest are subject to our right of repurchase or forfeiture. Our compensation committee determined the number of shares of restricted stock granted to any employee. Our 1999 Plan also gave our compensation committee discretion to grant stock awards free of any restrictions.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Unless the compensation committee provided otherwise, our 1999 Plan did not generally allow for the transfer of incentive stock options and other awards and only the recipient of an award could exercise an award during his or her lifetime. Non-qualified stock options shall be transferable only to the extent provided in the award agreement, in a manner consistent with the applicable law, and by will and by the laws of descent and distribution. In the event of a change in control, any unvested outstanding options will automatically vest unless our board of directors and the board of directors of the surviving or acquiring entity shall, as to outstanding awards under the 1999 Plan, make appropriate provisions for the continuation or assumption of such awards.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As of July 1, 2014, we had options to purchase an aggregate of 262,557 shares of our common stock outstanding under our 1999 Plan.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401(k) Plan</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sponsor a defined contribution plan intended to qualify under Section 401 of the Code, or a 401(k) plan. Employees who are at least 21 years of age are generally eligible to participate and may enter the plan on the first day of any month. Participants may make pre-tax contributions up to the maximum limit established by the Code. Each participant is fully vested in his or her contributions and the investment earnings on those contributions. Participant contributions are held in trust as required by law. Individual participants may direct the trustee to invest their accounts in authorized investment alternatives. The plan allows for Company matching contributions, but does not require them. We have not yet made any contributions to the plan. Pre-tax contributions to the plan, and the income earned on these contributions, are generally not taxable to the participants until withdrawn.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06" w:name="page107"/>
    <w:bookmarkEnd w:id="106"/>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Director Compensation Table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do not have a formal compensation plan for our non-employee directors. Our informal plan prescribes that the chairman of our board of directors, who is an independent director, has, since October 1, 2011, earned $2,500 per quarter. Our other independent directors have earned $2,000 per quarter since that date. Beginning in July 2011, the chairman of our audit committee and each independent director who serves as a member of our audit committee have also earned $1,000 quarterly. In addition, from time to time, our independent directors may receive non-qualified stock option, warrants or other equity-based awards. We did not pay our independent directors cash compensation during our fiscal year ended March 31, 2014.</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a summary of the compensation earned by our non-employee directors in our fiscal year ended March 31, 2014.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w w:val="89"/>
              </w:rPr>
              <w:t>Fees Earned or</w:t>
            </w:r>
          </w:p>
        </w:tc>
        <w:tc>
          <w:tcPr>
            <w:tcW w:w="12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1"/>
              </w:rPr>
              <w:t>Option and</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w w:val="91"/>
              </w:rPr>
              <w:t>Paid in</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ind w:right="440"/>
              <w:spacing w:after="0"/>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line="144" w:lineRule="exact"/>
              <w:rPr>
                <w:sz w:val="20"/>
                <w:szCs w:val="20"/>
                <w:color w:val="auto"/>
              </w:rPr>
            </w:pPr>
            <w:r>
              <w:rPr>
                <w:rFonts w:ascii="Arial" w:cs="Arial" w:eastAsia="Arial" w:hAnsi="Arial"/>
                <w:sz w:val="12"/>
                <w:szCs w:val="12"/>
                <w:b w:val="1"/>
                <w:bCs w:val="1"/>
                <w:color w:val="auto"/>
                <w:w w:val="83"/>
              </w:rPr>
              <w:t xml:space="preserve">Cash </w:t>
            </w:r>
            <w:r>
              <w:rPr>
                <w:rFonts w:ascii="Arial" w:cs="Arial" w:eastAsia="Arial" w:hAnsi="Arial"/>
                <w:sz w:val="16"/>
                <w:szCs w:val="16"/>
                <w:b w:val="1"/>
                <w:bCs w:val="1"/>
                <w:color w:val="auto"/>
                <w:w w:val="83"/>
                <w:vertAlign w:val="superscript"/>
              </w:rPr>
              <w:t>(1)</w:t>
            </w:r>
          </w:p>
        </w:tc>
        <w:tc>
          <w:tcPr>
            <w:tcW w:w="12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2"/>
                <w:szCs w:val="12"/>
                <w:b w:val="1"/>
                <w:bCs w:val="1"/>
                <w:color w:val="auto"/>
                <w:w w:val="90"/>
              </w:rPr>
              <w:t xml:space="preserve">Warrant Awards </w:t>
            </w:r>
            <w:r>
              <w:rPr>
                <w:rFonts w:ascii="Arial" w:cs="Arial" w:eastAsia="Arial" w:hAnsi="Arial"/>
                <w:sz w:val="16"/>
                <w:szCs w:val="16"/>
                <w:b w:val="1"/>
                <w:bCs w:val="1"/>
                <w:color w:val="auto"/>
                <w:w w:val="90"/>
                <w:vertAlign w:val="superscript"/>
              </w:rPr>
              <w:t>(2)</w:t>
            </w:r>
          </w:p>
        </w:tc>
        <w:tc>
          <w:tcPr>
            <w:tcW w:w="100" w:type="dxa"/>
            <w:vAlign w:val="bottom"/>
          </w:tcPr>
          <w:p>
            <w:pPr>
              <w:spacing w:after="0"/>
              <w:rPr>
                <w:sz w:val="12"/>
                <w:szCs w:val="12"/>
                <w:color w:val="auto"/>
              </w:rPr>
            </w:pPr>
          </w:p>
        </w:tc>
        <w:tc>
          <w:tcPr>
            <w:tcW w:w="1240" w:type="dxa"/>
            <w:vAlign w:val="bottom"/>
          </w:tcPr>
          <w:p>
            <w:pPr>
              <w:jc w:val="right"/>
              <w:ind w:right="200"/>
              <w:spacing w:after="0"/>
              <w:rPr>
                <w:sz w:val="20"/>
                <w:szCs w:val="20"/>
                <w:color w:val="auto"/>
              </w:rPr>
            </w:pPr>
            <w:r>
              <w:rPr>
                <w:rFonts w:ascii="Arial" w:cs="Arial" w:eastAsia="Arial" w:hAnsi="Arial"/>
                <w:sz w:val="12"/>
                <w:szCs w:val="12"/>
                <w:b w:val="1"/>
                <w:bCs w:val="1"/>
                <w:color w:val="auto"/>
              </w:rPr>
              <w:t>Compensation</w:t>
            </w:r>
          </w:p>
        </w:tc>
        <w:tc>
          <w:tcPr>
            <w:tcW w:w="120" w:type="dxa"/>
            <w:vAlign w:val="bottom"/>
          </w:tcPr>
          <w:p>
            <w:pPr>
              <w:spacing w:after="0"/>
              <w:rPr>
                <w:sz w:val="12"/>
                <w:szCs w:val="12"/>
                <w:color w:val="auto"/>
              </w:rPr>
            </w:pPr>
          </w:p>
        </w:tc>
        <w:tc>
          <w:tcPr>
            <w:tcW w:w="1240" w:type="dxa"/>
            <w:vAlign w:val="bottom"/>
          </w:tcPr>
          <w:p>
            <w:pPr>
              <w:jc w:val="right"/>
              <w:ind w:right="4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7"/>
        </w:trPr>
        <w:tc>
          <w:tcPr>
            <w:tcW w:w="59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380" w:type="dxa"/>
            <w:vAlign w:val="bottom"/>
            <w:gridSpan w:val="2"/>
          </w:tcPr>
          <w:p>
            <w:pPr>
              <w:jc w:val="center"/>
              <w:ind w:left="20"/>
              <w:spacing w:after="0"/>
              <w:rPr>
                <w:sz w:val="20"/>
                <w:szCs w:val="20"/>
                <w:color w:val="auto"/>
              </w:rPr>
            </w:pPr>
            <w:r>
              <w:rPr>
                <w:rFonts w:ascii="Arial" w:cs="Arial" w:eastAsia="Arial" w:hAnsi="Arial"/>
                <w:sz w:val="12"/>
                <w:szCs w:val="12"/>
                <w:b w:val="1"/>
                <w:bCs w:val="1"/>
                <w:color w:val="auto"/>
                <w:w w:val="95"/>
              </w:rPr>
              <w:t>($)</w:t>
            </w:r>
          </w:p>
        </w:tc>
        <w:tc>
          <w:tcPr>
            <w:tcW w:w="1420" w:type="dxa"/>
            <w:vAlign w:val="bottom"/>
            <w:gridSpan w:val="2"/>
          </w:tcPr>
          <w:p>
            <w:pPr>
              <w:jc w:val="center"/>
              <w:ind w:left="20"/>
              <w:spacing w:after="0"/>
              <w:rPr>
                <w:sz w:val="20"/>
                <w:szCs w:val="20"/>
                <w:color w:val="auto"/>
              </w:rPr>
            </w:pPr>
            <w:r>
              <w:rPr>
                <w:rFonts w:ascii="Arial" w:cs="Arial" w:eastAsia="Arial" w:hAnsi="Arial"/>
                <w:sz w:val="12"/>
                <w:szCs w:val="12"/>
                <w:b w:val="1"/>
                <w:bCs w:val="1"/>
                <w:color w:val="auto"/>
                <w:w w:val="95"/>
              </w:rPr>
              <w:t>($)</w:t>
            </w:r>
          </w:p>
        </w:tc>
        <w:tc>
          <w:tcPr>
            <w:tcW w:w="134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Jon S. Saxe </w:t>
            </w:r>
            <w:r>
              <w:rPr>
                <w:rFonts w:ascii="Arial" w:cs="Arial" w:eastAsia="Arial" w:hAnsi="Arial"/>
                <w:sz w:val="16"/>
                <w:szCs w:val="16"/>
                <w:color w:val="auto"/>
                <w:vertAlign w:val="superscript"/>
              </w:rPr>
              <w:t>(3)</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40,683(5)</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54,683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Brian J. Underdown, Ph.D</w:t>
            </w:r>
            <w:r>
              <w:rPr>
                <w:rFonts w:ascii="Arial" w:cs="Arial" w:eastAsia="Arial" w:hAnsi="Arial"/>
                <w:sz w:val="16"/>
                <w:szCs w:val="16"/>
                <w:color w:val="auto"/>
                <w:vertAlign w:val="superscript"/>
              </w:rPr>
              <w:t>. (4)</w:t>
            </w:r>
          </w:p>
        </w:tc>
        <w:tc>
          <w:tcPr>
            <w:tcW w:w="1380" w:type="dxa"/>
            <w:vAlign w:val="bottom"/>
            <w:gridSpan w:val="2"/>
          </w:tcPr>
          <w:p>
            <w:pPr>
              <w:jc w:val="right"/>
              <w:ind w:right="60"/>
              <w:spacing w:after="0"/>
              <w:rPr>
                <w:sz w:val="20"/>
                <w:szCs w:val="20"/>
                <w:color w:val="auto"/>
              </w:rPr>
            </w:pPr>
            <w:r>
              <w:rPr>
                <w:rFonts w:ascii="Arial" w:cs="Arial" w:eastAsia="Arial" w:hAnsi="Arial"/>
                <w:sz w:val="12"/>
                <w:szCs w:val="12"/>
                <w:color w:val="auto"/>
              </w:rPr>
              <w:t>12,000</w:t>
            </w: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32,267(5)</w:t>
            </w:r>
          </w:p>
        </w:tc>
        <w:tc>
          <w:tcPr>
            <w:tcW w:w="13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44,267</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60" w:hanging="243"/>
        <w:spacing w:after="0"/>
        <w:tabs>
          <w:tab w:leader="none" w:pos="560" w:val="left"/>
        </w:tabs>
        <w:numPr>
          <w:ilvl w:val="0"/>
          <w:numId w:val="60"/>
        </w:numPr>
        <w:rPr>
          <w:rFonts w:ascii="Arial" w:cs="Arial" w:eastAsia="Arial" w:hAnsi="Arial"/>
          <w:sz w:val="17"/>
          <w:szCs w:val="17"/>
          <w:color w:val="auto"/>
          <w:vertAlign w:val="superscript"/>
        </w:rPr>
      </w:pPr>
      <w:r>
        <w:rPr>
          <w:rFonts w:ascii="Arial" w:cs="Arial" w:eastAsia="Arial" w:hAnsi="Arial"/>
          <w:sz w:val="12"/>
          <w:szCs w:val="12"/>
          <w:color w:val="auto"/>
        </w:rPr>
        <w:t>The amounts shown represent fees earned for service on our board of directors and audit committee during the fiscal year which we have accrued but have not paid to the director at March 31, 2014.</w:t>
      </w:r>
    </w:p>
    <w:p>
      <w:pPr>
        <w:spacing w:after="0" w:line="135" w:lineRule="exact"/>
        <w:rPr>
          <w:rFonts w:ascii="Arial" w:cs="Arial" w:eastAsia="Arial" w:hAnsi="Arial"/>
          <w:sz w:val="17"/>
          <w:szCs w:val="17"/>
          <w:color w:val="auto"/>
          <w:vertAlign w:val="superscript"/>
        </w:rPr>
      </w:pPr>
    </w:p>
    <w:p>
      <w:pPr>
        <w:jc w:val="both"/>
        <w:ind w:left="560" w:right="20" w:hanging="243"/>
        <w:spacing w:after="0" w:line="256" w:lineRule="auto"/>
        <w:tabs>
          <w:tab w:leader="none" w:pos="560" w:val="left"/>
        </w:tabs>
        <w:numPr>
          <w:ilvl w:val="0"/>
          <w:numId w:val="60"/>
        </w:numPr>
        <w:rPr>
          <w:rFonts w:ascii="Arial" w:cs="Arial" w:eastAsia="Arial" w:hAnsi="Arial"/>
          <w:sz w:val="16"/>
          <w:szCs w:val="16"/>
          <w:color w:val="auto"/>
          <w:vertAlign w:val="superscript"/>
        </w:rPr>
      </w:pPr>
      <w:r>
        <w:rPr>
          <w:rFonts w:ascii="Arial" w:cs="Arial" w:eastAsia="Arial" w:hAnsi="Arial"/>
          <w:sz w:val="11"/>
          <w:szCs w:val="11"/>
          <w:color w:val="auto"/>
        </w:rPr>
        <w:t>The amounts in this column represent the aggregate grant date fair value of warrants to purchase restricted shares of our common stock awarded to Mr. Saxe and Dr. Underdown or the effect of modifications to prior grants of options or warrants occurring during the fiscal year ended March 31, 2014, computed in accordance with the Financial Accounting Standards Board’s Accounting Standards Codification Topic 718, Compensation – Stock Compensation (</w:t>
      </w:r>
      <w:r>
        <w:rPr>
          <w:rFonts w:ascii="Arial" w:cs="Arial" w:eastAsia="Arial" w:hAnsi="Arial"/>
          <w:sz w:val="11"/>
          <w:szCs w:val="11"/>
          <w:i w:val="1"/>
          <w:iCs w:val="1"/>
          <w:color w:val="auto"/>
        </w:rPr>
        <w:t>ASC 718</w:t>
      </w:r>
      <w:r>
        <w:rPr>
          <w:rFonts w:ascii="Arial" w:cs="Arial" w:eastAsia="Arial" w:hAnsi="Arial"/>
          <w:sz w:val="11"/>
          <w:szCs w:val="11"/>
          <w:color w:val="auto"/>
        </w:rPr>
        <w:t xml:space="preserve">). The amounts in this column do </w:t>
      </w:r>
      <w:r>
        <w:rPr>
          <w:rFonts w:ascii="Arial" w:cs="Arial" w:eastAsia="Arial" w:hAnsi="Arial"/>
          <w:sz w:val="11"/>
          <w:szCs w:val="11"/>
          <w:b w:val="1"/>
          <w:bCs w:val="1"/>
          <w:color w:val="auto"/>
        </w:rPr>
        <w:t>not</w:t>
      </w:r>
      <w:r>
        <w:rPr>
          <w:rFonts w:ascii="Arial" w:cs="Arial" w:eastAsia="Arial" w:hAnsi="Arial"/>
          <w:sz w:val="11"/>
          <w:szCs w:val="11"/>
          <w:color w:val="auto"/>
        </w:rPr>
        <w:t xml:space="preserve"> represent any cash payment actually received by Mr. Saxe or Dr. Underdown with respect to any of such options or warrants to purchase restricted shares of our common stock awarded to them or modified during the fiscal year ended March 31, 2014. To date, Mr. Saxe and Dr. Underdown have not exercised such options or warrants to purchase common stock, and there can be no assurance that either of them will ever realize any of the ASC 718 grant date fair value amounts presented in the Option and Warrant Awards column.</w:t>
      </w:r>
    </w:p>
    <w:p>
      <w:pPr>
        <w:spacing w:after="0" w:line="128" w:lineRule="exact"/>
        <w:rPr>
          <w:rFonts w:ascii="Arial" w:cs="Arial" w:eastAsia="Arial" w:hAnsi="Arial"/>
          <w:sz w:val="16"/>
          <w:szCs w:val="16"/>
          <w:color w:val="auto"/>
          <w:vertAlign w:val="superscript"/>
        </w:rPr>
      </w:pPr>
    </w:p>
    <w:p>
      <w:pPr>
        <w:jc w:val="both"/>
        <w:ind w:left="560" w:right="20" w:hanging="243"/>
        <w:spacing w:after="0" w:line="224" w:lineRule="auto"/>
        <w:tabs>
          <w:tab w:leader="none" w:pos="560" w:val="left"/>
        </w:tabs>
        <w:numPr>
          <w:ilvl w:val="0"/>
          <w:numId w:val="60"/>
        </w:numPr>
        <w:rPr>
          <w:rFonts w:ascii="Arial" w:cs="Arial" w:eastAsia="Arial" w:hAnsi="Arial"/>
          <w:sz w:val="17"/>
          <w:szCs w:val="17"/>
          <w:color w:val="auto"/>
          <w:vertAlign w:val="superscript"/>
        </w:rPr>
      </w:pPr>
      <w:r>
        <w:rPr>
          <w:rFonts w:ascii="Arial" w:cs="Arial" w:eastAsia="Arial" w:hAnsi="Arial"/>
          <w:sz w:val="12"/>
          <w:szCs w:val="12"/>
          <w:color w:val="auto"/>
        </w:rPr>
        <w:t>Mr. Saxe has served as the chairman of our board of directors and the chairman of our audit committee throughout our fiscal year ended March 31, 2014. At March 31, 2014, Mr. Saxe holds: (i) 37,492 restricted shares of our common stock; (ii) options to purchase 264,750 restricted shares of our common stock, of which options to purchase 251,208 restricted shares are vested; and (iii) warrants to purchase 265,000 restricted shares of our common stock, of which 125,000 are exercisable.</w:t>
      </w:r>
    </w:p>
    <w:p>
      <w:pPr>
        <w:spacing w:after="0" w:line="136" w:lineRule="exact"/>
        <w:rPr>
          <w:rFonts w:ascii="Arial" w:cs="Arial" w:eastAsia="Arial" w:hAnsi="Arial"/>
          <w:sz w:val="17"/>
          <w:szCs w:val="17"/>
          <w:color w:val="auto"/>
          <w:vertAlign w:val="superscript"/>
        </w:rPr>
      </w:pPr>
    </w:p>
    <w:p>
      <w:pPr>
        <w:ind w:left="560" w:right="20" w:hanging="243"/>
        <w:spacing w:after="0" w:line="284" w:lineRule="auto"/>
        <w:tabs>
          <w:tab w:leader="none" w:pos="560" w:val="left"/>
        </w:tabs>
        <w:numPr>
          <w:ilvl w:val="0"/>
          <w:numId w:val="60"/>
        </w:numPr>
        <w:rPr>
          <w:rFonts w:ascii="Arial" w:cs="Arial" w:eastAsia="Arial" w:hAnsi="Arial"/>
          <w:sz w:val="14"/>
          <w:szCs w:val="14"/>
          <w:color w:val="auto"/>
          <w:vertAlign w:val="superscript"/>
        </w:rPr>
      </w:pPr>
      <w:r>
        <w:rPr>
          <w:rFonts w:ascii="Arial" w:cs="Arial" w:eastAsia="Arial" w:hAnsi="Arial"/>
          <w:sz w:val="10"/>
          <w:szCs w:val="10"/>
          <w:color w:val="auto"/>
        </w:rPr>
        <w:t>Dr. Underdown has served as a member of our board of directors and a member of our audit committee throughout our fiscal year ended March 31, 2014. At March 31, 2014, Dr. Underdown holds: (i) options to purchase 185,000 restricted shares of our common stock, of which options to purchase 171,458 restricted shares are vested; and (ii) warrants to purchase 250,000 restricted shares of our common stock, of which 125,000 are exercisable.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07" w:name="page108"/>
    <w:bookmarkEnd w:id="107"/>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ind w:left="560" w:right="20"/>
        <w:spacing w:after="0" w:line="276" w:lineRule="auto"/>
        <w:rPr>
          <w:sz w:val="20"/>
          <w:szCs w:val="20"/>
          <w:color w:val="auto"/>
        </w:rPr>
      </w:pPr>
      <w:r>
        <w:rPr>
          <w:rFonts w:ascii="Arial" w:cs="Arial" w:eastAsia="Arial" w:hAnsi="Arial"/>
          <w:sz w:val="12"/>
          <w:szCs w:val="12"/>
          <w:color w:val="auto"/>
        </w:rPr>
        <w:t>The table below provides information regarding the warrant awards and option and warrant modifications we granted to Mr. Saxe and Dr. Underdown during fiscal 2014 and the assumptions used in the Black Scholes Option Pricing Model to determine the grant date fair values of the respective awards and modifications: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320" w:type="dxa"/>
            <w:vAlign w:val="bottom"/>
            <w:gridSpan w:val="2"/>
          </w:tcPr>
          <w:p>
            <w:pPr>
              <w:jc w:val="right"/>
              <w:ind w:right="91"/>
              <w:spacing w:after="0"/>
              <w:rPr>
                <w:sz w:val="20"/>
                <w:szCs w:val="20"/>
                <w:color w:val="auto"/>
              </w:rPr>
            </w:pPr>
            <w:r>
              <w:rPr>
                <w:rFonts w:ascii="Arial" w:cs="Arial" w:eastAsia="Arial" w:hAnsi="Arial"/>
                <w:sz w:val="11"/>
                <w:szCs w:val="11"/>
                <w:color w:val="auto"/>
              </w:rPr>
              <w:t>Warrant Grant</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jc w:val="right"/>
              <w:spacing w:after="0"/>
              <w:rPr>
                <w:sz w:val="20"/>
                <w:szCs w:val="20"/>
                <w:color w:val="auto"/>
              </w:rPr>
            </w:pPr>
            <w:r>
              <w:rPr>
                <w:rFonts w:ascii="Arial" w:cs="Arial" w:eastAsia="Arial" w:hAnsi="Arial"/>
                <w:sz w:val="11"/>
                <w:szCs w:val="11"/>
                <w:color w:val="auto"/>
                <w:w w:val="97"/>
              </w:rPr>
              <w:t>Option Modification</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29"/>
              <w:spacing w:after="0"/>
              <w:rPr>
                <w:sz w:val="20"/>
                <w:szCs w:val="20"/>
                <w:color w:val="auto"/>
              </w:rPr>
            </w:pPr>
            <w:r>
              <w:rPr>
                <w:rFonts w:ascii="Arial" w:cs="Arial" w:eastAsia="Arial" w:hAnsi="Arial"/>
                <w:sz w:val="11"/>
                <w:szCs w:val="11"/>
                <w:color w:val="auto"/>
                <w:w w:val="93"/>
              </w:rPr>
              <w:t>Warrant Modification</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3/19/2014</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right"/>
              <w:ind w:right="191"/>
              <w:spacing w:after="0"/>
              <w:rPr>
                <w:sz w:val="20"/>
                <w:szCs w:val="20"/>
                <w:color w:val="auto"/>
              </w:rPr>
            </w:pPr>
            <w:r>
              <w:rPr>
                <w:rFonts w:ascii="Arial" w:cs="Arial" w:eastAsia="Arial" w:hAnsi="Arial"/>
                <w:sz w:val="11"/>
                <w:szCs w:val="11"/>
                <w:color w:val="auto"/>
              </w:rPr>
              <w:t>12/20/2013</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ind w:right="269"/>
              <w:spacing w:after="0"/>
              <w:rPr>
                <w:sz w:val="20"/>
                <w:szCs w:val="20"/>
                <w:color w:val="auto"/>
              </w:rPr>
            </w:pPr>
            <w:r>
              <w:rPr>
                <w:rFonts w:ascii="Arial" w:cs="Arial" w:eastAsia="Arial" w:hAnsi="Arial"/>
                <w:sz w:val="11"/>
                <w:szCs w:val="11"/>
                <w:color w:val="auto"/>
              </w:rPr>
              <w:t>12/20/2013</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3"/>
          </w:tcPr>
          <w:p>
            <w:pPr>
              <w:ind w:left="280"/>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0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1"/>
                <w:szCs w:val="11"/>
                <w:color w:val="auto"/>
              </w:rPr>
              <w:t>Saxe</w:t>
            </w:r>
          </w:p>
        </w:tc>
        <w:tc>
          <w:tcPr>
            <w:tcW w:w="164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987"/>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18,928</w:t>
            </w:r>
          </w:p>
        </w:tc>
        <w:tc>
          <w:tcPr>
            <w:tcW w:w="600" w:type="dxa"/>
            <w:vAlign w:val="bottom"/>
            <w:gridSpan w:val="3"/>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80" w:type="dxa"/>
            <w:vAlign w:val="bottom"/>
            <w:shd w:val="clear" w:color="auto" w:fill="CCEEFF"/>
          </w:tcPr>
          <w:p>
            <w:pPr>
              <w:ind w:left="180"/>
              <w:spacing w:after="0"/>
              <w:rPr>
                <w:sz w:val="20"/>
                <w:szCs w:val="20"/>
                <w:color w:val="auto"/>
              </w:rPr>
            </w:pPr>
            <w:r>
              <w:rPr>
                <w:rFonts w:ascii="Arial" w:cs="Arial" w:eastAsia="Arial" w:hAnsi="Arial"/>
                <w:sz w:val="11"/>
                <w:szCs w:val="11"/>
                <w:color w:val="auto"/>
                <w:w w:val="83"/>
              </w:rPr>
              <w:t>15,291</w:t>
            </w:r>
          </w:p>
        </w:tc>
        <w:tc>
          <w:tcPr>
            <w:tcW w:w="14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6,464</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40,683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rPr>
                <w:sz w:val="20"/>
                <w:szCs w:val="20"/>
                <w:color w:val="auto"/>
              </w:rPr>
            </w:pPr>
            <w:r>
              <w:rPr>
                <w:rFonts w:ascii="Arial" w:cs="Arial" w:eastAsia="Arial" w:hAnsi="Arial"/>
                <w:sz w:val="11"/>
                <w:szCs w:val="11"/>
                <w:color w:val="auto"/>
              </w:rPr>
              <w:t>Underdown</w:t>
            </w:r>
          </w:p>
        </w:tc>
        <w:tc>
          <w:tcPr>
            <w:tcW w:w="1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14,560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180"/>
              <w:spacing w:after="0"/>
              <w:rPr>
                <w:sz w:val="20"/>
                <w:szCs w:val="20"/>
                <w:color w:val="auto"/>
              </w:rPr>
            </w:pPr>
            <w:r>
              <w:rPr>
                <w:rFonts w:ascii="Arial" w:cs="Arial" w:eastAsia="Arial" w:hAnsi="Arial"/>
                <w:sz w:val="11"/>
                <w:szCs w:val="11"/>
                <w:color w:val="auto"/>
              </w:rPr>
              <w:t>11,243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6,464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32,267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00" w:type="dxa"/>
            <w:vAlign w:val="bottom"/>
          </w:tcPr>
          <w:p>
            <w:pPr>
              <w:jc w:val="right"/>
              <w:ind w:right="987"/>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33,488</w:t>
            </w:r>
          </w:p>
        </w:tc>
        <w:tc>
          <w:tcPr>
            <w:tcW w:w="60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ind w:left="180"/>
              <w:spacing w:after="0"/>
              <w:rPr>
                <w:sz w:val="20"/>
                <w:szCs w:val="20"/>
                <w:color w:val="auto"/>
              </w:rPr>
            </w:pPr>
            <w:r>
              <w:rPr>
                <w:rFonts w:ascii="Arial" w:cs="Arial" w:eastAsia="Arial" w:hAnsi="Arial"/>
                <w:sz w:val="11"/>
                <w:szCs w:val="11"/>
                <w:color w:val="auto"/>
                <w:w w:val="83"/>
              </w:rPr>
              <w:t>26,534</w:t>
            </w:r>
          </w:p>
        </w:tc>
        <w:tc>
          <w:tcPr>
            <w:tcW w:w="140" w:type="dxa"/>
            <w:vAlign w:val="bottom"/>
          </w:tcPr>
          <w:p>
            <w:pPr>
              <w:spacing w:after="0"/>
              <w:rPr>
                <w:sz w:val="11"/>
                <w:szCs w:val="11"/>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12,928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60" w:type="dxa"/>
            <w:vAlign w:val="bottom"/>
          </w:tcPr>
          <w:p>
            <w:pPr>
              <w:spacing w:after="0"/>
              <w:rPr>
                <w:sz w:val="11"/>
                <w:szCs w:val="11"/>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72,950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Arial" w:cs="Arial" w:eastAsia="Arial" w:hAnsi="Arial"/>
                <w:sz w:val="11"/>
                <w:szCs w:val="11"/>
                <w:color w:val="auto"/>
              </w:rPr>
              <w:t>Before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color w:val="auto"/>
              </w:rPr>
              <w:t>After</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49"/>
              <w:spacing w:after="0"/>
              <w:rPr>
                <w:sz w:val="20"/>
                <w:szCs w:val="20"/>
                <w:color w:val="auto"/>
              </w:rPr>
            </w:pPr>
            <w:r>
              <w:rPr>
                <w:rFonts w:ascii="Arial" w:cs="Arial" w:eastAsia="Arial" w:hAnsi="Arial"/>
                <w:sz w:val="11"/>
                <w:szCs w:val="11"/>
                <w:color w:val="auto"/>
              </w:rPr>
              <w:t>Before</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3"/>
          </w:tcPr>
          <w:p>
            <w:pPr>
              <w:ind w:left="340"/>
              <w:spacing w:after="0"/>
              <w:rPr>
                <w:sz w:val="20"/>
                <w:szCs w:val="20"/>
                <w:color w:val="auto"/>
              </w:rPr>
            </w:pPr>
            <w:r>
              <w:rPr>
                <w:rFonts w:ascii="Arial" w:cs="Arial" w:eastAsia="Arial" w:hAnsi="Arial"/>
                <w:sz w:val="11"/>
                <w:szCs w:val="11"/>
                <w:color w:val="auto"/>
              </w:rPr>
              <w:t>After</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0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1"/>
                <w:szCs w:val="11"/>
                <w:color w:val="auto"/>
              </w:rPr>
              <w:t>Market price per share</w:t>
            </w:r>
          </w:p>
        </w:tc>
        <w:tc>
          <w:tcPr>
            <w:tcW w:w="1640" w:type="dxa"/>
            <w:vAlign w:val="bottom"/>
            <w:shd w:val="clear" w:color="auto" w:fill="CCEEFF"/>
          </w:tcPr>
          <w:p>
            <w:pPr>
              <w:jc w:val="right"/>
              <w:ind w:right="50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187"/>
              <w:spacing w:after="0"/>
              <w:rPr>
                <w:sz w:val="20"/>
                <w:szCs w:val="20"/>
                <w:color w:val="auto"/>
              </w:rPr>
            </w:pPr>
            <w:r>
              <w:rPr>
                <w:rFonts w:ascii="Arial" w:cs="Arial" w:eastAsia="Arial" w:hAnsi="Arial"/>
                <w:sz w:val="11"/>
                <w:szCs w:val="11"/>
                <w:color w:val="auto"/>
              </w:rPr>
              <w:t>0.46</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3"/>
              </w:rPr>
              <w:t>0.40</w:t>
            </w:r>
          </w:p>
        </w:tc>
        <w:tc>
          <w:tcPr>
            <w:tcW w:w="640" w:type="dxa"/>
            <w:vAlign w:val="bottom"/>
            <w:shd w:val="clear" w:color="auto" w:fill="CCEEFF"/>
          </w:tcPr>
          <w:p>
            <w:pPr>
              <w:jc w:val="right"/>
              <w:ind w:right="53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1"/>
                <w:szCs w:val="11"/>
                <w:color w:val="auto"/>
                <w:w w:val="93"/>
              </w:rPr>
              <w:t>0.40</w:t>
            </w:r>
          </w:p>
        </w:tc>
        <w:tc>
          <w:tcPr>
            <w:tcW w:w="1040" w:type="dxa"/>
            <w:vAlign w:val="bottom"/>
            <w:shd w:val="clear" w:color="auto" w:fill="CCEEFF"/>
          </w:tcPr>
          <w:p>
            <w:pPr>
              <w:jc w:val="right"/>
              <w:ind w:right="929"/>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0.40</w:t>
            </w: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0.40</w:t>
            </w:r>
          </w:p>
        </w:tc>
        <w:tc>
          <w:tcPr>
            <w:tcW w:w="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rPr>
                <w:sz w:val="20"/>
                <w:szCs w:val="20"/>
                <w:color w:val="auto"/>
              </w:rPr>
            </w:pPr>
            <w:r>
              <w:rPr>
                <w:rFonts w:ascii="Arial" w:cs="Arial" w:eastAsia="Arial" w:hAnsi="Arial"/>
                <w:sz w:val="11"/>
                <w:szCs w:val="11"/>
                <w:color w:val="auto"/>
              </w:rPr>
              <w:t>Exercise price per share</w:t>
            </w:r>
          </w:p>
        </w:tc>
        <w:tc>
          <w:tcPr>
            <w:tcW w:w="1640" w:type="dxa"/>
            <w:vAlign w:val="bottom"/>
          </w:tcPr>
          <w:p>
            <w:pPr>
              <w:jc w:val="right"/>
              <w:ind w:right="50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187"/>
              <w:spacing w:after="0"/>
              <w:rPr>
                <w:sz w:val="20"/>
                <w:szCs w:val="20"/>
                <w:color w:val="auto"/>
              </w:rPr>
            </w:pPr>
            <w:r>
              <w:rPr>
                <w:rFonts w:ascii="Arial" w:cs="Arial" w:eastAsia="Arial" w:hAnsi="Arial"/>
                <w:sz w:val="11"/>
                <w:szCs w:val="11"/>
                <w:color w:val="auto"/>
              </w:rPr>
              <w:t>0.50</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4"/>
          </w:tcPr>
          <w:p>
            <w:pPr>
              <w:jc w:val="center"/>
              <w:ind w:right="20"/>
              <w:spacing w:after="0"/>
              <w:rPr>
                <w:sz w:val="20"/>
                <w:szCs w:val="20"/>
                <w:color w:val="auto"/>
              </w:rPr>
            </w:pPr>
            <w:r>
              <w:rPr>
                <w:rFonts w:ascii="Arial" w:cs="Arial" w:eastAsia="Arial" w:hAnsi="Arial"/>
                <w:sz w:val="11"/>
                <w:szCs w:val="11"/>
                <w:color w:val="auto"/>
                <w:w w:val="90"/>
              </w:rPr>
              <w:t>1.13 to $2.10</w:t>
            </w:r>
          </w:p>
        </w:tc>
        <w:tc>
          <w:tcPr>
            <w:tcW w:w="640" w:type="dxa"/>
            <w:vAlign w:val="bottom"/>
          </w:tcPr>
          <w:p>
            <w:pPr>
              <w:jc w:val="right"/>
              <w:ind w:right="531"/>
              <w:spacing w:after="0"/>
              <w:rPr>
                <w:sz w:val="20"/>
                <w:szCs w:val="20"/>
                <w:color w:val="auto"/>
              </w:rPr>
            </w:pPr>
            <w:r>
              <w:rPr>
                <w:rFonts w:ascii="Arial" w:cs="Arial" w:eastAsia="Arial" w:hAnsi="Arial"/>
                <w:sz w:val="10"/>
                <w:szCs w:val="10"/>
                <w:color w:val="auto"/>
                <w:w w:val="71"/>
              </w:rPr>
              <w:t>$</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1"/>
                <w:szCs w:val="11"/>
                <w:color w:val="auto"/>
                <w:w w:val="93"/>
              </w:rPr>
              <w:t>0.50</w:t>
            </w:r>
          </w:p>
        </w:tc>
        <w:tc>
          <w:tcPr>
            <w:tcW w:w="1040" w:type="dxa"/>
            <w:vAlign w:val="bottom"/>
          </w:tcPr>
          <w:p>
            <w:pPr>
              <w:jc w:val="right"/>
              <w:ind w:right="929"/>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3.00</w:t>
            </w:r>
          </w:p>
        </w:tc>
        <w:tc>
          <w:tcPr>
            <w:tcW w:w="140" w:type="dxa"/>
            <w:vAlign w:val="bottom"/>
          </w:tcPr>
          <w:p>
            <w:pPr>
              <w:spacing w:after="0"/>
              <w:rPr>
                <w:sz w:val="11"/>
                <w:szCs w:val="11"/>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0.50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w:t>
            </w:r>
          </w:p>
        </w:tc>
        <w:tc>
          <w:tcPr>
            <w:tcW w:w="164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1.750%</w:t>
            </w: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w w:val="87"/>
              </w:rPr>
              <w:t>1.24% to</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87"/>
              </w:rPr>
              <w:t>2.40 %</w:t>
            </w:r>
          </w:p>
        </w:tc>
        <w:tc>
          <w:tcPr>
            <w:tcW w:w="6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1.24% to</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w w:val="87"/>
              </w:rPr>
              <w:t>2.40 %</w:t>
            </w:r>
          </w:p>
        </w:tc>
        <w:tc>
          <w:tcPr>
            <w:tcW w:w="104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4.25 %</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4.25 %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rPr>
                <w:sz w:val="20"/>
                <w:szCs w:val="20"/>
                <w:color w:val="auto"/>
              </w:rPr>
            </w:pPr>
            <w:r>
              <w:rPr>
                <w:rFonts w:ascii="Arial" w:cs="Arial" w:eastAsia="Arial" w:hAnsi="Arial"/>
                <w:sz w:val="11"/>
                <w:szCs w:val="11"/>
                <w:color w:val="auto"/>
              </w:rPr>
              <w:t>Volatility</w:t>
            </w:r>
          </w:p>
        </w:tc>
        <w:tc>
          <w:tcPr>
            <w:tcW w:w="1640" w:type="dxa"/>
            <w:vAlign w:val="bottom"/>
          </w:tcPr>
          <w:p>
            <w:pPr>
              <w:spacing w:after="0"/>
              <w:rPr>
                <w:sz w:val="11"/>
                <w:szCs w:val="11"/>
                <w:color w:val="auto"/>
              </w:rPr>
            </w:pPr>
          </w:p>
        </w:tc>
        <w:tc>
          <w:tcPr>
            <w:tcW w:w="1100" w:type="dxa"/>
            <w:vAlign w:val="bottom"/>
          </w:tcPr>
          <w:p>
            <w:pPr>
              <w:jc w:val="right"/>
              <w:ind w:right="107"/>
              <w:spacing w:after="0"/>
              <w:rPr>
                <w:sz w:val="20"/>
                <w:szCs w:val="20"/>
                <w:color w:val="auto"/>
              </w:rPr>
            </w:pPr>
            <w:r>
              <w:rPr>
                <w:rFonts w:ascii="Arial" w:cs="Arial" w:eastAsia="Arial" w:hAnsi="Arial"/>
                <w:sz w:val="11"/>
                <w:szCs w:val="11"/>
                <w:color w:val="auto"/>
              </w:rPr>
              <w:t>80.57%</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4"/>
          </w:tcPr>
          <w:p>
            <w:pPr>
              <w:jc w:val="center"/>
              <w:spacing w:after="0"/>
              <w:rPr>
                <w:sz w:val="20"/>
                <w:szCs w:val="20"/>
                <w:color w:val="auto"/>
              </w:rPr>
            </w:pPr>
            <w:r>
              <w:rPr>
                <w:rFonts w:ascii="Arial" w:cs="Arial" w:eastAsia="Arial" w:hAnsi="Arial"/>
                <w:sz w:val="11"/>
                <w:szCs w:val="11"/>
                <w:color w:val="auto"/>
                <w:w w:val="87"/>
              </w:rPr>
              <w:t>78.9% to 97.62 %</w:t>
            </w:r>
          </w:p>
        </w:tc>
        <w:tc>
          <w:tcPr>
            <w:tcW w:w="640" w:type="dxa"/>
            <w:vAlign w:val="bottom"/>
          </w:tcPr>
          <w:p>
            <w:pPr>
              <w:spacing w:after="0"/>
              <w:rPr>
                <w:sz w:val="11"/>
                <w:szCs w:val="11"/>
                <w:color w:val="auto"/>
              </w:rPr>
            </w:pPr>
          </w:p>
        </w:tc>
        <w:tc>
          <w:tcPr>
            <w:tcW w:w="1100" w:type="dxa"/>
            <w:vAlign w:val="bottom"/>
            <w:gridSpan w:val="5"/>
          </w:tcPr>
          <w:p>
            <w:pPr>
              <w:ind w:left="180"/>
              <w:spacing w:after="0"/>
              <w:rPr>
                <w:sz w:val="20"/>
                <w:szCs w:val="20"/>
                <w:color w:val="auto"/>
              </w:rPr>
            </w:pPr>
            <w:r>
              <w:rPr>
                <w:rFonts w:ascii="Arial" w:cs="Arial" w:eastAsia="Arial" w:hAnsi="Arial"/>
                <w:sz w:val="11"/>
                <w:szCs w:val="11"/>
                <w:color w:val="auto"/>
              </w:rPr>
              <w:t>78.9% to 97.62 %</w:t>
            </w:r>
          </w:p>
        </w:tc>
        <w:tc>
          <w:tcPr>
            <w:tcW w:w="1040" w:type="dxa"/>
            <w:vAlign w:val="bottom"/>
          </w:tcPr>
          <w:p>
            <w:pPr>
              <w:spacing w:after="0"/>
              <w:rPr>
                <w:sz w:val="11"/>
                <w:szCs w:val="11"/>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1"/>
                <w:szCs w:val="11"/>
                <w:color w:val="auto"/>
              </w:rPr>
              <w:t>76.10 %</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1"/>
                <w:szCs w:val="11"/>
                <w:color w:val="auto"/>
              </w:rPr>
              <w:t>76.10 %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1"/>
                <w:szCs w:val="11"/>
                <w:color w:val="auto"/>
              </w:rPr>
              <w:t>Expected term (years)</w:t>
            </w:r>
          </w:p>
        </w:tc>
        <w:tc>
          <w:tcPr>
            <w:tcW w:w="164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187"/>
              <w:spacing w:after="0"/>
              <w:rPr>
                <w:sz w:val="20"/>
                <w:szCs w:val="20"/>
                <w:color w:val="auto"/>
              </w:rPr>
            </w:pPr>
            <w:r>
              <w:rPr>
                <w:rFonts w:ascii="Arial" w:cs="Arial" w:eastAsia="Arial" w:hAnsi="Arial"/>
                <w:sz w:val="11"/>
                <w:szCs w:val="11"/>
                <w:color w:val="auto"/>
              </w:rPr>
              <w:t>5.00</w:t>
            </w: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w w:val="83"/>
              </w:rPr>
              <w:t>4.08 to</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3"/>
              </w:rPr>
              <w:t>7.35</w:t>
            </w:r>
          </w:p>
        </w:tc>
        <w:tc>
          <w:tcPr>
            <w:tcW w:w="6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4.08 to</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1"/>
                <w:szCs w:val="11"/>
                <w:color w:val="auto"/>
                <w:w w:val="93"/>
              </w:rPr>
              <w:t>7.35</w:t>
            </w:r>
          </w:p>
        </w:tc>
        <w:tc>
          <w:tcPr>
            <w:tcW w:w="10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2.15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2.15</w:t>
            </w:r>
          </w:p>
        </w:tc>
        <w:tc>
          <w:tcPr>
            <w:tcW w:w="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rPr>
                <w:sz w:val="20"/>
                <w:szCs w:val="20"/>
                <w:color w:val="auto"/>
              </w:rPr>
            </w:pPr>
            <w:r>
              <w:rPr>
                <w:rFonts w:ascii="Arial" w:cs="Arial" w:eastAsia="Arial" w:hAnsi="Arial"/>
                <w:sz w:val="11"/>
                <w:szCs w:val="11"/>
                <w:color w:val="auto"/>
              </w:rPr>
              <w:t>Dividend rate</w:t>
            </w:r>
          </w:p>
        </w:tc>
        <w:tc>
          <w:tcPr>
            <w:tcW w:w="1640" w:type="dxa"/>
            <w:vAlign w:val="bottom"/>
          </w:tcPr>
          <w:p>
            <w:pPr>
              <w:spacing w:after="0"/>
              <w:rPr>
                <w:sz w:val="11"/>
                <w:szCs w:val="11"/>
                <w:color w:val="auto"/>
              </w:rPr>
            </w:pPr>
          </w:p>
        </w:tc>
        <w:tc>
          <w:tcPr>
            <w:tcW w:w="1100" w:type="dxa"/>
            <w:vAlign w:val="bottom"/>
          </w:tcPr>
          <w:p>
            <w:pPr>
              <w:jc w:val="right"/>
              <w:ind w:right="107"/>
              <w:spacing w:after="0"/>
              <w:rPr>
                <w:sz w:val="20"/>
                <w:szCs w:val="20"/>
                <w:color w:val="auto"/>
              </w:rPr>
            </w:pPr>
            <w:r>
              <w:rPr>
                <w:rFonts w:ascii="Arial" w:cs="Arial" w:eastAsia="Arial" w:hAnsi="Arial"/>
                <w:sz w:val="11"/>
                <w:szCs w:val="11"/>
                <w:color w:val="auto"/>
              </w:rPr>
              <w:t>0%</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0 %</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1"/>
                <w:szCs w:val="11"/>
                <w:color w:val="auto"/>
              </w:rPr>
              <w:t>0 %</w:t>
            </w:r>
          </w:p>
        </w:tc>
        <w:tc>
          <w:tcPr>
            <w:tcW w:w="1040" w:type="dxa"/>
            <w:vAlign w:val="bottom"/>
          </w:tcPr>
          <w:p>
            <w:pPr>
              <w:spacing w:after="0"/>
              <w:rPr>
                <w:sz w:val="11"/>
                <w:szCs w:val="11"/>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1"/>
                <w:szCs w:val="11"/>
                <w:color w:val="auto"/>
              </w:rPr>
              <w:t>0 %</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1"/>
                <w:szCs w:val="11"/>
                <w:color w:val="auto"/>
              </w:rPr>
              <w:t>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1"/>
                <w:szCs w:val="11"/>
                <w:color w:val="auto"/>
              </w:rPr>
              <w:t>Fair value per share</w:t>
            </w:r>
          </w:p>
        </w:tc>
        <w:tc>
          <w:tcPr>
            <w:tcW w:w="1640" w:type="dxa"/>
            <w:vAlign w:val="bottom"/>
            <w:shd w:val="clear" w:color="auto" w:fill="CCEEFF"/>
          </w:tcPr>
          <w:p>
            <w:pPr>
              <w:jc w:val="right"/>
              <w:ind w:right="50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187"/>
              <w:spacing w:after="0"/>
              <w:rPr>
                <w:sz w:val="20"/>
                <w:szCs w:val="20"/>
                <w:color w:val="auto"/>
              </w:rPr>
            </w:pPr>
            <w:r>
              <w:rPr>
                <w:rFonts w:ascii="Arial" w:cs="Arial" w:eastAsia="Arial" w:hAnsi="Arial"/>
                <w:sz w:val="11"/>
                <w:szCs w:val="11"/>
                <w:color w:val="auto"/>
              </w:rPr>
              <w:t>0.29</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4"/>
            <w:shd w:val="clear" w:color="auto" w:fill="CCEEFF"/>
          </w:tcPr>
          <w:p>
            <w:pPr>
              <w:jc w:val="center"/>
              <w:ind w:right="20"/>
              <w:spacing w:after="0"/>
              <w:rPr>
                <w:sz w:val="20"/>
                <w:szCs w:val="20"/>
                <w:color w:val="auto"/>
              </w:rPr>
            </w:pPr>
            <w:r>
              <w:rPr>
                <w:rFonts w:ascii="Arial" w:cs="Arial" w:eastAsia="Arial" w:hAnsi="Arial"/>
                <w:sz w:val="11"/>
                <w:szCs w:val="11"/>
                <w:color w:val="auto"/>
                <w:w w:val="90"/>
              </w:rPr>
              <w:t>0.10 to $0.27</w:t>
            </w:r>
          </w:p>
        </w:tc>
        <w:tc>
          <w:tcPr>
            <w:tcW w:w="640" w:type="dxa"/>
            <w:vAlign w:val="bottom"/>
            <w:shd w:val="clear" w:color="auto" w:fill="CCEEFF"/>
          </w:tcPr>
          <w:p>
            <w:pPr>
              <w:jc w:val="right"/>
              <w:ind w:right="531"/>
              <w:spacing w:after="0"/>
              <w:rPr>
                <w:sz w:val="20"/>
                <w:szCs w:val="20"/>
                <w:color w:val="auto"/>
              </w:rPr>
            </w:pPr>
            <w:r>
              <w:rPr>
                <w:rFonts w:ascii="Arial" w:cs="Arial" w:eastAsia="Arial" w:hAnsi="Arial"/>
                <w:sz w:val="10"/>
                <w:szCs w:val="10"/>
                <w:color w:val="auto"/>
                <w:w w:val="71"/>
              </w:rPr>
              <w:t>$</w:t>
            </w:r>
          </w:p>
        </w:tc>
        <w:tc>
          <w:tcPr>
            <w:tcW w:w="1100" w:type="dxa"/>
            <w:vAlign w:val="bottom"/>
            <w:gridSpan w:val="5"/>
            <w:shd w:val="clear" w:color="auto" w:fill="CCEEFF"/>
          </w:tcPr>
          <w:p>
            <w:pPr>
              <w:ind w:left="260"/>
              <w:spacing w:after="0"/>
              <w:rPr>
                <w:sz w:val="20"/>
                <w:szCs w:val="20"/>
                <w:color w:val="auto"/>
              </w:rPr>
            </w:pPr>
            <w:r>
              <w:rPr>
                <w:rFonts w:ascii="Arial" w:cs="Arial" w:eastAsia="Arial" w:hAnsi="Arial"/>
                <w:sz w:val="11"/>
                <w:szCs w:val="11"/>
                <w:color w:val="auto"/>
              </w:rPr>
              <w:t>0.21 to $0.32</w:t>
            </w:r>
          </w:p>
        </w:tc>
        <w:tc>
          <w:tcPr>
            <w:tcW w:w="1040" w:type="dxa"/>
            <w:vAlign w:val="bottom"/>
            <w:shd w:val="clear" w:color="auto" w:fill="CCEEFF"/>
          </w:tcPr>
          <w:p>
            <w:pPr>
              <w:jc w:val="right"/>
              <w:ind w:right="929"/>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0.02</w:t>
            </w: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0.14</w:t>
            </w:r>
          </w:p>
        </w:tc>
        <w:tc>
          <w:tcPr>
            <w:tcW w:w="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20" w:type="dxa"/>
            <w:vAlign w:val="bottom"/>
          </w:tcPr>
          <w:p>
            <w:pPr>
              <w:spacing w:after="0"/>
              <w:rPr>
                <w:sz w:val="20"/>
                <w:szCs w:val="20"/>
                <w:color w:val="auto"/>
              </w:rPr>
            </w:pPr>
            <w:r>
              <w:rPr>
                <w:rFonts w:ascii="Arial" w:cs="Arial" w:eastAsia="Arial" w:hAnsi="Arial"/>
                <w:sz w:val="11"/>
                <w:szCs w:val="11"/>
                <w:color w:val="auto"/>
              </w:rPr>
              <w:t>Aggregate shares</w:t>
            </w:r>
          </w:p>
        </w:tc>
        <w:tc>
          <w:tcPr>
            <w:tcW w:w="1640" w:type="dxa"/>
            <w:vAlign w:val="bottom"/>
          </w:tcPr>
          <w:p>
            <w:pPr>
              <w:spacing w:after="0"/>
              <w:rPr>
                <w:sz w:val="11"/>
                <w:szCs w:val="11"/>
                <w:color w:val="auto"/>
              </w:rPr>
            </w:pPr>
          </w:p>
        </w:tc>
        <w:tc>
          <w:tcPr>
            <w:tcW w:w="1100" w:type="dxa"/>
            <w:vAlign w:val="bottom"/>
          </w:tcPr>
          <w:p>
            <w:pPr>
              <w:jc w:val="right"/>
              <w:ind w:right="187"/>
              <w:spacing w:after="0"/>
              <w:rPr>
                <w:sz w:val="20"/>
                <w:szCs w:val="20"/>
                <w:color w:val="auto"/>
              </w:rPr>
            </w:pPr>
            <w:r>
              <w:rPr>
                <w:rFonts w:ascii="Arial" w:cs="Arial" w:eastAsia="Arial" w:hAnsi="Arial"/>
                <w:sz w:val="11"/>
                <w:szCs w:val="11"/>
                <w:color w:val="auto"/>
              </w:rPr>
              <w:t>115,000</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5"/>
          </w:tcPr>
          <w:p>
            <w:pPr>
              <w:jc w:val="right"/>
              <w:ind w:right="120"/>
              <w:spacing w:after="0"/>
              <w:rPr>
                <w:sz w:val="20"/>
                <w:szCs w:val="20"/>
                <w:color w:val="auto"/>
              </w:rPr>
            </w:pPr>
            <w:r>
              <w:rPr>
                <w:rFonts w:ascii="Arial" w:cs="Arial" w:eastAsia="Arial" w:hAnsi="Arial"/>
                <w:sz w:val="11"/>
                <w:szCs w:val="11"/>
                <w:color w:val="auto"/>
              </w:rPr>
              <w:t>422,500</w:t>
            </w:r>
          </w:p>
        </w:tc>
        <w:tc>
          <w:tcPr>
            <w:tcW w:w="640" w:type="dxa"/>
            <w:vAlign w:val="bottom"/>
          </w:tcPr>
          <w:p>
            <w:pPr>
              <w:spacing w:after="0"/>
              <w:rPr>
                <w:sz w:val="11"/>
                <w:szCs w:val="11"/>
                <w:color w:val="auto"/>
              </w:rPr>
            </w:pPr>
          </w:p>
        </w:tc>
        <w:tc>
          <w:tcPr>
            <w:tcW w:w="1100" w:type="dxa"/>
            <w:vAlign w:val="bottom"/>
            <w:gridSpan w:val="5"/>
          </w:tcPr>
          <w:p>
            <w:pPr>
              <w:jc w:val="right"/>
              <w:ind w:right="260"/>
              <w:spacing w:after="0"/>
              <w:rPr>
                <w:sz w:val="20"/>
                <w:szCs w:val="20"/>
                <w:color w:val="auto"/>
              </w:rPr>
            </w:pPr>
            <w:r>
              <w:rPr>
                <w:rFonts w:ascii="Arial" w:cs="Arial" w:eastAsia="Arial" w:hAnsi="Arial"/>
                <w:sz w:val="11"/>
                <w:szCs w:val="11"/>
                <w:color w:val="auto"/>
              </w:rPr>
              <w:t>422,500</w:t>
            </w:r>
          </w:p>
        </w:tc>
        <w:tc>
          <w:tcPr>
            <w:tcW w:w="104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100,000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100,000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7195820</wp:posOffset>
            </wp:positionH>
            <wp:positionV relativeFrom="paragraph">
              <wp:posOffset>-686435</wp:posOffset>
            </wp:positionV>
            <wp:extent cx="9144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1440" cy="85725"/>
                    </a:xfrm>
                    <a:prstGeom prst="rect">
                      <a:avLst/>
                    </a:prstGeom>
                    <a:noFill/>
                  </pic:spPr>
                </pic:pic>
              </a:graphicData>
            </a:graphic>
          </wp:anchor>
        </w:drawing>
        <w:drawing>
          <wp:anchor simplePos="0" relativeHeight="251657728" behindDoc="1" locked="0" layoutInCell="0" allowOverlap="1">
            <wp:simplePos x="0" y="0"/>
            <wp:positionH relativeFrom="column">
              <wp:posOffset>7195820</wp:posOffset>
            </wp:positionH>
            <wp:positionV relativeFrom="paragraph">
              <wp:posOffset>-514985</wp:posOffset>
            </wp:positionV>
            <wp:extent cx="9144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1440" cy="85725"/>
                    </a:xfrm>
                    <a:prstGeom prst="rect">
                      <a:avLst/>
                    </a:prstGeom>
                    <a:noFill/>
                  </pic:spPr>
                </pic:pic>
              </a:graphicData>
            </a:graphic>
          </wp:anchor>
        </w:drawing>
        <w:drawing>
          <wp:anchor simplePos="0" relativeHeight="251657728" behindDoc="1" locked="0" layoutInCell="0" allowOverlap="1">
            <wp:simplePos x="0" y="0"/>
            <wp:positionH relativeFrom="column">
              <wp:posOffset>7195820</wp:posOffset>
            </wp:positionH>
            <wp:positionV relativeFrom="paragraph">
              <wp:posOffset>-343535</wp:posOffset>
            </wp:positionV>
            <wp:extent cx="9144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1440" cy="85725"/>
                    </a:xfrm>
                    <a:prstGeom prst="rect">
                      <a:avLst/>
                    </a:prstGeom>
                    <a:noFill/>
                  </pic:spPr>
                </pic:pic>
              </a:graphicData>
            </a:graphic>
          </wp:anchor>
        </w:drawing>
        <w:drawing>
          <wp:anchor simplePos="0" relativeHeight="251657728" behindDoc="1" locked="0" layoutInCell="0" allowOverlap="1">
            <wp:simplePos x="0" y="0"/>
            <wp:positionH relativeFrom="column">
              <wp:posOffset>7195820</wp:posOffset>
            </wp:positionH>
            <wp:positionV relativeFrom="paragraph">
              <wp:posOffset>-171450</wp:posOffset>
            </wp:positionV>
            <wp:extent cx="9144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1440" cy="8572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to Director Compensation for Fiscal Year Ending March 31, 2015</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We have adopted a new director compensation policy for our independent directors, as independence is defined by the NASDAQ Stock Market, effective for our fiscal year beginning April 1, 2014. Under the new independent director compensation policy, our independent directors will receive a $25,000 annual cash retainer. For service on a committee of the board, an independent director will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Each independent director will also receive an annual grant of an option to purchase 25,000 shares, which will vest monthly over a one-year period from the date of grant. The first grant of options under this policy will be made effective as soon as practicable following April 1, 2014. Future grants are expected to be made on the same date as our annual meeting. Prorated option grants will be made for partial years of service.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Limitations of Liability and Indemnification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Our Bylaws provide that we will indemnify our directors, officers and employees to the fullest extent permitted by the Nevada Revised Statutes (</w:t>
      </w:r>
      <w:r>
        <w:rPr>
          <w:rFonts w:ascii="Arial" w:cs="Arial" w:eastAsia="Arial" w:hAnsi="Arial"/>
          <w:sz w:val="12"/>
          <w:szCs w:val="12"/>
          <w:i w:val="1"/>
          <w:iCs w:val="1"/>
          <w:color w:val="auto"/>
        </w:rPr>
        <w:t>NRS</w:t>
      </w:r>
      <w:r>
        <w:rPr>
          <w:rFonts w:ascii="Arial" w:cs="Arial" w:eastAsia="Arial" w:hAnsi="Arial"/>
          <w:sz w:val="12"/>
          <w:szCs w:val="12"/>
          <w:color w:val="auto"/>
        </w:rPr>
        <w:t>).</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08" w:name="page109"/>
    <w:bookmarkEnd w:id="108"/>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limitation of liability and indemnification provisions in our Bylaws may discourage shareholders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SECURITY OWNERSHIP OF CERTAIN BENEFICIAL OWNERS AND MANAGEMENT</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certain information with respect to the beneficial ownership of our common stock as of July 1, 2014 and as adjusted to reflect the sale of all common stock offered by us in this Offering for:</w:t>
      </w:r>
    </w:p>
    <w:p>
      <w:pPr>
        <w:spacing w:after="0" w:line="168" w:lineRule="exact"/>
        <w:rPr>
          <w:sz w:val="20"/>
          <w:szCs w:val="20"/>
          <w:color w:val="auto"/>
        </w:rPr>
      </w:pPr>
    </w:p>
    <w:p>
      <w:pPr>
        <w:ind w:left="420" w:hanging="248"/>
        <w:spacing w:after="0"/>
        <w:tabs>
          <w:tab w:leader="none" w:pos="4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each stockholder known by us to be the beneficial owner of more than 5% of our common stock;</w:t>
      </w:r>
    </w:p>
    <w:p>
      <w:pPr>
        <w:spacing w:after="0" w:line="14" w:lineRule="exact"/>
        <w:rPr>
          <w:rFonts w:ascii="Arial" w:cs="Arial" w:eastAsia="Arial" w:hAnsi="Arial"/>
          <w:sz w:val="12"/>
          <w:szCs w:val="12"/>
          <w:color w:val="auto"/>
        </w:rPr>
      </w:pPr>
    </w:p>
    <w:p>
      <w:pPr>
        <w:ind w:left="420" w:hanging="248"/>
        <w:spacing w:after="0"/>
        <w:tabs>
          <w:tab w:leader="none" w:pos="4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each of our directors;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each of our named executive officers; and</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all of our directors and executive officers as a group.</w:t>
      </w:r>
    </w:p>
    <w:p>
      <w:pPr>
        <w:spacing w:after="0" w:line="15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of the capital stock that they beneficially own, subject to applicable community property laws.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Applicable percentage ownership is based on 25,506,877 shares of capital stock outstanding at July 1, 2014 In computing the number of shares of common stock beneficially owned by a person, we deemed to be outstanding all shares of common stock subject to options or warrants held by that person or entity that are currently exercisable or that will become exercisable within 60 days of July 1, 2014 and all shares of common stock issuable pursuant to promissory notes and related accrued interest convertible into shares of common stock at July 1, 2014. In computing the percentage of shares beneficially owned before this Offering, we deemed to be outstanding all shares of common stock subject to options or warrants held by that person or entity that are currently exercisable or that will become exercisable within 60 days of July 1, 2014 and all shares of common stock issuable pursuant to promissory notes and related accrued interest convertible into shares of common stock at July 1, 2014. Unless otherwise noted below, the address of each beneficial owner listed in the table is c/o VistaGen Therapeutics, Inc., 343 Allerton Avenue, South San Francisco, California 94080.</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09" w:name="page110"/>
    <w:bookmarkEnd w:id="109"/>
    <w:tbl>
      <w:tblPr>
        <w:tblLayout w:type="fixed"/>
        <w:tblInd w:w="8" w:type="dxa"/>
        <w:tblCellMar>
          <w:top w:w="0" w:type="dxa"/>
          <w:left w:w="0" w:type="dxa"/>
          <w:bottom w:w="0" w:type="dxa"/>
          <w:right w:w="0" w:type="dxa"/>
        </w:tblCellMar>
      </w:tblPr>
      <w:tr>
        <w:trPr>
          <w:trHeight w:val="115"/>
        </w:trPr>
        <w:tc>
          <w:tcPr>
            <w:tcW w:w="5840" w:type="dxa"/>
            <w:vAlign w:val="bottom"/>
            <w:gridSpan w:val="3"/>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1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Percent of shares</w:t>
            </w:r>
          </w:p>
        </w:tc>
        <w:tc>
          <w:tcPr>
            <w:tcW w:w="17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Percent of shares beneficially</w:t>
            </w:r>
          </w:p>
        </w:tc>
        <w:tc>
          <w:tcPr>
            <w:tcW w:w="0" w:type="dxa"/>
            <w:vAlign w:val="bottom"/>
          </w:tcPr>
          <w:p>
            <w:pPr>
              <w:spacing w:after="0"/>
              <w:rPr>
                <w:sz w:val="1"/>
                <w:szCs w:val="1"/>
                <w:color w:val="auto"/>
              </w:rPr>
            </w:pPr>
          </w:p>
        </w:tc>
      </w:tr>
      <w:tr>
        <w:trPr>
          <w:trHeight w:val="144"/>
        </w:trPr>
        <w:tc>
          <w:tcPr>
            <w:tcW w:w="5840" w:type="dxa"/>
            <w:vAlign w:val="bottom"/>
            <w:gridSpan w:val="3"/>
          </w:tcPr>
          <w:p>
            <w:pPr>
              <w:spacing w:after="0"/>
              <w:rPr>
                <w:sz w:val="20"/>
                <w:szCs w:val="20"/>
                <w:color w:val="auto"/>
              </w:rPr>
            </w:pPr>
            <w:r>
              <w:rPr>
                <w:rFonts w:ascii="Arial" w:cs="Arial" w:eastAsia="Arial" w:hAnsi="Arial"/>
                <w:sz w:val="12"/>
                <w:szCs w:val="12"/>
                <w:b w:val="1"/>
                <w:bCs w:val="1"/>
                <w:color w:val="auto"/>
              </w:rPr>
              <w:t>Name and address of beneficial owner</w:t>
            </w:r>
          </w:p>
        </w:tc>
        <w:tc>
          <w:tcPr>
            <w:tcW w:w="1840" w:type="dxa"/>
            <w:vAlign w:val="bottom"/>
          </w:tcPr>
          <w:p>
            <w:pPr>
              <w:jc w:val="right"/>
              <w:ind w:right="100"/>
              <w:spacing w:after="0"/>
              <w:rPr>
                <w:sz w:val="20"/>
                <w:szCs w:val="20"/>
                <w:color w:val="auto"/>
              </w:rPr>
            </w:pPr>
            <w:r>
              <w:rPr>
                <w:rFonts w:ascii="Arial" w:cs="Arial" w:eastAsia="Arial" w:hAnsi="Arial"/>
                <w:sz w:val="12"/>
                <w:szCs w:val="12"/>
                <w:b w:val="1"/>
                <w:bCs w:val="1"/>
                <w:color w:val="auto"/>
                <w:w w:val="97"/>
              </w:rPr>
              <w:t>Number of shares beneficially</w:t>
            </w:r>
          </w:p>
        </w:tc>
        <w:tc>
          <w:tcPr>
            <w:tcW w:w="220" w:type="dxa"/>
            <w:vAlign w:val="bottom"/>
          </w:tcPr>
          <w:p>
            <w:pPr>
              <w:spacing w:after="0"/>
              <w:rPr>
                <w:sz w:val="12"/>
                <w:szCs w:val="12"/>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8"/>
              </w:rPr>
              <w:t>beneficially owned</w:t>
            </w:r>
          </w:p>
        </w:tc>
        <w:tc>
          <w:tcPr>
            <w:tcW w:w="17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4"/>
              </w:rPr>
              <w:t>owned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840" w:type="dxa"/>
            <w:vAlign w:val="bottom"/>
          </w:tcPr>
          <w:p>
            <w:pPr>
              <w:jc w:val="right"/>
              <w:ind w:right="700"/>
              <w:spacing w:after="0"/>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3"/>
                <w:szCs w:val="13"/>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before Offering</w:t>
            </w:r>
          </w:p>
        </w:tc>
        <w:tc>
          <w:tcPr>
            <w:tcW w:w="1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after Offering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Executive officers and directors</w:t>
            </w:r>
          </w:p>
        </w:tc>
        <w:tc>
          <w:tcPr>
            <w:tcW w:w="18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tcPr>
          <w:p>
            <w:pPr>
              <w:spacing w:after="0" w:line="144" w:lineRule="exact"/>
              <w:rPr>
                <w:sz w:val="20"/>
                <w:szCs w:val="20"/>
                <w:color w:val="auto"/>
              </w:rPr>
            </w:pPr>
            <w:r>
              <w:rPr>
                <w:rFonts w:ascii="Arial" w:cs="Arial" w:eastAsia="Arial" w:hAnsi="Arial"/>
                <w:sz w:val="12"/>
                <w:szCs w:val="12"/>
                <w:color w:val="auto"/>
              </w:rPr>
              <w:t xml:space="preserve">Shawn K. Singh, JD </w:t>
            </w:r>
            <w:r>
              <w:rPr>
                <w:rFonts w:ascii="Arial" w:cs="Arial" w:eastAsia="Arial" w:hAnsi="Arial"/>
                <w:sz w:val="16"/>
                <w:szCs w:val="16"/>
                <w:color w:val="auto"/>
                <w:vertAlign w:val="superscript"/>
              </w:rPr>
              <w:t>(1)</w:t>
            </w:r>
          </w:p>
        </w:tc>
        <w:tc>
          <w:tcPr>
            <w:tcW w:w="1840" w:type="dxa"/>
            <w:vAlign w:val="bottom"/>
          </w:tcPr>
          <w:p>
            <w:pPr>
              <w:jc w:val="right"/>
              <w:spacing w:after="0"/>
              <w:rPr>
                <w:sz w:val="20"/>
                <w:szCs w:val="20"/>
                <w:color w:val="auto"/>
              </w:rPr>
            </w:pPr>
            <w:r>
              <w:rPr>
                <w:rFonts w:ascii="Arial" w:cs="Arial" w:eastAsia="Arial" w:hAnsi="Arial"/>
                <w:sz w:val="12"/>
                <w:szCs w:val="12"/>
                <w:color w:val="auto"/>
              </w:rPr>
              <w:t>3,467,459</w:t>
            </w:r>
          </w:p>
        </w:tc>
        <w:tc>
          <w:tcPr>
            <w:tcW w:w="2040" w:type="dxa"/>
            <w:vAlign w:val="bottom"/>
            <w:gridSpan w:val="3"/>
          </w:tcPr>
          <w:p>
            <w:pPr>
              <w:jc w:val="right"/>
              <w:ind w:right="240"/>
              <w:spacing w:after="0"/>
              <w:rPr>
                <w:sz w:val="20"/>
                <w:szCs w:val="20"/>
                <w:color w:val="auto"/>
              </w:rPr>
            </w:pPr>
            <w:r>
              <w:rPr>
                <w:rFonts w:ascii="Arial" w:cs="Arial" w:eastAsia="Arial" w:hAnsi="Arial"/>
                <w:sz w:val="12"/>
                <w:szCs w:val="12"/>
                <w:color w:val="auto"/>
              </w:rPr>
              <w:t>12.14%</w:t>
            </w:r>
          </w:p>
        </w:tc>
        <w:tc>
          <w:tcPr>
            <w:tcW w:w="1760" w:type="dxa"/>
            <w:vAlign w:val="bottom"/>
            <w:gridSpan w:val="2"/>
          </w:tcPr>
          <w:p>
            <w:pPr>
              <w:jc w:val="right"/>
              <w:ind w:right="4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 xml:space="preserve">H. Ralph Snodgrass, PhD </w:t>
            </w:r>
            <w:r>
              <w:rPr>
                <w:rFonts w:ascii="Arial" w:cs="Arial" w:eastAsia="Arial" w:hAnsi="Arial"/>
                <w:sz w:val="16"/>
                <w:szCs w:val="16"/>
                <w:color w:val="auto"/>
                <w:vertAlign w:val="superscript"/>
              </w:rPr>
              <w:t>(2)</w:t>
            </w: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2,469,163</w:t>
            </w:r>
          </w:p>
        </w:tc>
        <w:tc>
          <w:tcPr>
            <w:tcW w:w="204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9.22%</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tcPr>
          <w:p>
            <w:pPr>
              <w:spacing w:after="0" w:line="144" w:lineRule="exact"/>
              <w:rPr>
                <w:sz w:val="20"/>
                <w:szCs w:val="20"/>
                <w:color w:val="auto"/>
              </w:rPr>
            </w:pPr>
            <w:r>
              <w:rPr>
                <w:rFonts w:ascii="Arial" w:cs="Arial" w:eastAsia="Arial" w:hAnsi="Arial"/>
                <w:sz w:val="12"/>
                <w:szCs w:val="12"/>
                <w:color w:val="auto"/>
              </w:rPr>
              <w:t xml:space="preserve">Jerrold D. Dotson </w:t>
            </w:r>
            <w:r>
              <w:rPr>
                <w:rFonts w:ascii="Arial" w:cs="Arial" w:eastAsia="Arial" w:hAnsi="Arial"/>
                <w:sz w:val="16"/>
                <w:szCs w:val="16"/>
                <w:color w:val="auto"/>
                <w:vertAlign w:val="superscript"/>
              </w:rPr>
              <w:t>(3)</w:t>
            </w:r>
          </w:p>
        </w:tc>
        <w:tc>
          <w:tcPr>
            <w:tcW w:w="1840" w:type="dxa"/>
            <w:vAlign w:val="bottom"/>
          </w:tcPr>
          <w:p>
            <w:pPr>
              <w:jc w:val="right"/>
              <w:spacing w:after="0"/>
              <w:rPr>
                <w:sz w:val="20"/>
                <w:szCs w:val="20"/>
                <w:color w:val="auto"/>
              </w:rPr>
            </w:pPr>
            <w:r>
              <w:rPr>
                <w:rFonts w:ascii="Arial" w:cs="Arial" w:eastAsia="Arial" w:hAnsi="Arial"/>
                <w:sz w:val="12"/>
                <w:szCs w:val="12"/>
                <w:color w:val="auto"/>
              </w:rPr>
              <w:t>314,107</w:t>
            </w:r>
          </w:p>
        </w:tc>
        <w:tc>
          <w:tcPr>
            <w:tcW w:w="2040" w:type="dxa"/>
            <w:vAlign w:val="bottom"/>
            <w:gridSpan w:val="3"/>
          </w:tcPr>
          <w:p>
            <w:pPr>
              <w:jc w:val="right"/>
              <w:ind w:right="240"/>
              <w:spacing w:after="0"/>
              <w:rPr>
                <w:sz w:val="20"/>
                <w:szCs w:val="20"/>
                <w:color w:val="auto"/>
              </w:rPr>
            </w:pPr>
            <w:r>
              <w:rPr>
                <w:rFonts w:ascii="Arial" w:cs="Arial" w:eastAsia="Arial" w:hAnsi="Arial"/>
                <w:sz w:val="12"/>
                <w:szCs w:val="12"/>
                <w:color w:val="auto"/>
              </w:rPr>
              <w:t>1.22%</w:t>
            </w:r>
          </w:p>
        </w:tc>
        <w:tc>
          <w:tcPr>
            <w:tcW w:w="1760" w:type="dxa"/>
            <w:vAlign w:val="bottom"/>
            <w:gridSpan w:val="2"/>
          </w:tcPr>
          <w:p>
            <w:pPr>
              <w:jc w:val="right"/>
              <w:ind w:right="4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 xml:space="preserve">Jon S. Saxe </w:t>
            </w:r>
            <w:r>
              <w:rPr>
                <w:rFonts w:ascii="Arial" w:cs="Arial" w:eastAsia="Arial" w:hAnsi="Arial"/>
                <w:sz w:val="16"/>
                <w:szCs w:val="16"/>
                <w:color w:val="auto"/>
                <w:vertAlign w:val="superscript"/>
              </w:rPr>
              <w:t>(4)</w:t>
            </w: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474,158</w:t>
            </w:r>
          </w:p>
        </w:tc>
        <w:tc>
          <w:tcPr>
            <w:tcW w:w="204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1.83%</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tcPr>
          <w:p>
            <w:pPr>
              <w:spacing w:after="0" w:line="144" w:lineRule="exact"/>
              <w:rPr>
                <w:sz w:val="20"/>
                <w:szCs w:val="20"/>
                <w:color w:val="auto"/>
              </w:rPr>
            </w:pPr>
            <w:r>
              <w:rPr>
                <w:rFonts w:ascii="Arial" w:cs="Arial" w:eastAsia="Arial" w:hAnsi="Arial"/>
                <w:sz w:val="12"/>
                <w:szCs w:val="12"/>
                <w:color w:val="auto"/>
              </w:rPr>
              <w:t xml:space="preserve">Brian J. Underdown, PhD </w:t>
            </w:r>
            <w:r>
              <w:rPr>
                <w:rFonts w:ascii="Arial" w:cs="Arial" w:eastAsia="Arial" w:hAnsi="Arial"/>
                <w:sz w:val="16"/>
                <w:szCs w:val="16"/>
                <w:color w:val="auto"/>
                <w:vertAlign w:val="superscript"/>
              </w:rPr>
              <w:t>(5)</w:t>
            </w:r>
          </w:p>
        </w:tc>
        <w:tc>
          <w:tcPr>
            <w:tcW w:w="1840" w:type="dxa"/>
            <w:vAlign w:val="bottom"/>
          </w:tcPr>
          <w:p>
            <w:pPr>
              <w:jc w:val="right"/>
              <w:spacing w:after="0"/>
              <w:rPr>
                <w:sz w:val="20"/>
                <w:szCs w:val="20"/>
                <w:color w:val="auto"/>
              </w:rPr>
            </w:pPr>
            <w:r>
              <w:rPr>
                <w:rFonts w:ascii="Arial" w:cs="Arial" w:eastAsia="Arial" w:hAnsi="Arial"/>
                <w:sz w:val="12"/>
                <w:szCs w:val="12"/>
                <w:color w:val="auto"/>
              </w:rPr>
              <w:t>364,166</w:t>
            </w:r>
          </w:p>
        </w:tc>
        <w:tc>
          <w:tcPr>
            <w:tcW w:w="2040" w:type="dxa"/>
            <w:vAlign w:val="bottom"/>
            <w:gridSpan w:val="3"/>
          </w:tcPr>
          <w:p>
            <w:pPr>
              <w:jc w:val="right"/>
              <w:ind w:right="240"/>
              <w:spacing w:after="0"/>
              <w:rPr>
                <w:sz w:val="20"/>
                <w:szCs w:val="20"/>
                <w:color w:val="auto"/>
              </w:rPr>
            </w:pPr>
            <w:r>
              <w:rPr>
                <w:rFonts w:ascii="Arial" w:cs="Arial" w:eastAsia="Arial" w:hAnsi="Arial"/>
                <w:sz w:val="12"/>
                <w:szCs w:val="12"/>
                <w:color w:val="auto"/>
              </w:rPr>
              <w:t>1.41%</w:t>
            </w:r>
          </w:p>
        </w:tc>
        <w:tc>
          <w:tcPr>
            <w:tcW w:w="1760" w:type="dxa"/>
            <w:vAlign w:val="bottom"/>
            <w:gridSpan w:val="2"/>
          </w:tcPr>
          <w:p>
            <w:pPr>
              <w:jc w:val="right"/>
              <w:ind w:right="4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1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820" w:type="dxa"/>
            <w:vAlign w:val="bottom"/>
            <w:gridSpan w:val="2"/>
          </w:tcPr>
          <w:p>
            <w:pPr>
              <w:spacing w:after="0"/>
              <w:rPr>
                <w:sz w:val="20"/>
                <w:szCs w:val="20"/>
                <w:color w:val="auto"/>
              </w:rPr>
            </w:pPr>
            <w:r>
              <w:rPr>
                <w:rFonts w:ascii="Arial" w:cs="Arial" w:eastAsia="Arial" w:hAnsi="Arial"/>
                <w:sz w:val="12"/>
                <w:szCs w:val="12"/>
                <w:i w:val="1"/>
                <w:iCs w:val="1"/>
                <w:color w:val="auto"/>
              </w:rPr>
              <w:t>5% Stockholders</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 xml:space="preserve">Cato BioVentures </w:t>
            </w:r>
            <w:r>
              <w:rPr>
                <w:rFonts w:ascii="Arial" w:cs="Arial" w:eastAsia="Arial" w:hAnsi="Arial"/>
                <w:sz w:val="16"/>
                <w:szCs w:val="16"/>
                <w:color w:val="auto"/>
                <w:vertAlign w:val="superscript"/>
              </w:rPr>
              <w:t>(6)</w:t>
            </w: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4,708,257</w:t>
            </w:r>
          </w:p>
        </w:tc>
        <w:tc>
          <w:tcPr>
            <w:tcW w:w="204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17.50%</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tcPr>
          <w:p>
            <w:pPr>
              <w:spacing w:after="0" w:line="144" w:lineRule="exact"/>
              <w:rPr>
                <w:sz w:val="20"/>
                <w:szCs w:val="20"/>
                <w:color w:val="auto"/>
              </w:rPr>
            </w:pPr>
            <w:r>
              <w:rPr>
                <w:rFonts w:ascii="Arial" w:cs="Arial" w:eastAsia="Arial" w:hAnsi="Arial"/>
                <w:sz w:val="12"/>
                <w:szCs w:val="12"/>
                <w:color w:val="auto"/>
              </w:rPr>
              <w:t xml:space="preserve">Platinum Long Term Growth Fund VII </w:t>
            </w:r>
            <w:r>
              <w:rPr>
                <w:rFonts w:ascii="Arial" w:cs="Arial" w:eastAsia="Arial" w:hAnsi="Arial"/>
                <w:sz w:val="16"/>
                <w:szCs w:val="16"/>
                <w:color w:val="auto"/>
                <w:vertAlign w:val="superscript"/>
              </w:rPr>
              <w:t>(7)</w:t>
            </w:r>
          </w:p>
        </w:tc>
        <w:tc>
          <w:tcPr>
            <w:tcW w:w="1840" w:type="dxa"/>
            <w:vAlign w:val="bottom"/>
          </w:tcPr>
          <w:p>
            <w:pPr>
              <w:jc w:val="right"/>
              <w:spacing w:after="0"/>
              <w:rPr>
                <w:sz w:val="20"/>
                <w:szCs w:val="20"/>
                <w:color w:val="auto"/>
              </w:rPr>
            </w:pPr>
            <w:r>
              <w:rPr>
                <w:rFonts w:ascii="Arial" w:cs="Arial" w:eastAsia="Arial" w:hAnsi="Arial"/>
                <w:sz w:val="12"/>
                <w:szCs w:val="12"/>
                <w:color w:val="auto"/>
              </w:rPr>
              <w:t>1,540,000</w:t>
            </w:r>
          </w:p>
        </w:tc>
        <w:tc>
          <w:tcPr>
            <w:tcW w:w="2040" w:type="dxa"/>
            <w:vAlign w:val="bottom"/>
            <w:gridSpan w:val="3"/>
          </w:tcPr>
          <w:p>
            <w:pPr>
              <w:jc w:val="right"/>
              <w:ind w:right="240"/>
              <w:spacing w:after="0"/>
              <w:rPr>
                <w:sz w:val="20"/>
                <w:szCs w:val="20"/>
                <w:color w:val="auto"/>
              </w:rPr>
            </w:pPr>
            <w:r>
              <w:rPr>
                <w:rFonts w:ascii="Arial" w:cs="Arial" w:eastAsia="Arial" w:hAnsi="Arial"/>
                <w:sz w:val="12"/>
                <w:szCs w:val="12"/>
                <w:color w:val="auto"/>
              </w:rPr>
              <w:t>6.04%</w:t>
            </w:r>
          </w:p>
        </w:tc>
        <w:tc>
          <w:tcPr>
            <w:tcW w:w="1760" w:type="dxa"/>
            <w:vAlign w:val="bottom"/>
            <w:gridSpan w:val="2"/>
          </w:tcPr>
          <w:p>
            <w:pPr>
              <w:jc w:val="right"/>
              <w:ind w:right="4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 xml:space="preserve">Morrison &amp; Foerster LLP </w:t>
            </w:r>
            <w:r>
              <w:rPr>
                <w:rFonts w:ascii="Arial" w:cs="Arial" w:eastAsia="Arial" w:hAnsi="Arial"/>
                <w:sz w:val="16"/>
                <w:szCs w:val="16"/>
                <w:color w:val="auto"/>
                <w:vertAlign w:val="superscript"/>
              </w:rPr>
              <w:t>(8)</w:t>
            </w: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2,233,957</w:t>
            </w:r>
          </w:p>
        </w:tc>
        <w:tc>
          <w:tcPr>
            <w:tcW w:w="204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8.11%</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tcPr>
          <w:p>
            <w:pPr>
              <w:spacing w:after="0" w:line="144" w:lineRule="exact"/>
              <w:rPr>
                <w:sz w:val="20"/>
                <w:szCs w:val="20"/>
                <w:color w:val="auto"/>
              </w:rPr>
            </w:pPr>
            <w:r>
              <w:rPr>
                <w:rFonts w:ascii="Arial" w:cs="Arial" w:eastAsia="Arial" w:hAnsi="Arial"/>
                <w:sz w:val="12"/>
                <w:szCs w:val="12"/>
                <w:color w:val="auto"/>
              </w:rPr>
              <w:t xml:space="preserve">David Young </w:t>
            </w:r>
            <w:r>
              <w:rPr>
                <w:rFonts w:ascii="Arial" w:cs="Arial" w:eastAsia="Arial" w:hAnsi="Arial"/>
                <w:sz w:val="16"/>
                <w:szCs w:val="16"/>
                <w:color w:val="auto"/>
                <w:vertAlign w:val="superscript"/>
              </w:rPr>
              <w:t>(9)</w:t>
            </w:r>
          </w:p>
        </w:tc>
        <w:tc>
          <w:tcPr>
            <w:tcW w:w="1840" w:type="dxa"/>
            <w:vAlign w:val="bottom"/>
          </w:tcPr>
          <w:p>
            <w:pPr>
              <w:jc w:val="right"/>
              <w:spacing w:after="0"/>
              <w:rPr>
                <w:sz w:val="20"/>
                <w:szCs w:val="20"/>
                <w:color w:val="auto"/>
              </w:rPr>
            </w:pPr>
            <w:r>
              <w:rPr>
                <w:rFonts w:ascii="Arial" w:cs="Arial" w:eastAsia="Arial" w:hAnsi="Arial"/>
                <w:sz w:val="12"/>
                <w:szCs w:val="12"/>
                <w:color w:val="auto"/>
              </w:rPr>
              <w:t>2,104,977</w:t>
            </w:r>
          </w:p>
        </w:tc>
        <w:tc>
          <w:tcPr>
            <w:tcW w:w="2040" w:type="dxa"/>
            <w:vAlign w:val="bottom"/>
            <w:gridSpan w:val="3"/>
          </w:tcPr>
          <w:p>
            <w:pPr>
              <w:jc w:val="right"/>
              <w:ind w:right="240"/>
              <w:spacing w:after="0"/>
              <w:rPr>
                <w:sz w:val="20"/>
                <w:szCs w:val="20"/>
                <w:color w:val="auto"/>
              </w:rPr>
            </w:pPr>
            <w:r>
              <w:rPr>
                <w:rFonts w:ascii="Arial" w:cs="Arial" w:eastAsia="Arial" w:hAnsi="Arial"/>
                <w:sz w:val="12"/>
                <w:szCs w:val="12"/>
                <w:color w:val="auto"/>
              </w:rPr>
              <w:t>7.88%</w:t>
            </w:r>
          </w:p>
        </w:tc>
        <w:tc>
          <w:tcPr>
            <w:tcW w:w="1760" w:type="dxa"/>
            <w:vAlign w:val="bottom"/>
            <w:gridSpan w:val="2"/>
          </w:tcPr>
          <w:p>
            <w:pPr>
              <w:jc w:val="right"/>
              <w:ind w:right="4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 xml:space="preserve">University Health Network </w:t>
            </w:r>
            <w:r>
              <w:rPr>
                <w:rFonts w:ascii="Arial" w:cs="Arial" w:eastAsia="Arial" w:hAnsi="Arial"/>
                <w:sz w:val="16"/>
                <w:szCs w:val="16"/>
                <w:color w:val="auto"/>
                <w:vertAlign w:val="superscript"/>
              </w:rPr>
              <w:t>(10)</w:t>
            </w: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1,758,463</w:t>
            </w:r>
          </w:p>
        </w:tc>
        <w:tc>
          <w:tcPr>
            <w:tcW w:w="204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6.73%</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820" w:type="dxa"/>
            <w:vAlign w:val="bottom"/>
            <w:gridSpan w:val="2"/>
          </w:tcPr>
          <w:p>
            <w:pPr>
              <w:spacing w:after="0" w:line="142" w:lineRule="exact"/>
              <w:rPr>
                <w:sz w:val="20"/>
                <w:szCs w:val="20"/>
                <w:color w:val="auto"/>
              </w:rPr>
            </w:pPr>
            <w:r>
              <w:rPr>
                <w:rFonts w:ascii="Arial" w:cs="Arial" w:eastAsia="Arial" w:hAnsi="Arial"/>
                <w:sz w:val="12"/>
                <w:szCs w:val="12"/>
                <w:color w:val="auto"/>
              </w:rPr>
              <w:t xml:space="preserve">All executive officers and directors as a group (5 persons) </w:t>
            </w:r>
            <w:r>
              <w:rPr>
                <w:rFonts w:ascii="Arial" w:cs="Arial" w:eastAsia="Arial" w:hAnsi="Arial"/>
                <w:sz w:val="16"/>
                <w:szCs w:val="16"/>
                <w:color w:val="auto"/>
                <w:vertAlign w:val="superscript"/>
              </w:rPr>
              <w:t>(11)</w:t>
            </w:r>
          </w:p>
        </w:tc>
        <w:tc>
          <w:tcPr>
            <w:tcW w:w="1840" w:type="dxa"/>
            <w:vAlign w:val="bottom"/>
          </w:tcPr>
          <w:p>
            <w:pPr>
              <w:jc w:val="right"/>
              <w:spacing w:after="0"/>
              <w:rPr>
                <w:sz w:val="20"/>
                <w:szCs w:val="20"/>
                <w:color w:val="auto"/>
              </w:rPr>
            </w:pPr>
            <w:r>
              <w:rPr>
                <w:rFonts w:ascii="Arial" w:cs="Arial" w:eastAsia="Arial" w:hAnsi="Arial"/>
                <w:sz w:val="12"/>
                <w:szCs w:val="12"/>
                <w:color w:val="auto"/>
              </w:rPr>
              <w:t>7,089,053</w:t>
            </w:r>
          </w:p>
        </w:tc>
        <w:tc>
          <w:tcPr>
            <w:tcW w:w="2040" w:type="dxa"/>
            <w:vAlign w:val="bottom"/>
            <w:gridSpan w:val="3"/>
          </w:tcPr>
          <w:p>
            <w:pPr>
              <w:jc w:val="right"/>
              <w:ind w:right="240"/>
              <w:spacing w:after="0"/>
              <w:rPr>
                <w:sz w:val="20"/>
                <w:szCs w:val="20"/>
                <w:color w:val="auto"/>
              </w:rPr>
            </w:pPr>
            <w:r>
              <w:rPr>
                <w:rFonts w:ascii="Arial" w:cs="Arial" w:eastAsia="Arial" w:hAnsi="Arial"/>
                <w:sz w:val="12"/>
                <w:szCs w:val="12"/>
                <w:color w:val="auto"/>
              </w:rPr>
              <w:t>22.91%</w:t>
            </w:r>
          </w:p>
        </w:tc>
        <w:tc>
          <w:tcPr>
            <w:tcW w:w="1760" w:type="dxa"/>
            <w:vAlign w:val="bottom"/>
            <w:gridSpan w:val="2"/>
          </w:tcPr>
          <w:p>
            <w:pPr>
              <w:jc w:val="right"/>
              <w:ind w:right="4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bl>
    <w:p>
      <w:pPr>
        <w:ind w:left="708" w:right="20" w:hanging="708"/>
        <w:spacing w:after="0" w:line="209" w:lineRule="auto"/>
        <w:tabs>
          <w:tab w:leader="none" w:pos="708" w:val="left"/>
        </w:tabs>
        <w:numPr>
          <w:ilvl w:val="0"/>
          <w:numId w:val="62"/>
        </w:numPr>
        <w:rPr>
          <w:rFonts w:ascii="Arial" w:cs="Arial" w:eastAsia="Arial" w:hAnsi="Arial"/>
          <w:sz w:val="17"/>
          <w:szCs w:val="17"/>
          <w:color w:val="auto"/>
          <w:vertAlign w:val="superscript"/>
        </w:rPr>
      </w:pPr>
      <w:r>
        <w:rPr>
          <w:rFonts w:ascii="Arial" w:cs="Arial" w:eastAsia="Arial" w:hAnsi="Arial"/>
          <w:sz w:val="12"/>
          <w:szCs w:val="12"/>
          <w:color w:val="auto"/>
        </w:rPr>
        <w:t>Includes options to purchase 1,690,833 restricted shares of common stock exercisable within 60 days of July 1, 2014; warrants to purchase 1,331,052 restricted shares of common stock exercisable within 60 days of July 1, 2014, and 33,400 restricted shares of common stock upon conversion of a currently convertible promissory note and accrued interest.</w:t>
      </w:r>
    </w:p>
    <w:p>
      <w:pPr>
        <w:spacing w:after="0" w:line="135" w:lineRule="exact"/>
        <w:rPr>
          <w:rFonts w:ascii="Arial" w:cs="Arial" w:eastAsia="Arial" w:hAnsi="Arial"/>
          <w:sz w:val="17"/>
          <w:szCs w:val="17"/>
          <w:color w:val="auto"/>
          <w:vertAlign w:val="superscript"/>
        </w:rPr>
      </w:pPr>
    </w:p>
    <w:p>
      <w:pPr>
        <w:ind w:left="708" w:right="20" w:hanging="708"/>
        <w:spacing w:after="0" w:line="213" w:lineRule="auto"/>
        <w:tabs>
          <w:tab w:leader="none" w:pos="708" w:val="left"/>
        </w:tabs>
        <w:numPr>
          <w:ilvl w:val="0"/>
          <w:numId w:val="62"/>
        </w:numPr>
        <w:rPr>
          <w:rFonts w:ascii="Arial" w:cs="Arial" w:eastAsia="Arial" w:hAnsi="Arial"/>
          <w:sz w:val="17"/>
          <w:szCs w:val="17"/>
          <w:color w:val="auto"/>
          <w:vertAlign w:val="superscript"/>
        </w:rPr>
      </w:pPr>
      <w:r>
        <w:rPr>
          <w:rFonts w:ascii="Arial" w:cs="Arial" w:eastAsia="Arial" w:hAnsi="Arial"/>
          <w:sz w:val="12"/>
          <w:szCs w:val="12"/>
          <w:color w:val="auto"/>
        </w:rPr>
        <w:t>Includes options to purchase 414,695 restricted shares of common stock exercisable within 60 days of July 1, 2014 and warrants to purchase 850,000 restricted shares of common stock exercisable within 60 days of July 1, 2014.</w:t>
      </w:r>
    </w:p>
    <w:p>
      <w:pPr>
        <w:spacing w:after="0" w:line="136" w:lineRule="exact"/>
        <w:rPr>
          <w:rFonts w:ascii="Arial" w:cs="Arial" w:eastAsia="Arial" w:hAnsi="Arial"/>
          <w:sz w:val="17"/>
          <w:szCs w:val="17"/>
          <w:color w:val="auto"/>
          <w:vertAlign w:val="superscript"/>
        </w:rPr>
      </w:pPr>
    </w:p>
    <w:p>
      <w:pPr>
        <w:ind w:left="708" w:right="20" w:hanging="708"/>
        <w:spacing w:after="0" w:line="213" w:lineRule="auto"/>
        <w:tabs>
          <w:tab w:leader="none" w:pos="708" w:val="left"/>
        </w:tabs>
        <w:numPr>
          <w:ilvl w:val="0"/>
          <w:numId w:val="62"/>
        </w:numPr>
        <w:rPr>
          <w:rFonts w:ascii="Arial" w:cs="Arial" w:eastAsia="Arial" w:hAnsi="Arial"/>
          <w:sz w:val="17"/>
          <w:szCs w:val="17"/>
          <w:color w:val="auto"/>
          <w:vertAlign w:val="superscript"/>
        </w:rPr>
      </w:pPr>
      <w:r>
        <w:rPr>
          <w:rFonts w:ascii="Arial" w:cs="Arial" w:eastAsia="Arial" w:hAnsi="Arial"/>
          <w:sz w:val="12"/>
          <w:szCs w:val="12"/>
          <w:color w:val="auto"/>
        </w:rPr>
        <w:t>Includes options to purchase 114,107 restricted shares of common stock exercisable within 60 days of July 1, 2014, including options to purchase 12,979 shares of common stock held by Mr. Dotson’s wife, and warrants to purchase 200,000 restricted shares of common stock exercisable within 60 days of July 1, 2014.</w:t>
      </w:r>
    </w:p>
    <w:p>
      <w:pPr>
        <w:spacing w:after="0" w:line="136" w:lineRule="exact"/>
        <w:rPr>
          <w:rFonts w:ascii="Arial" w:cs="Arial" w:eastAsia="Arial" w:hAnsi="Arial"/>
          <w:sz w:val="17"/>
          <w:szCs w:val="17"/>
          <w:color w:val="auto"/>
          <w:vertAlign w:val="superscript"/>
        </w:rPr>
      </w:pPr>
    </w:p>
    <w:p>
      <w:pPr>
        <w:ind w:left="708" w:right="20" w:hanging="708"/>
        <w:spacing w:after="0" w:line="213" w:lineRule="auto"/>
        <w:tabs>
          <w:tab w:leader="none" w:pos="708" w:val="left"/>
        </w:tabs>
        <w:numPr>
          <w:ilvl w:val="0"/>
          <w:numId w:val="62"/>
        </w:numPr>
        <w:rPr>
          <w:rFonts w:ascii="Arial" w:cs="Arial" w:eastAsia="Arial" w:hAnsi="Arial"/>
          <w:sz w:val="17"/>
          <w:szCs w:val="17"/>
          <w:color w:val="auto"/>
          <w:vertAlign w:val="superscript"/>
        </w:rPr>
      </w:pPr>
      <w:r>
        <w:rPr>
          <w:rFonts w:ascii="Arial" w:cs="Arial" w:eastAsia="Arial" w:hAnsi="Arial"/>
          <w:sz w:val="12"/>
          <w:szCs w:val="12"/>
          <w:color w:val="auto"/>
        </w:rPr>
        <w:t>Includes options to purchase 241,666 restricted shares of common stock exercisable within 60 days of July 1, 2014 and warrants to purchase 195,000 restricted shares of common stock exercisable within 60 days of July 1, 2014.</w:t>
      </w:r>
    </w:p>
    <w:p>
      <w:pPr>
        <w:spacing w:after="0" w:line="136" w:lineRule="exact"/>
        <w:rPr>
          <w:rFonts w:ascii="Arial" w:cs="Arial" w:eastAsia="Arial" w:hAnsi="Arial"/>
          <w:sz w:val="17"/>
          <w:szCs w:val="17"/>
          <w:color w:val="auto"/>
          <w:vertAlign w:val="superscript"/>
        </w:rPr>
      </w:pPr>
    </w:p>
    <w:p>
      <w:pPr>
        <w:ind w:left="708" w:right="20" w:hanging="708"/>
        <w:spacing w:after="0" w:line="213" w:lineRule="auto"/>
        <w:tabs>
          <w:tab w:leader="none" w:pos="708" w:val="left"/>
        </w:tabs>
        <w:numPr>
          <w:ilvl w:val="0"/>
          <w:numId w:val="62"/>
        </w:numPr>
        <w:rPr>
          <w:rFonts w:ascii="Arial" w:cs="Arial" w:eastAsia="Arial" w:hAnsi="Arial"/>
          <w:sz w:val="17"/>
          <w:szCs w:val="17"/>
          <w:color w:val="auto"/>
          <w:vertAlign w:val="superscript"/>
        </w:rPr>
      </w:pPr>
      <w:r>
        <w:rPr>
          <w:rFonts w:ascii="Arial" w:cs="Arial" w:eastAsia="Arial" w:hAnsi="Arial"/>
          <w:sz w:val="12"/>
          <w:szCs w:val="12"/>
          <w:color w:val="auto"/>
        </w:rPr>
        <w:t>Includes options to purchase 176,666 restricted shares of common stock exercisable within 60 days of July 1, 2014 and warrants to purchase 187,500 restricted shares of common stock exercisable within 60 days of July 1, 2014.</w:t>
      </w:r>
    </w:p>
    <w:p>
      <w:pPr>
        <w:spacing w:after="0" w:line="136" w:lineRule="exact"/>
        <w:rPr>
          <w:rFonts w:ascii="Arial" w:cs="Arial" w:eastAsia="Arial" w:hAnsi="Arial"/>
          <w:sz w:val="17"/>
          <w:szCs w:val="17"/>
          <w:color w:val="auto"/>
          <w:vertAlign w:val="superscript"/>
        </w:rPr>
      </w:pPr>
    </w:p>
    <w:p>
      <w:pPr>
        <w:ind w:left="708" w:right="20" w:hanging="708"/>
        <w:spacing w:after="0" w:line="229" w:lineRule="auto"/>
        <w:tabs>
          <w:tab w:leader="none" w:pos="708" w:val="left"/>
        </w:tabs>
        <w:numPr>
          <w:ilvl w:val="0"/>
          <w:numId w:val="62"/>
        </w:numPr>
        <w:rPr>
          <w:rFonts w:ascii="Arial" w:cs="Arial" w:eastAsia="Arial" w:hAnsi="Arial"/>
          <w:sz w:val="16"/>
          <w:szCs w:val="16"/>
          <w:color w:val="auto"/>
          <w:vertAlign w:val="superscript"/>
        </w:rPr>
      </w:pPr>
      <w:r>
        <w:rPr>
          <w:rFonts w:ascii="Arial" w:cs="Arial" w:eastAsia="Arial" w:hAnsi="Arial"/>
          <w:sz w:val="11"/>
          <w:szCs w:val="11"/>
          <w:color w:val="auto"/>
        </w:rPr>
        <w:t>Based upon information contained in Form 4 filed on January 9, 2012. Includes currently exercisable warrants to purchase 1,397,421 shares of restricted common stock. Dr. Allen E. Cato, Ph.D., M.D. is deemed to have voting and investment authority over the shares held by Cato Holding Company. The primary business address of Cato BioVentures is 4364 South Alston Avenue, Durham, North Carolina 27713.</w:t>
      </w:r>
    </w:p>
    <w:p>
      <w:pPr>
        <w:spacing w:after="0" w:line="25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14" w:right="199" w:bottom="1440" w:gutter="0" w:footer="0" w:header="0"/>
        </w:sectPr>
      </w:pPr>
    </w:p>
    <w:bookmarkStart w:id="110" w:name="page111"/>
    <w:bookmarkEnd w:id="110"/>
    <w:p>
      <w:pPr>
        <w:ind w:left="8"/>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left="708" w:hanging="708"/>
        <w:spacing w:after="0" w:line="256" w:lineRule="auto"/>
        <w:tabs>
          <w:tab w:leader="none" w:pos="708" w:val="left"/>
        </w:tabs>
        <w:numPr>
          <w:ilvl w:val="0"/>
          <w:numId w:val="63"/>
        </w:numPr>
        <w:rPr>
          <w:rFonts w:ascii="Arial" w:cs="Arial" w:eastAsia="Arial" w:hAnsi="Arial"/>
          <w:sz w:val="16"/>
          <w:szCs w:val="16"/>
          <w:color w:val="auto"/>
          <w:vertAlign w:val="superscript"/>
        </w:rPr>
      </w:pPr>
      <w:r>
        <w:rPr>
          <w:rFonts w:ascii="Arial" w:cs="Arial" w:eastAsia="Arial" w:hAnsi="Arial"/>
          <w:sz w:val="11"/>
          <w:szCs w:val="11"/>
          <w:color w:val="auto"/>
        </w:rPr>
        <w:t>Based upon information contained in Schedule 13G/A filed on February 14, 2014, we have assumed that Platinum has transferred or assigned, or agreed to transfer or assign, 15% of its holdings of our common stock and other securities as of December 31, 2013 to a third-party or multiple third-parties. The figures reported in the table above and in this note reflect the impact of Platinum’s assumed transfer or assignment and are adjusted for securities sold to Platinum in transactions completed on April 1, 2014, May 14, 2014 and June 18, 2014, involving an aggregate of 750,000 restricted shares of our common stock, currently exercisable warrants to purchase 750,000 shares of our restricted common stock (subject to beneficial ownership restrictions noted below); and currently convertible promissory notes (subject to beneficial ownership restrictions noted below). The number of beneficially owned shares reported at July 1, 2014 includes 1,540,000 restricted shares of common stock owned by Platinum.</w:t>
      </w:r>
    </w:p>
    <w:p>
      <w:pPr>
        <w:spacing w:after="0" w:line="128" w:lineRule="exact"/>
        <w:rPr>
          <w:rFonts w:ascii="Arial" w:cs="Arial" w:eastAsia="Arial" w:hAnsi="Arial"/>
          <w:sz w:val="16"/>
          <w:szCs w:val="16"/>
          <w:color w:val="auto"/>
          <w:vertAlign w:val="superscript"/>
        </w:rPr>
      </w:pPr>
    </w:p>
    <w:p>
      <w:pPr>
        <w:jc w:val="both"/>
        <w:ind w:left="708"/>
        <w:spacing w:after="0" w:line="327" w:lineRule="auto"/>
        <w:rPr>
          <w:rFonts w:ascii="Arial" w:cs="Arial" w:eastAsia="Arial" w:hAnsi="Arial"/>
          <w:sz w:val="16"/>
          <w:szCs w:val="16"/>
          <w:color w:val="auto"/>
          <w:vertAlign w:val="superscript"/>
        </w:rPr>
      </w:pPr>
      <w:r>
        <w:rPr>
          <w:rFonts w:ascii="Arial" w:cs="Arial" w:eastAsia="Arial" w:hAnsi="Arial"/>
          <w:sz w:val="10"/>
          <w:szCs w:val="10"/>
          <w:color w:val="auto"/>
        </w:rPr>
        <w:t>The reported number of shares beneficially owned excludes 12,750,000 restricted shares of common stock and a warrant to purchase 6,375,000 restricted shares of common stock that may currently be acquired by Platinum upon exchange of 425,000 restricted shares of our Series A Preferred. Pursuant to the October 11, 2012 Note Exchange and Purchase Agreement by and between us and Platinum, there is a limitation on exchange such that the number of shares of our common stock that may be acquired by Platinum upon exchange of the Series A Preferred is limited to the extent necessary to ensure that, following such exchange, the total number of shares of our common stock then beneficially owned by Platinum does not exceed 9.99% of the total number of our issued and outstanding shares of common stock without providing us with 61 days’ prior notice thereof.</w:t>
      </w:r>
    </w:p>
    <w:p>
      <w:pPr>
        <w:spacing w:after="0" w:line="93" w:lineRule="exact"/>
        <w:rPr>
          <w:rFonts w:ascii="Arial" w:cs="Arial" w:eastAsia="Arial" w:hAnsi="Arial"/>
          <w:sz w:val="16"/>
          <w:szCs w:val="16"/>
          <w:color w:val="auto"/>
          <w:vertAlign w:val="superscript"/>
        </w:rPr>
      </w:pPr>
    </w:p>
    <w:p>
      <w:pPr>
        <w:jc w:val="both"/>
        <w:ind w:left="708"/>
        <w:spacing w:after="0" w:line="283" w:lineRule="auto"/>
        <w:rPr>
          <w:rFonts w:ascii="Arial" w:cs="Arial" w:eastAsia="Arial" w:hAnsi="Arial"/>
          <w:sz w:val="16"/>
          <w:szCs w:val="16"/>
          <w:color w:val="auto"/>
          <w:vertAlign w:val="superscript"/>
        </w:rPr>
      </w:pPr>
      <w:r>
        <w:rPr>
          <w:rFonts w:ascii="Arial" w:cs="Arial" w:eastAsia="Arial" w:hAnsi="Arial"/>
          <w:sz w:val="11"/>
          <w:szCs w:val="11"/>
          <w:color w:val="auto"/>
        </w:rPr>
        <w:t xml:space="preserve">Further, the reported number of shares beneficially owned also excludes an aggregate of 12,265,775 restricted shares of our common stock that may be acquired by Platinum upon (i) conversion of various Senior Secured Convertible Promissory Notes in the aggregate face amount of $2,994,190 and Subordinate Convertible Promissory Notes in the aggregate face amount of $750,000 (together, the </w:t>
      </w:r>
      <w:r>
        <w:rPr>
          <w:rFonts w:ascii="Arial" w:cs="Arial" w:eastAsia="Arial" w:hAnsi="Arial"/>
          <w:sz w:val="11"/>
          <w:szCs w:val="11"/>
          <w:i w:val="1"/>
          <w:iCs w:val="1"/>
          <w:color w:val="auto"/>
        </w:rPr>
        <w:t>Convertible Notes</w:t>
      </w:r>
      <w:r>
        <w:rPr>
          <w:rFonts w:ascii="Arial" w:cs="Arial" w:eastAsia="Arial" w:hAnsi="Arial"/>
          <w:sz w:val="11"/>
          <w:szCs w:val="11"/>
          <w:color w:val="auto"/>
        </w:rPr>
        <w:t>) plus accrued but unpaid interest or (ii) exercise of various common stock purchase warrants to purchase an aggregate of 3,744,190 restricted shares of our common stock. Pursuant to the terms of the respective Convertible Notes and common stock purchase warrant agreements, there is a limitation on conversion of the Convertible Notes and exercise of the warrants such that the number of shares of common stock that Platinum may acquire upon such conversion or exercise is limited to the extent necessary to ensure that, following such conversion or exercise, the total number of shares of common stock then beneficially owned by Platinum does not exceed 4.99% or 9.99% of the total number of issued and outstanding shares of our common stock without providing us with 61 days’ prior notice thereof.</w:t>
      </w:r>
    </w:p>
    <w:p>
      <w:pPr>
        <w:spacing w:after="0" w:line="113" w:lineRule="exact"/>
        <w:rPr>
          <w:rFonts w:ascii="Arial" w:cs="Arial" w:eastAsia="Arial" w:hAnsi="Arial"/>
          <w:sz w:val="16"/>
          <w:szCs w:val="16"/>
          <w:color w:val="auto"/>
          <w:vertAlign w:val="superscript"/>
        </w:rPr>
      </w:pPr>
    </w:p>
    <w:p>
      <w:pPr>
        <w:ind w:left="708"/>
        <w:spacing w:after="0" w:line="326" w:lineRule="auto"/>
        <w:rPr>
          <w:rFonts w:ascii="Arial" w:cs="Arial" w:eastAsia="Arial" w:hAnsi="Arial"/>
          <w:sz w:val="16"/>
          <w:szCs w:val="16"/>
          <w:color w:val="auto"/>
          <w:vertAlign w:val="superscript"/>
        </w:rPr>
      </w:pPr>
      <w:r>
        <w:rPr>
          <w:rFonts w:ascii="Arial" w:cs="Arial" w:eastAsia="Arial" w:hAnsi="Arial"/>
          <w:sz w:val="11"/>
          <w:szCs w:val="11"/>
          <w:color w:val="auto"/>
        </w:rPr>
        <w:t>Including the shares otherwise excluded due to the beneficial ownership restrictions noted above, Platinum beneficially owns 32,930,776 shares or 57.88% of our common stock prior to the Offering. The primary business address of Platinum Long Term Growth Fund VII is 152 West 57</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Street, 54</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Floor, New York, New York 10019. Mark Nordlicht has voting and investment control over the shares held by Platinum.</w:t>
      </w:r>
    </w:p>
    <w:p>
      <w:pPr>
        <w:ind w:left="708" w:hanging="708"/>
        <w:spacing w:after="0"/>
        <w:tabs>
          <w:tab w:leader="none" w:pos="708" w:val="left"/>
        </w:tabs>
        <w:numPr>
          <w:ilvl w:val="0"/>
          <w:numId w:val="63"/>
        </w:numPr>
        <w:rPr>
          <w:rFonts w:ascii="Arial" w:cs="Arial" w:eastAsia="Arial" w:hAnsi="Arial"/>
          <w:sz w:val="16"/>
          <w:szCs w:val="16"/>
          <w:color w:val="auto"/>
          <w:vertAlign w:val="superscript"/>
        </w:rPr>
      </w:pPr>
      <w:r>
        <w:rPr>
          <w:rFonts w:ascii="Arial" w:cs="Arial" w:eastAsia="Arial" w:hAnsi="Arial"/>
          <w:sz w:val="11"/>
          <w:szCs w:val="11"/>
          <w:color w:val="auto"/>
        </w:rPr>
        <w:t>Includes currently exercisable warrants to purchase 2,033,957 restricted shares of common stock. The primary business address of Morrison &amp; Foerster is 555 Market Street, San Francisco, California 94105.</w:t>
      </w:r>
    </w:p>
    <w:p>
      <w:pPr>
        <w:spacing w:after="0" w:line="135" w:lineRule="exact"/>
        <w:rPr>
          <w:rFonts w:ascii="Arial" w:cs="Arial" w:eastAsia="Arial" w:hAnsi="Arial"/>
          <w:sz w:val="16"/>
          <w:szCs w:val="16"/>
          <w:color w:val="auto"/>
          <w:vertAlign w:val="superscript"/>
        </w:rPr>
      </w:pPr>
    </w:p>
    <w:p>
      <w:pPr>
        <w:ind w:left="708" w:right="20" w:hanging="708"/>
        <w:spacing w:after="0" w:line="213" w:lineRule="auto"/>
        <w:tabs>
          <w:tab w:leader="none" w:pos="708" w:val="left"/>
        </w:tabs>
        <w:numPr>
          <w:ilvl w:val="0"/>
          <w:numId w:val="63"/>
        </w:numPr>
        <w:rPr>
          <w:rFonts w:ascii="Arial" w:cs="Arial" w:eastAsia="Arial" w:hAnsi="Arial"/>
          <w:sz w:val="17"/>
          <w:szCs w:val="17"/>
          <w:color w:val="auto"/>
          <w:vertAlign w:val="superscript"/>
        </w:rPr>
      </w:pPr>
      <w:r>
        <w:rPr>
          <w:rFonts w:ascii="Arial" w:cs="Arial" w:eastAsia="Arial" w:hAnsi="Arial"/>
          <w:sz w:val="12"/>
          <w:szCs w:val="12"/>
          <w:color w:val="auto"/>
        </w:rPr>
        <w:t>Includes currently exercisable warrants to purchase 658,728 restricted shares of common stock and 542,035 restricted shares of common stock upon conversion of currently convertible promissory notes and accrued interest. Mr. Young’s primary business address is c/o Coldwell Banker Residential Brokerage, 580 El Camino Real, San Carlos, California 94070.</w:t>
      </w:r>
    </w:p>
    <w:p>
      <w:pPr>
        <w:spacing w:after="0" w:line="136" w:lineRule="exact"/>
        <w:rPr>
          <w:rFonts w:ascii="Arial" w:cs="Arial" w:eastAsia="Arial" w:hAnsi="Arial"/>
          <w:sz w:val="17"/>
          <w:szCs w:val="17"/>
          <w:color w:val="auto"/>
          <w:vertAlign w:val="superscript"/>
        </w:rPr>
      </w:pPr>
    </w:p>
    <w:p>
      <w:pPr>
        <w:ind w:left="708" w:right="20" w:hanging="708"/>
        <w:spacing w:after="0" w:line="213" w:lineRule="auto"/>
        <w:tabs>
          <w:tab w:leader="none" w:pos="708" w:val="left"/>
        </w:tabs>
        <w:numPr>
          <w:ilvl w:val="0"/>
          <w:numId w:val="63"/>
        </w:numPr>
        <w:rPr>
          <w:rFonts w:ascii="Arial" w:cs="Arial" w:eastAsia="Arial" w:hAnsi="Arial"/>
          <w:sz w:val="17"/>
          <w:szCs w:val="17"/>
          <w:color w:val="auto"/>
          <w:vertAlign w:val="superscript"/>
        </w:rPr>
      </w:pPr>
      <w:r>
        <w:rPr>
          <w:rFonts w:ascii="Arial" w:cs="Arial" w:eastAsia="Arial" w:hAnsi="Arial"/>
          <w:sz w:val="12"/>
          <w:szCs w:val="12"/>
          <w:color w:val="auto"/>
        </w:rPr>
        <w:t>Includes currently exercisable warrants to purchase 620,408 restricted shares of common stock. The primary business address of University Health Network is 101 College Street, Suite 150, Toronto, Ontario Canada M5G 1L7.</w:t>
      </w:r>
    </w:p>
    <w:p>
      <w:pPr>
        <w:spacing w:after="0" w:line="136" w:lineRule="exact"/>
        <w:rPr>
          <w:rFonts w:ascii="Arial" w:cs="Arial" w:eastAsia="Arial" w:hAnsi="Arial"/>
          <w:sz w:val="17"/>
          <w:szCs w:val="17"/>
          <w:color w:val="auto"/>
          <w:vertAlign w:val="superscript"/>
        </w:rPr>
      </w:pPr>
    </w:p>
    <w:p>
      <w:pPr>
        <w:ind w:left="708" w:right="20" w:hanging="708"/>
        <w:spacing w:after="0" w:line="213" w:lineRule="auto"/>
        <w:tabs>
          <w:tab w:leader="none" w:pos="708" w:val="left"/>
        </w:tabs>
        <w:numPr>
          <w:ilvl w:val="0"/>
          <w:numId w:val="63"/>
        </w:numPr>
        <w:rPr>
          <w:rFonts w:ascii="Arial" w:cs="Arial" w:eastAsia="Arial" w:hAnsi="Arial"/>
          <w:sz w:val="17"/>
          <w:szCs w:val="17"/>
          <w:color w:val="auto"/>
          <w:vertAlign w:val="superscript"/>
        </w:rPr>
      </w:pPr>
      <w:r>
        <w:rPr>
          <w:rFonts w:ascii="Arial" w:cs="Arial" w:eastAsia="Arial" w:hAnsi="Arial"/>
          <w:sz w:val="12"/>
          <w:szCs w:val="12"/>
          <w:color w:val="auto"/>
        </w:rPr>
        <w:t>Includes options to purchase an aggregate of 2,637,967 restricted shares of common stock exercisable within 60 days of July 1, 2014, warrants to purchase an aggregate of 2,763,552 restricted shares of common stock exercisable within 60 days of July 1, 2014 and 33,400 restricted shares of common stock upon conversion of a currently convertible promissory note and accrued interest.</w:t>
      </w:r>
    </w:p>
    <w:p>
      <w:pPr>
        <w:spacing w:after="0" w:line="25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111" w:name="page112"/>
    <w:bookmarkEnd w:id="111"/>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RELATED PARTY TRANSACTIONS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Transactions and Relationships with Certain Individuals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Sales of Securities to Cato Holding Company</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Cato Holding Company (</w:t>
      </w:r>
      <w:r>
        <w:rPr>
          <w:rFonts w:ascii="Arial" w:cs="Arial" w:eastAsia="Arial" w:hAnsi="Arial"/>
          <w:sz w:val="12"/>
          <w:szCs w:val="12"/>
          <w:i w:val="1"/>
          <w:iCs w:val="1"/>
          <w:color w:val="auto"/>
        </w:rPr>
        <w:t>CHC</w:t>
      </w:r>
      <w:r>
        <w:rPr>
          <w:rFonts w:ascii="Arial" w:cs="Arial" w:eastAsia="Arial" w:hAnsi="Arial"/>
          <w:sz w:val="12"/>
          <w:szCs w:val="12"/>
          <w:color w:val="auto"/>
        </w:rPr>
        <w:t>), doing business as Cato BioVentures (</w:t>
      </w:r>
      <w:r>
        <w:rPr>
          <w:rFonts w:ascii="Arial" w:cs="Arial" w:eastAsia="Arial" w:hAnsi="Arial"/>
          <w:sz w:val="12"/>
          <w:szCs w:val="12"/>
          <w:i w:val="1"/>
          <w:iCs w:val="1"/>
          <w:color w:val="auto"/>
        </w:rPr>
        <w:t>CBV</w:t>
      </w:r>
      <w:r>
        <w:rPr>
          <w:rFonts w:ascii="Arial" w:cs="Arial" w:eastAsia="Arial" w:hAnsi="Arial"/>
          <w:sz w:val="12"/>
          <w:szCs w:val="12"/>
          <w:color w:val="auto"/>
        </w:rPr>
        <w:t>), the parent of Cato Research Ltd. (</w:t>
      </w:r>
      <w:r>
        <w:rPr>
          <w:rFonts w:ascii="Arial" w:cs="Arial" w:eastAsia="Arial" w:hAnsi="Arial"/>
          <w:sz w:val="12"/>
          <w:szCs w:val="12"/>
          <w:i w:val="1"/>
          <w:iCs w:val="1"/>
          <w:color w:val="auto"/>
        </w:rPr>
        <w:t>CRL</w:t>
      </w:r>
      <w:r>
        <w:rPr>
          <w:rFonts w:ascii="Arial" w:cs="Arial" w:eastAsia="Arial" w:hAnsi="Arial"/>
          <w:sz w:val="12"/>
          <w:szCs w:val="12"/>
          <w:color w:val="auto"/>
        </w:rPr>
        <w:t>), is one of our largest institutional stockholders at March 31, 2014, holding common stock and warrants to purchase common stock. Prior to the May 11, 2011 conversion of certain of VistaGen California’s outstanding promissory notes and the exchange of its preferred stock into shares of common stock in connection with the Merger, CBV held various promissory notes and a majority of VistaGen California’s Series B-1 Preferred Stock. Shawn Singh, our Chief Executive Officer and member of our Board of Directors, served as Managing Principal of CBV and as an officer of CRL until August 2009. In April 2011, CBV loaned us $352,300 under the terms of a Promissory Note (</w:t>
      </w:r>
      <w:r>
        <w:rPr>
          <w:rFonts w:ascii="Arial" w:cs="Arial" w:eastAsia="Arial" w:hAnsi="Arial"/>
          <w:sz w:val="12"/>
          <w:szCs w:val="12"/>
          <w:i w:val="1"/>
          <w:iCs w:val="1"/>
          <w:color w:val="auto"/>
        </w:rPr>
        <w:t>2011 CHC Note</w:t>
      </w:r>
      <w:r>
        <w:rPr>
          <w:rFonts w:ascii="Arial" w:cs="Arial" w:eastAsia="Arial" w:hAnsi="Arial"/>
          <w:sz w:val="12"/>
          <w:szCs w:val="12"/>
          <w:color w:val="auto"/>
        </w:rPr>
        <w:t>). On October 10, 2012, we agreed with CHC to cancel the 2011 CHC Note and exchange it for a new unsecured promissory note in the principal amount of $310,400 (</w:t>
      </w:r>
      <w:r>
        <w:rPr>
          <w:rFonts w:ascii="Arial" w:cs="Arial" w:eastAsia="Arial" w:hAnsi="Arial"/>
          <w:sz w:val="12"/>
          <w:szCs w:val="12"/>
          <w:i w:val="1"/>
          <w:iCs w:val="1"/>
          <w:color w:val="auto"/>
        </w:rPr>
        <w:t>2012 CHC Note</w:t>
      </w:r>
      <w:r>
        <w:rPr>
          <w:rFonts w:ascii="Arial" w:cs="Arial" w:eastAsia="Arial" w:hAnsi="Arial"/>
          <w:sz w:val="12"/>
          <w:szCs w:val="12"/>
          <w:color w:val="auto"/>
        </w:rPr>
        <w:t>) and a five-year warrant to purchase 250,000 restricted shares of our common stock at a price of $1.50 per share (</w:t>
      </w:r>
      <w:r>
        <w:rPr>
          <w:rFonts w:ascii="Arial" w:cs="Arial" w:eastAsia="Arial" w:hAnsi="Arial"/>
          <w:sz w:val="12"/>
          <w:szCs w:val="12"/>
          <w:i w:val="1"/>
          <w:iCs w:val="1"/>
          <w:color w:val="auto"/>
        </w:rPr>
        <w:t>CHC Warrant</w:t>
      </w:r>
      <w:r>
        <w:rPr>
          <w:rFonts w:ascii="Arial" w:cs="Arial" w:eastAsia="Arial" w:hAnsi="Arial"/>
          <w:sz w:val="12"/>
          <w:szCs w:val="12"/>
          <w:color w:val="auto"/>
        </w:rPr>
        <w:t>). Additionally, on October 10, 2012, we issued to CRL: (i) an unsecured promissory note in the initial principal amount of $1,009,000, which is payable solely in restricted shares of our common stock and which accrues interest at the rate of 7.5% per annum, compounded monthly (</w:t>
      </w:r>
      <w:r>
        <w:rPr>
          <w:rFonts w:ascii="Arial" w:cs="Arial" w:eastAsia="Arial" w:hAnsi="Arial"/>
          <w:sz w:val="12"/>
          <w:szCs w:val="12"/>
          <w:i w:val="1"/>
          <w:iCs w:val="1"/>
          <w:color w:val="auto"/>
        </w:rPr>
        <w:t>CRL</w:t>
      </w:r>
      <w:r>
        <w:rPr>
          <w:rFonts w:ascii="Arial" w:cs="Arial" w:eastAsia="Arial" w:hAnsi="Arial"/>
          <w:sz w:val="12"/>
          <w:szCs w:val="12"/>
          <w:color w:val="auto"/>
        </w:rPr>
        <w:t xml:space="preserve"> </w:t>
      </w:r>
      <w:r>
        <w:rPr>
          <w:rFonts w:ascii="Arial" w:cs="Arial" w:eastAsia="Arial" w:hAnsi="Arial"/>
          <w:sz w:val="12"/>
          <w:szCs w:val="12"/>
          <w:i w:val="1"/>
          <w:iCs w:val="1"/>
          <w:color w:val="auto"/>
        </w:rPr>
        <w:t>Note</w:t>
      </w:r>
      <w:r>
        <w:rPr>
          <w:rFonts w:ascii="Arial" w:cs="Arial" w:eastAsia="Arial" w:hAnsi="Arial"/>
          <w:sz w:val="12"/>
          <w:szCs w:val="12"/>
          <w:color w:val="auto"/>
        </w:rPr>
        <w:t>), as payment in full for all contract research and development services and regulatory advice rendered by CRL to us through December 31, 2012 with respect to the preclinical and clinical development of AV-101, and (ii) a five-year</w:t>
      </w:r>
      <w:r>
        <w:rPr>
          <w:rFonts w:ascii="Arial" w:cs="Arial" w:eastAsia="Arial" w:hAnsi="Arial"/>
          <w:sz w:val="12"/>
          <w:szCs w:val="12"/>
          <w:i w:val="1"/>
          <w:iCs w:val="1"/>
          <w:color w:val="auto"/>
        </w:rPr>
        <w:t xml:space="preserve"> </w:t>
      </w:r>
      <w:r>
        <w:rPr>
          <w:rFonts w:ascii="Arial" w:cs="Arial" w:eastAsia="Arial" w:hAnsi="Arial"/>
          <w:sz w:val="12"/>
          <w:szCs w:val="12"/>
          <w:color w:val="auto"/>
        </w:rPr>
        <w:t>warrant to purchase, at a price of $1.00 per share, 1,009,000 restricted shares of our common stock. Total interest expense on notes payable to CHC and CRL was $167,900 and $101,700 for the fiscal years ended March 31, 2014 and 2013.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 Research and Development Agreement with Cato Research Ltd.</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During fiscal year 2007, we entered into a contract research organization arrangement with CRL related to the development of AV-101, under which we incurred expenses of $52,500 and $703,800 for the fiscal years ended March 31, 2014 and 2013, respectively, with a substantial portion of the fiscal year 2013 expense reimbursed under the NIH grant.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Note Receivable from Shawn K. Singh, JD and Advances to us by Mr. Singh</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Upon the approval of the board of directors, in December 2006, VistaGen California accepted a full-recourse promissory note in the amount of $103,400 from Mr. Singh in payment of the exercise price for options and warrants to purchase an aggregate of 126,389 restricted shares of VistaGen California’s common stock. The note accrued interest at a rate of 4.90% per annum and was due and payable no later than the earlier of (i) December 1, 2016 or (ii) ten days prior to our becoming subject to the requirements of the Exchange Act.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2014 and 2013, we had accrued $101,900 as an estimate of the gross-up amount payable to Mr. Singh, but we had not yet paid it to Mr. Singh.</w:t>
      </w:r>
    </w:p>
    <w:p>
      <w:pPr>
        <w:spacing w:after="0" w:line="12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the 2013 Unit Private Placement. At March 31, 2014 we have partially repaid Mr. Singh the remaining balance of the advances.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Indemnification Agreements with Directors and Executive Officers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entered into indemnification agreements with each of our directors and executive officers. The indemnification agreements and our Bylaws provide that we shall indemnify our directors to the fullest extent permitted by the Nevada Revised Statutes. For more information regarding these agreements, see “Executive compensation—Limitations of Liability and Indemnification.”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12" w:name="page113"/>
    <w:bookmarkEnd w:id="112"/>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LEGAL MATTERS</w:t>
      </w:r>
    </w:p>
    <w:p>
      <w:pPr>
        <w:spacing w:after="0" w:line="154" w:lineRule="exact"/>
        <w:rPr>
          <w:sz w:val="20"/>
          <w:szCs w:val="20"/>
          <w:color w:val="auto"/>
        </w:rPr>
      </w:pPr>
    </w:p>
    <w:p>
      <w:pPr>
        <w:jc w:val="center"/>
        <w:ind w:right="480"/>
        <w:spacing w:after="0"/>
        <w:rPr>
          <w:sz w:val="20"/>
          <w:szCs w:val="20"/>
          <w:color w:val="auto"/>
        </w:rPr>
      </w:pPr>
      <w:r>
        <w:rPr>
          <w:rFonts w:ascii="Arial" w:cs="Arial" w:eastAsia="Arial" w:hAnsi="Arial"/>
          <w:sz w:val="10"/>
          <w:szCs w:val="10"/>
          <w:color w:val="auto"/>
        </w:rPr>
        <w:t>The Disclosure Law Group, San Diego, California, will pass upon the validity of the shares of common stock offered hereby. A partner of the Disclosure Law Group holds warrants to purchase 58,334 shares of our common stock.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EXPERTS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financial statements as of March 31, 2014 and 2013, and for the years then ended, included in this prospectus, have been audited by OUM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INTEREST OF NAMED EXPERTS AND COUNSEL</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No expert or counsel named in this prospectus as having prepared or certified any part of this prospectus or having given an opinion upon the validity of the securities being registered or upon other legal matters in connection with this Offering was employed on a contingency basis or had, or is to receive, in connection with the Offering, a substantial interest, directly or indirectly, in the registrant or any of its parents or subsidiaries. Nor was any such person connected with the registrant or any of its parents, subsidiaries as a promoter, managing or principal underwriter, voting trustee, director, officer, or employee.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2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have filed with the SEC a Registration Statement on Form S-1 under the Securities Act with respect to the shares of common stock being offered by us under this prospectus. This prospectus is part of that registration statement. This prospectus does not contain all of the information set forth in the registration statement or the exhibits to the registration statement. For further information with respect to us and the shares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15"/>
        </w:trPr>
        <w:tc>
          <w:tcPr>
            <w:tcW w:w="4260" w:type="dxa"/>
            <w:vAlign w:val="bottom"/>
            <w:gridSpan w:val="9"/>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6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20" w:type="dxa"/>
            <w:vAlign w:val="bottom"/>
            <w:gridSpan w:val="2"/>
          </w:tcPr>
          <w:p>
            <w:pPr>
              <w:jc w:val="center"/>
              <w:ind w:right="4200"/>
              <w:spacing w:after="0"/>
              <w:rPr>
                <w:sz w:val="20"/>
                <w:szCs w:val="20"/>
                <w:color w:val="auto"/>
              </w:rPr>
            </w:pPr>
            <w:r>
              <w:rPr>
                <w:rFonts w:ascii="Arial" w:cs="Arial" w:eastAsia="Arial" w:hAnsi="Arial"/>
                <w:sz w:val="12"/>
                <w:szCs w:val="12"/>
                <w:b w:val="1"/>
                <w:bCs w:val="1"/>
                <w:color w:val="auto"/>
              </w:rPr>
              <w:t>VISTAGEN THERAPEUTICS INC.</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20" w:type="dxa"/>
            <w:vAlign w:val="bottom"/>
            <w:gridSpan w:val="2"/>
          </w:tcPr>
          <w:p>
            <w:pPr>
              <w:jc w:val="center"/>
              <w:ind w:right="4220"/>
              <w:spacing w:after="0"/>
              <w:rPr>
                <w:sz w:val="20"/>
                <w:szCs w:val="20"/>
                <w:color w:val="auto"/>
              </w:rPr>
            </w:pPr>
            <w:r>
              <w:rPr>
                <w:rFonts w:ascii="Arial" w:cs="Arial" w:eastAsia="Arial" w:hAnsi="Arial"/>
                <w:sz w:val="12"/>
                <w:szCs w:val="12"/>
                <w:b w:val="1"/>
                <w:bCs w:val="1"/>
                <w:color w:val="auto"/>
              </w:rPr>
              <w:t>INDEX TO FINANCIAL STATEMENTS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42"/>
        </w:trPr>
        <w:tc>
          <w:tcPr>
            <w:tcW w:w="4260" w:type="dxa"/>
            <w:vAlign w:val="bottom"/>
            <w:gridSpan w:val="9"/>
          </w:tcPr>
          <w:p>
            <w:pPr>
              <w:spacing w:after="0"/>
              <w:rPr>
                <w:sz w:val="20"/>
                <w:szCs w:val="20"/>
                <w:color w:val="auto"/>
              </w:rPr>
            </w:pPr>
            <w:r>
              <w:rPr>
                <w:rFonts w:ascii="Arial" w:cs="Arial" w:eastAsia="Arial" w:hAnsi="Arial"/>
                <w:sz w:val="12"/>
                <w:szCs w:val="12"/>
                <w:b w:val="1"/>
                <w:bCs w:val="1"/>
                <w:color w:val="auto"/>
                <w:w w:val="99"/>
              </w:rPr>
              <w:t>Audited Financial Statements for the years ended March 31, 2014 and 2013</w:t>
            </w:r>
          </w:p>
        </w:tc>
        <w:tc>
          <w:tcPr>
            <w:tcW w:w="6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240" w:type="dxa"/>
            <w:vAlign w:val="bottom"/>
            <w:gridSpan w:val="8"/>
            <w:shd w:val="clear" w:color="auto" w:fill="CCEEFF"/>
          </w:tcPr>
          <w:p>
            <w:pPr>
              <w:spacing w:after="0" w:line="117" w:lineRule="exact"/>
              <w:rPr>
                <w:rFonts w:ascii="Arial" w:cs="Arial" w:eastAsia="Arial" w:hAnsi="Arial"/>
                <w:sz w:val="12"/>
                <w:szCs w:val="12"/>
                <w:color w:val="0000EE"/>
              </w:rPr>
            </w:pPr>
            <w:hyperlink w:anchor="page115">
              <w:r>
                <w:rPr>
                  <w:rFonts w:ascii="Arial" w:cs="Arial" w:eastAsia="Arial" w:hAnsi="Arial"/>
                  <w:sz w:val="12"/>
                  <w:szCs w:val="12"/>
                  <w:color w:val="0000EE"/>
                </w:rPr>
                <w:t>Report of Independent Registered Public Accounting Firm</w:t>
              </w:r>
            </w:hyperlink>
          </w:p>
        </w:tc>
        <w:tc>
          <w:tcPr>
            <w:tcW w:w="6600" w:type="dxa"/>
            <w:vAlign w:val="bottom"/>
            <w:shd w:val="clear" w:color="auto" w:fill="CCEEFF"/>
          </w:tcPr>
          <w:p>
            <w:pPr>
              <w:spacing w:after="0"/>
              <w:rPr>
                <w:sz w:val="10"/>
                <w:szCs w:val="10"/>
                <w:color w:val="auto"/>
              </w:rPr>
            </w:pPr>
          </w:p>
        </w:tc>
        <w:tc>
          <w:tcPr>
            <w:tcW w:w="6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80" w:type="dxa"/>
            <w:vAlign w:val="bottom"/>
            <w:tcBorders>
              <w:top w:val="single" w:sz="8" w:color="0000EE"/>
            </w:tcBorders>
            <w:gridSpan w:val="6"/>
          </w:tcPr>
          <w:p>
            <w:pPr>
              <w:spacing w:after="0" w:line="117" w:lineRule="exact"/>
              <w:rPr>
                <w:rFonts w:ascii="Arial" w:cs="Arial" w:eastAsia="Arial" w:hAnsi="Arial"/>
                <w:sz w:val="12"/>
                <w:szCs w:val="12"/>
                <w:color w:val="0000EE"/>
              </w:rPr>
            </w:pPr>
            <w:hyperlink w:anchor="page116">
              <w:r>
                <w:rPr>
                  <w:rFonts w:ascii="Arial" w:cs="Arial" w:eastAsia="Arial" w:hAnsi="Arial"/>
                  <w:sz w:val="12"/>
                  <w:szCs w:val="12"/>
                  <w:color w:val="0000EE"/>
                </w:rPr>
                <w:t>Consolidated Balance Sheets</w:t>
              </w:r>
            </w:hyperlink>
          </w:p>
        </w:tc>
        <w:tc>
          <w:tcPr>
            <w:tcW w:w="1460" w:type="dxa"/>
            <w:vAlign w:val="bottom"/>
            <w:tcBorders>
              <w:top w:val="single" w:sz="8" w:color="CCEEFF"/>
            </w:tcBorders>
            <w:gridSpan w:val="2"/>
          </w:tcPr>
          <w:p>
            <w:pPr>
              <w:spacing w:after="0"/>
              <w:rPr>
                <w:sz w:val="10"/>
                <w:szCs w:val="10"/>
                <w:color w:val="auto"/>
              </w:rPr>
            </w:pPr>
          </w:p>
        </w:tc>
        <w:tc>
          <w:tcPr>
            <w:tcW w:w="660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jc w:val="center"/>
              <w:spacing w:after="0" w:line="117" w:lineRule="exact"/>
              <w:rPr>
                <w:sz w:val="20"/>
                <w:szCs w:val="20"/>
                <w:color w:val="auto"/>
              </w:rPr>
            </w:pPr>
            <w:r>
              <w:rPr>
                <w:rFonts w:ascii="Arial" w:cs="Arial" w:eastAsia="Arial" w:hAnsi="Arial"/>
                <w:sz w:val="12"/>
                <w:szCs w:val="12"/>
                <w:color w:val="auto"/>
                <w:w w:val="88"/>
              </w:rPr>
              <w:t>F-3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3100" w:type="dxa"/>
            <w:vAlign w:val="bottom"/>
            <w:tcBorders>
              <w:bottom w:val="single" w:sz="8" w:color="0000EE"/>
            </w:tcBorders>
            <w:gridSpan w:val="7"/>
            <w:shd w:val="clear" w:color="auto" w:fill="CCEEFF"/>
          </w:tcPr>
          <w:p>
            <w:pPr>
              <w:spacing w:after="0" w:line="117" w:lineRule="exact"/>
              <w:rPr>
                <w:rFonts w:ascii="Arial" w:cs="Arial" w:eastAsia="Arial" w:hAnsi="Arial"/>
                <w:sz w:val="12"/>
                <w:szCs w:val="12"/>
                <w:color w:val="0000EE"/>
                <w:w w:val="88"/>
              </w:rPr>
            </w:pPr>
            <w:hyperlink w:anchor="page117">
              <w:r>
                <w:rPr>
                  <w:rFonts w:ascii="Arial" w:cs="Arial" w:eastAsia="Arial" w:hAnsi="Arial"/>
                  <w:sz w:val="12"/>
                  <w:szCs w:val="12"/>
                  <w:color w:val="0000EE"/>
                  <w:w w:val="88"/>
                </w:rPr>
                <w:t>Consolidated Statements of Operations and Comprehensive Loss</w:t>
              </w:r>
            </w:hyperlink>
          </w:p>
        </w:tc>
        <w:tc>
          <w:tcPr>
            <w:tcW w:w="1140" w:type="dxa"/>
            <w:vAlign w:val="bottom"/>
            <w:tcBorders>
              <w:bottom w:val="single" w:sz="8" w:color="CCEEFF"/>
            </w:tcBorders>
            <w:shd w:val="clear" w:color="auto" w:fill="CCEEFF"/>
          </w:tcPr>
          <w:p>
            <w:pPr>
              <w:spacing w:after="0"/>
              <w:rPr>
                <w:sz w:val="10"/>
                <w:szCs w:val="10"/>
                <w:color w:val="auto"/>
              </w:rPr>
            </w:pPr>
          </w:p>
        </w:tc>
        <w:tc>
          <w:tcPr>
            <w:tcW w:w="66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40" w:type="dxa"/>
            <w:vAlign w:val="bottom"/>
            <w:gridSpan w:val="8"/>
          </w:tcPr>
          <w:p>
            <w:pPr>
              <w:spacing w:after="0" w:line="117" w:lineRule="exact"/>
              <w:rPr>
                <w:rFonts w:ascii="Arial" w:cs="Arial" w:eastAsia="Arial" w:hAnsi="Arial"/>
                <w:sz w:val="12"/>
                <w:szCs w:val="12"/>
                <w:color w:val="0000EE"/>
              </w:rPr>
            </w:pPr>
            <w:hyperlink w:anchor="page118">
              <w:r>
                <w:rPr>
                  <w:rFonts w:ascii="Arial" w:cs="Arial" w:eastAsia="Arial" w:hAnsi="Arial"/>
                  <w:sz w:val="12"/>
                  <w:szCs w:val="12"/>
                  <w:color w:val="0000EE"/>
                </w:rPr>
                <w:t>Consolidated Statements of Cash Flows</w:t>
              </w:r>
            </w:hyperlink>
          </w:p>
        </w:tc>
        <w:tc>
          <w:tcPr>
            <w:tcW w:w="66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Arial" w:cs="Arial" w:eastAsia="Arial" w:hAnsi="Arial"/>
                <w:sz w:val="12"/>
                <w:szCs w:val="12"/>
                <w:color w:val="auto"/>
                <w:w w:val="88"/>
              </w:rPr>
              <w:t>F-5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80" w:type="dxa"/>
            <w:vAlign w:val="bottom"/>
            <w:tcBorders>
              <w:bottom w:val="single" w:sz="8" w:color="0000EE"/>
            </w:tcBorders>
            <w:gridSpan w:val="4"/>
            <w:shd w:val="clear" w:color="auto" w:fill="CCEEFF"/>
          </w:tcPr>
          <w:p>
            <w:pPr>
              <w:spacing w:after="0" w:line="117" w:lineRule="exact"/>
              <w:rPr>
                <w:rFonts w:ascii="Arial" w:cs="Arial" w:eastAsia="Arial" w:hAnsi="Arial"/>
                <w:sz w:val="12"/>
                <w:szCs w:val="12"/>
                <w:color w:val="0000EE"/>
                <w:w w:val="87"/>
              </w:rPr>
            </w:pPr>
            <w:hyperlink w:anchor="page120">
              <w:r>
                <w:rPr>
                  <w:rFonts w:ascii="Arial" w:cs="Arial" w:eastAsia="Arial" w:hAnsi="Arial"/>
                  <w:sz w:val="12"/>
                  <w:szCs w:val="12"/>
                  <w:color w:val="0000EE"/>
                  <w:w w:val="87"/>
                </w:rPr>
                <w:t>Consolidated Statements of Preferred Stock</w:t>
              </w:r>
            </w:hyperlink>
          </w:p>
        </w:tc>
        <w:tc>
          <w:tcPr>
            <w:tcW w:w="2160" w:type="dxa"/>
            <w:vAlign w:val="bottom"/>
            <w:tcBorders>
              <w:bottom w:val="single" w:sz="8" w:color="CCEEFF"/>
            </w:tcBorders>
            <w:gridSpan w:val="4"/>
            <w:shd w:val="clear" w:color="auto" w:fill="CCEEFF"/>
          </w:tcPr>
          <w:p>
            <w:pPr>
              <w:spacing w:after="0"/>
              <w:rPr>
                <w:sz w:val="10"/>
                <w:szCs w:val="10"/>
                <w:color w:val="auto"/>
              </w:rPr>
            </w:pPr>
          </w:p>
        </w:tc>
        <w:tc>
          <w:tcPr>
            <w:tcW w:w="66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Borders>
              <w:bottom w:val="single" w:sz="8" w:color="0000EE"/>
            </w:tcBorders>
            <w:gridSpan w:val="5"/>
          </w:tcPr>
          <w:p>
            <w:pPr>
              <w:spacing w:after="0" w:line="117" w:lineRule="exact"/>
              <w:rPr>
                <w:rFonts w:ascii="Arial" w:cs="Arial" w:eastAsia="Arial" w:hAnsi="Arial"/>
                <w:sz w:val="12"/>
                <w:szCs w:val="12"/>
                <w:color w:val="0000EE"/>
                <w:w w:val="89"/>
              </w:rPr>
            </w:pPr>
            <w:hyperlink w:anchor="page121">
              <w:r>
                <w:rPr>
                  <w:rFonts w:ascii="Arial" w:cs="Arial" w:eastAsia="Arial" w:hAnsi="Arial"/>
                  <w:sz w:val="12"/>
                  <w:szCs w:val="12"/>
                  <w:color w:val="0000EE"/>
                  <w:w w:val="89"/>
                </w:rPr>
                <w:t>Consolidated Statements of Stockholders' Deficit</w:t>
              </w:r>
            </w:hyperlink>
          </w:p>
        </w:tc>
        <w:tc>
          <w:tcPr>
            <w:tcW w:w="1900" w:type="dxa"/>
            <w:vAlign w:val="bottom"/>
            <w:gridSpan w:val="3"/>
          </w:tcPr>
          <w:p>
            <w:pPr>
              <w:spacing w:after="0"/>
              <w:rPr>
                <w:sz w:val="10"/>
                <w:szCs w:val="10"/>
                <w:color w:val="auto"/>
              </w:rPr>
            </w:pPr>
          </w:p>
        </w:tc>
        <w:tc>
          <w:tcPr>
            <w:tcW w:w="66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Arial" w:cs="Arial" w:eastAsia="Arial" w:hAnsi="Arial"/>
                <w:sz w:val="12"/>
                <w:szCs w:val="12"/>
                <w:color w:val="auto"/>
                <w:w w:val="88"/>
              </w:rPr>
              <w:t>F-8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240" w:type="dxa"/>
            <w:vAlign w:val="bottom"/>
            <w:gridSpan w:val="8"/>
            <w:shd w:val="clear" w:color="auto" w:fill="CCEEFF"/>
          </w:tcPr>
          <w:p>
            <w:pPr>
              <w:spacing w:after="0" w:line="117" w:lineRule="exact"/>
              <w:rPr>
                <w:rFonts w:ascii="Arial" w:cs="Arial" w:eastAsia="Arial" w:hAnsi="Arial"/>
                <w:sz w:val="12"/>
                <w:szCs w:val="12"/>
                <w:color w:val="0000EE"/>
              </w:rPr>
            </w:pPr>
            <w:hyperlink w:anchor="page125">
              <w:r>
                <w:rPr>
                  <w:rFonts w:ascii="Arial" w:cs="Arial" w:eastAsia="Arial" w:hAnsi="Arial"/>
                  <w:sz w:val="12"/>
                  <w:szCs w:val="12"/>
                  <w:color w:val="0000EE"/>
                </w:rPr>
                <w:t>Notes to Consolidated Financial Statements</w:t>
              </w:r>
            </w:hyperlink>
          </w:p>
        </w:tc>
        <w:tc>
          <w:tcPr>
            <w:tcW w:w="6600" w:type="dxa"/>
            <w:vAlign w:val="bottom"/>
            <w:shd w:val="clear" w:color="auto" w:fill="CCEEFF"/>
          </w:tcPr>
          <w:p>
            <w:pPr>
              <w:spacing w:after="0"/>
              <w:rPr>
                <w:sz w:val="10"/>
                <w:szCs w:val="10"/>
                <w:color w:val="auto"/>
              </w:rPr>
            </w:pPr>
          </w:p>
        </w:tc>
        <w:tc>
          <w:tcPr>
            <w:tcW w:w="6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F-10</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7220" w:type="dxa"/>
            <w:vAlign w:val="bottom"/>
            <w:tcBorders>
              <w:top w:val="single" w:sz="8" w:color="CCEEFF"/>
            </w:tcBorders>
            <w:gridSpan w:val="2"/>
          </w:tcPr>
          <w:p>
            <w:pPr>
              <w:jc w:val="center"/>
              <w:ind w:right="4200"/>
              <w:spacing w:after="0"/>
              <w:rPr>
                <w:sz w:val="20"/>
                <w:szCs w:val="20"/>
                <w:color w:val="auto"/>
              </w:rPr>
            </w:pPr>
            <w:r>
              <w:rPr>
                <w:rFonts w:ascii="Arial" w:cs="Arial" w:eastAsia="Arial" w:hAnsi="Arial"/>
                <w:sz w:val="12"/>
                <w:szCs w:val="12"/>
                <w:color w:val="auto"/>
                <w:w w:val="88"/>
              </w:rPr>
              <w:t>F-1</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66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2"/>
          <w:szCs w:val="12"/>
          <w:b w:val="1"/>
          <w:bCs w:val="1"/>
          <w:u w:val="single" w:color="auto"/>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VistaGen Therapeutics,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 development stage company)</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audited the accompanying consolidated balance sheets of VistaGen Therapeutics, Inc. (a development stage company) as of March 31, 2014 and 2013 and the related consolidated statements of operations and comprehensive loss, cash flows, preferred stock, and stockholders’ deficit for the years then ended, and for the period from May 26, 1998 (inception) through March 31, 2014. These financial statements are the responsibility of the Company's management. Our responsibility is to express an opinion on these consolidated financial statements based on our audits.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9"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 our opinion, the consolidated financial statements referred to above present fairly, in all material respects, the consolidated financial position of VistaGen Therapeutics, Inc. (a development stage company) at March 31, 2014 and 2013, and the consolidated results of its operations and its cash flows for the years then ended, and for the period from May 26, 1998 (inception) through March 31, 2014, in conformity with U.S. generally accepted accounting principles.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accompanying consolidated financial statements have been prepared assuming that the Company will continue as a going concern. As discussed in Note 2 to the consolidated financial statements, the Company is a development stage company, has not yet generated sustainable revenues, has suffered recurring losses from operations and has a stockholders’ deficit, all of which raise substantial doubt about its ability to continue as a going concern. The consolidated financial statements do not include any adjustments that might result from the outcome of this uncertainty.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/s/ OUM &amp; CO.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June 23, 2014</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299325" cy="18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44"/>
        </w:trPr>
        <w:tc>
          <w:tcPr>
            <w:tcW w:w="8840" w:type="dxa"/>
            <w:vAlign w:val="bottom"/>
          </w:tcPr>
          <w:p>
            <w:pPr>
              <w:jc w:val="center"/>
              <w:ind w:left="2560"/>
              <w:spacing w:after="0"/>
              <w:rPr>
                <w:sz w:val="20"/>
                <w:szCs w:val="20"/>
                <w:color w:val="auto"/>
              </w:rPr>
            </w:pPr>
            <w:r>
              <w:rPr>
                <w:rFonts w:ascii="Arial" w:cs="Arial" w:eastAsia="Arial" w:hAnsi="Arial"/>
                <w:sz w:val="12"/>
                <w:szCs w:val="12"/>
                <w:b w:val="1"/>
                <w:bCs w:val="1"/>
                <w:color w:val="auto"/>
              </w:rPr>
              <w:t>VISTAGEN THERAPEUTICS, INC.</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jc w:val="center"/>
              <w:ind w:left="2560"/>
              <w:spacing w:after="0"/>
              <w:rPr>
                <w:sz w:val="20"/>
                <w:szCs w:val="20"/>
                <w:color w:val="auto"/>
              </w:rPr>
            </w:pPr>
            <w:r>
              <w:rPr>
                <w:rFonts w:ascii="Arial" w:cs="Arial" w:eastAsia="Arial" w:hAnsi="Arial"/>
                <w:sz w:val="12"/>
                <w:szCs w:val="12"/>
                <w:b w:val="1"/>
                <w:bCs w:val="1"/>
                <w:color w:val="auto"/>
                <w:w w:val="88"/>
              </w:rPr>
              <w:t>(a development stage company)</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jc w:val="center"/>
              <w:ind w:left="2580"/>
              <w:spacing w:after="0"/>
              <w:rPr>
                <w:sz w:val="20"/>
                <w:szCs w:val="20"/>
                <w:color w:val="auto"/>
              </w:rPr>
            </w:pPr>
            <w:r>
              <w:rPr>
                <w:rFonts w:ascii="Arial" w:cs="Arial" w:eastAsia="Arial" w:hAnsi="Arial"/>
                <w:sz w:val="12"/>
                <w:szCs w:val="12"/>
                <w:b w:val="1"/>
                <w:bCs w:val="1"/>
                <w:color w:val="auto"/>
                <w:w w:val="99"/>
              </w:rPr>
              <w:t>CONSOLIDATED BALANCE SHEETS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840" w:type="dxa"/>
            <w:vAlign w:val="bottom"/>
          </w:tcPr>
          <w:p>
            <w:pPr>
              <w:jc w:val="center"/>
              <w:ind w:left="256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200" w:type="dxa"/>
            <w:vAlign w:val="bottom"/>
          </w:tcPr>
          <w:p>
            <w:pPr>
              <w:spacing w:after="0"/>
              <w:rPr>
                <w:sz w:val="13"/>
                <w:szCs w:val="13"/>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2"/>
                <w:szCs w:val="12"/>
                <w:b w:val="1"/>
                <w:bCs w:val="1"/>
                <w:color w:val="auto"/>
              </w:rPr>
              <w:t>March 31,</w:t>
            </w:r>
          </w:p>
        </w:tc>
        <w:tc>
          <w:tcPr>
            <w:tcW w:w="180" w:type="dxa"/>
            <w:vAlign w:val="bottom"/>
          </w:tcPr>
          <w:p>
            <w:pPr>
              <w:spacing w:after="0"/>
              <w:rPr>
                <w:sz w:val="13"/>
                <w:szCs w:val="13"/>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31"/>
        </w:trPr>
        <w:tc>
          <w:tcPr>
            <w:tcW w:w="8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8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840" w:type="dxa"/>
            <w:vAlign w:val="bottom"/>
          </w:tcPr>
          <w:p>
            <w:pPr>
              <w:ind w:left="5460"/>
              <w:spacing w:after="0" w:line="133" w:lineRule="exact"/>
              <w:rPr>
                <w:sz w:val="20"/>
                <w:szCs w:val="20"/>
                <w:color w:val="auto"/>
              </w:rPr>
            </w:pPr>
            <w:r>
              <w:rPr>
                <w:rFonts w:ascii="Arial" w:cs="Arial" w:eastAsia="Arial" w:hAnsi="Arial"/>
                <w:sz w:val="12"/>
                <w:szCs w:val="12"/>
                <w:b w:val="1"/>
                <w:bCs w:val="1"/>
                <w:color w:val="auto"/>
              </w:rPr>
              <w:t>ASSETS</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638,100</w:t>
            </w:r>
          </w:p>
        </w:tc>
        <w:tc>
          <w:tcPr>
            <w:tcW w:w="0" w:type="dxa"/>
            <w:vAlign w:val="bottom"/>
          </w:tcPr>
          <w:p>
            <w:pPr>
              <w:spacing w:after="0"/>
              <w:rPr>
                <w:sz w:val="1"/>
                <w:szCs w:val="1"/>
                <w:color w:val="auto"/>
              </w:rPr>
            </w:pP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40,500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33,700</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shd w:val="clear" w:color="auto" w:fill="CCEEFF"/>
          </w:tcPr>
          <w:p>
            <w:pPr>
              <w:ind w:left="460"/>
              <w:spacing w:after="0"/>
              <w:rPr>
                <w:sz w:val="20"/>
                <w:szCs w:val="20"/>
                <w:color w:val="auto"/>
              </w:rPr>
            </w:pPr>
            <w:r>
              <w:rPr>
                <w:rFonts w:ascii="Arial" w:cs="Arial" w:eastAsia="Arial" w:hAnsi="Arial"/>
                <w:sz w:val="12"/>
                <w:szCs w:val="12"/>
                <w:color w:val="auto"/>
              </w:rPr>
              <w:t>Total current assets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671,800</w:t>
            </w: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Property and equipment, net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176,300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180,700</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Security deposits and other assets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29,000</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tcPr>
          <w:p>
            <w:pPr>
              <w:ind w:left="460"/>
              <w:spacing w:after="0"/>
              <w:rPr>
                <w:sz w:val="20"/>
                <w:szCs w:val="20"/>
                <w:color w:val="auto"/>
              </w:rPr>
            </w:pPr>
            <w:r>
              <w:rPr>
                <w:rFonts w:ascii="Arial" w:cs="Arial" w:eastAsia="Arial" w:hAnsi="Arial"/>
                <w:sz w:val="12"/>
                <w:szCs w:val="12"/>
                <w:color w:val="auto"/>
              </w:rPr>
              <w:t>Total assets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263,700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881,500</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4360"/>
              <w:spacing w:after="0"/>
              <w:rPr>
                <w:sz w:val="20"/>
                <w:szCs w:val="20"/>
                <w:color w:val="auto"/>
              </w:rPr>
            </w:pPr>
            <w:r>
              <w:rPr>
                <w:rFonts w:ascii="Arial" w:cs="Arial" w:eastAsia="Arial" w:hAnsi="Arial"/>
                <w:sz w:val="12"/>
                <w:szCs w:val="12"/>
                <w:b w:val="1"/>
                <w:bCs w:val="1"/>
                <w:color w:val="auto"/>
              </w:rPr>
              <w:t>LIABILITIES AND STOCKHOLDERS’ DEFICIT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2,443,900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1,353,600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expenses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625,600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342,900</w:t>
            </w:r>
          </w:p>
        </w:tc>
        <w:tc>
          <w:tcPr>
            <w:tcW w:w="0" w:type="dxa"/>
            <w:vAlign w:val="bottom"/>
          </w:tcPr>
          <w:p>
            <w:pPr>
              <w:spacing w:after="0"/>
              <w:rPr>
                <w:sz w:val="1"/>
                <w:szCs w:val="1"/>
                <w:color w:val="auto"/>
              </w:rPr>
            </w:pP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Advance from officer</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Current portion of notes payable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1,442,300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617,200</w:t>
            </w:r>
          </w:p>
        </w:tc>
        <w:tc>
          <w:tcPr>
            <w:tcW w:w="0" w:type="dxa"/>
            <w:vAlign w:val="bottom"/>
          </w:tcPr>
          <w:p>
            <w:pPr>
              <w:spacing w:after="0"/>
              <w:rPr>
                <w:sz w:val="1"/>
                <w:szCs w:val="1"/>
                <w:color w:val="auto"/>
              </w:rPr>
            </w:pP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Current portion of notes payable to related parties and accrued interest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290,400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93,000</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Convertible promissory notes and accrued interest, net of discount of $697,400 at March 31, 2014</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Capital lease obligations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3,900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7,600</w:t>
            </w:r>
          </w:p>
        </w:tc>
        <w:tc>
          <w:tcPr>
            <w:tcW w:w="0" w:type="dxa"/>
            <w:vAlign w:val="bottom"/>
          </w:tcPr>
          <w:p>
            <w:pPr>
              <w:spacing w:after="0"/>
              <w:rPr>
                <w:sz w:val="1"/>
                <w:szCs w:val="1"/>
                <w:color w:val="auto"/>
              </w:rPr>
            </w:pPr>
          </w:p>
        </w:tc>
      </w:tr>
      <w:tr>
        <w:trPr>
          <w:trHeight w:val="142"/>
        </w:trPr>
        <w:tc>
          <w:tcPr>
            <w:tcW w:w="8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2"/>
                <w:szCs w:val="12"/>
                <w:color w:val="auto"/>
              </w:rPr>
              <w:t>Total current liabilities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5,205,700</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2,414,300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tcPr>
          <w:p>
            <w:pPr>
              <w:ind w:left="20"/>
              <w:spacing w:after="0"/>
              <w:rPr>
                <w:sz w:val="20"/>
                <w:szCs w:val="20"/>
                <w:color w:val="auto"/>
              </w:rPr>
            </w:pPr>
            <w:r>
              <w:rPr>
                <w:rFonts w:ascii="Arial" w:cs="Arial" w:eastAsia="Arial" w:hAnsi="Arial"/>
                <w:sz w:val="12"/>
                <w:szCs w:val="12"/>
                <w:color w:val="auto"/>
              </w:rPr>
              <w:t>Non-current liabilities: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Senior secured convertible promissory notes, net of discount of $2,085,900 at March 31, 2014 and $1,963,100 at March 31, 2013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1,929,800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1,425,700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Notes payable, net of discount of $848,100 at March 31, 2014 and $1,142,600 at March 31, 2013 and accrued interest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1,797,600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2,091,800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Notes payable to related parties, net of discount of $103,200 at March 31, 2014 and $147,200 at March 31, 2013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1,057,100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1,106,000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Warrant liability</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2,973,900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6,394,000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rent liability</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97,400</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Capital lease obligations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6,100</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shd w:val="clear" w:color="auto" w:fill="CCEEFF"/>
          </w:tcPr>
          <w:p>
            <w:pPr>
              <w:ind w:left="340"/>
              <w:spacing w:after="0"/>
              <w:rPr>
                <w:sz w:val="20"/>
                <w:szCs w:val="20"/>
                <w:color w:val="auto"/>
              </w:rPr>
            </w:pPr>
            <w:r>
              <w:rPr>
                <w:rFonts w:ascii="Arial" w:cs="Arial" w:eastAsia="Arial" w:hAnsi="Arial"/>
                <w:sz w:val="12"/>
                <w:szCs w:val="12"/>
                <w:color w:val="auto"/>
              </w:rPr>
              <w:t>Total non-current liabilities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7,857,900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11,023,600</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tcPr>
          <w:p>
            <w:pPr>
              <w:ind w:left="340"/>
              <w:spacing w:after="0"/>
              <w:rPr>
                <w:sz w:val="20"/>
                <w:szCs w:val="20"/>
                <w:color w:val="auto"/>
              </w:rPr>
            </w:pPr>
            <w:r>
              <w:rPr>
                <w:rFonts w:ascii="Arial" w:cs="Arial" w:eastAsia="Arial" w:hAnsi="Arial"/>
                <w:sz w:val="12"/>
                <w:szCs w:val="12"/>
                <w:color w:val="auto"/>
              </w:rPr>
              <w:t>Total liabilities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13,063,600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13,437,900</w:t>
            </w:r>
          </w:p>
        </w:tc>
        <w:tc>
          <w:tcPr>
            <w:tcW w:w="0" w:type="dxa"/>
            <w:vAlign w:val="bottom"/>
          </w:tcPr>
          <w:p>
            <w:pPr>
              <w:spacing w:after="0"/>
              <w:rPr>
                <w:sz w:val="1"/>
                <w:szCs w:val="1"/>
                <w:color w:val="auto"/>
              </w:rPr>
            </w:pPr>
          </w:p>
        </w:tc>
      </w:tr>
      <w:tr>
        <w:trPr>
          <w:trHeight w:val="142"/>
        </w:trPr>
        <w:tc>
          <w:tcPr>
            <w:tcW w:w="88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Commitments and contingencies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Stockholders’ deficit: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40" w:type="dxa"/>
            <w:vAlign w:val="bottom"/>
            <w:shd w:val="clear" w:color="auto" w:fill="CCEEFF"/>
          </w:tcPr>
          <w:p>
            <w:pPr>
              <w:ind w:left="180"/>
              <w:spacing w:after="0" w:line="136" w:lineRule="exact"/>
              <w:rPr>
                <w:sz w:val="20"/>
                <w:szCs w:val="20"/>
                <w:color w:val="auto"/>
              </w:rPr>
            </w:pPr>
            <w:r>
              <w:rPr>
                <w:rFonts w:ascii="Arial" w:cs="Arial" w:eastAsia="Arial" w:hAnsi="Arial"/>
                <w:sz w:val="12"/>
                <w:szCs w:val="12"/>
                <w:color w:val="auto"/>
                <w:w w:val="90"/>
              </w:rPr>
              <w:t>Preferred stock, $0.001 par value; 10,000,000 shares, including 500,000 Series A shares, authorized at March 31, 2014 and 2013; 500,000 Series A shares issued and outstanding</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at March 31, 2014 and 2013</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35"/>
        </w:trPr>
        <w:tc>
          <w:tcPr>
            <w:tcW w:w="8840" w:type="dxa"/>
            <w:vAlign w:val="bottom"/>
          </w:tcPr>
          <w:p>
            <w:pPr>
              <w:ind w:left="240"/>
              <w:spacing w:after="0" w:line="136" w:lineRule="exact"/>
              <w:rPr>
                <w:sz w:val="20"/>
                <w:szCs w:val="20"/>
                <w:color w:val="auto"/>
              </w:rPr>
            </w:pPr>
            <w:r>
              <w:rPr>
                <w:rFonts w:ascii="Arial" w:cs="Arial" w:eastAsia="Arial" w:hAnsi="Arial"/>
                <w:sz w:val="12"/>
                <w:szCs w:val="12"/>
                <w:color w:val="auto"/>
                <w:w w:val="90"/>
              </w:rPr>
              <w:t>Common stock, $0.001 par value; 200,000,000 shares authorized at March 31, 2014 and 2013; 26,200,185 and 23,480,169 shares issued at March 31, 2014 and March 31, 2013,</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tcPr>
          <w:p>
            <w:pPr>
              <w:ind w:left="320"/>
              <w:spacing w:after="0"/>
              <w:rPr>
                <w:sz w:val="20"/>
                <w:szCs w:val="20"/>
                <w:color w:val="auto"/>
              </w:rPr>
            </w:pPr>
            <w:r>
              <w:rPr>
                <w:rFonts w:ascii="Arial" w:cs="Arial" w:eastAsia="Arial" w:hAnsi="Arial"/>
                <w:sz w:val="12"/>
                <w:szCs w:val="12"/>
                <w:color w:val="auto"/>
              </w:rPr>
              <w:t>respectively</w:t>
            </w:r>
          </w:p>
        </w:tc>
        <w:tc>
          <w:tcPr>
            <w:tcW w:w="20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26,200</w:t>
            </w: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23,500</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61,976,500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59,266,000</w:t>
            </w:r>
          </w:p>
        </w:tc>
        <w:tc>
          <w:tcPr>
            <w:tcW w:w="0" w:type="dxa"/>
            <w:vAlign w:val="bottom"/>
          </w:tcPr>
          <w:p>
            <w:pPr>
              <w:spacing w:after="0"/>
              <w:rPr>
                <w:sz w:val="1"/>
                <w:szCs w:val="1"/>
                <w:color w:val="auto"/>
              </w:rPr>
            </w:pP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Treasury stock, at cost, 2,713,308 shares of common stock held at March 31, 2014 and 2013</w:t>
            </w:r>
          </w:p>
        </w:tc>
        <w:tc>
          <w:tcPr>
            <w:tcW w:w="20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(3,968,100)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(3,968,100)</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Note receivable from sale of common stock</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(198,100)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(209,100)</w:t>
            </w:r>
          </w:p>
        </w:tc>
        <w:tc>
          <w:tcPr>
            <w:tcW w:w="0" w:type="dxa"/>
            <w:vAlign w:val="bottom"/>
          </w:tcPr>
          <w:p>
            <w:pPr>
              <w:spacing w:after="0"/>
              <w:rPr>
                <w:sz w:val="1"/>
                <w:szCs w:val="1"/>
                <w:color w:val="auto"/>
              </w:rPr>
            </w:pP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Deficit accumulated during development stage</w:t>
            </w:r>
          </w:p>
        </w:tc>
        <w:tc>
          <w:tcPr>
            <w:tcW w:w="20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(70,636,900)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(67,669,200)</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shd w:val="clear" w:color="auto" w:fill="CCEEFF"/>
          </w:tcPr>
          <w:p>
            <w:pPr>
              <w:ind w:left="460"/>
              <w:spacing w:after="0"/>
              <w:rPr>
                <w:sz w:val="20"/>
                <w:szCs w:val="20"/>
                <w:color w:val="auto"/>
              </w:rPr>
            </w:pPr>
            <w:r>
              <w:rPr>
                <w:rFonts w:ascii="Arial" w:cs="Arial" w:eastAsia="Arial" w:hAnsi="Arial"/>
                <w:sz w:val="12"/>
                <w:szCs w:val="12"/>
                <w:color w:val="auto"/>
              </w:rPr>
              <w:t>Total stockholders’ deficit</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(12,799,900)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(12,556,400)</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tcPr>
          <w:p>
            <w:pPr>
              <w:ind w:left="460"/>
              <w:spacing w:after="0"/>
              <w:rPr>
                <w:sz w:val="20"/>
                <w:szCs w:val="20"/>
                <w:color w:val="auto"/>
              </w:rPr>
            </w:pPr>
            <w:r>
              <w:rPr>
                <w:rFonts w:ascii="Arial" w:cs="Arial" w:eastAsia="Arial" w:hAnsi="Arial"/>
                <w:sz w:val="12"/>
                <w:szCs w:val="12"/>
                <w:color w:val="auto"/>
              </w:rPr>
              <w:t>Total liabilities and stockholders’ deficit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263,700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881,500</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16" w:name="page117"/>
    <w:bookmarkEnd w:id="116"/>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dollars,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May 26, 1998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(Inception)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Through</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2"/>
                <w:szCs w:val="12"/>
                <w:b w:val="1"/>
                <w:bCs w:val="1"/>
                <w:color w:val="auto"/>
              </w:rPr>
              <w:t>March 31,</w:t>
            </w:r>
          </w:p>
        </w:tc>
        <w:tc>
          <w:tcPr>
            <w:tcW w:w="7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37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200,400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12,963,100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Collaboration revenue</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2,283,600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ind w:left="360"/>
              <w:spacing w:after="0"/>
              <w:rPr>
                <w:sz w:val="20"/>
                <w:szCs w:val="20"/>
                <w:color w:val="auto"/>
              </w:rPr>
            </w:pPr>
            <w:r>
              <w:rPr>
                <w:rFonts w:ascii="Arial" w:cs="Arial" w:eastAsia="Arial" w:hAnsi="Arial"/>
                <w:sz w:val="12"/>
                <w:szCs w:val="12"/>
                <w:color w:val="auto"/>
              </w:rPr>
              <w:t>Total revenues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200,400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16,370,200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35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Research and development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2,480,600</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3,430,800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32,036,300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Acquired in-process research and development</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General and administrative</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2,548,300</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3,562,700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33,229,400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5,028,900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6,993,500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72,788,900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Loss from operations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(5,028,900)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(6,793,100)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(56,418,700)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Interest expense, net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(1,503,000)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(920,700)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(11,865,200)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 in warrant and put and note extension option liabilities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3,566,900</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(1,635,800)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2,349,600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40"/>
              <w:spacing w:after="0"/>
              <w:rPr>
                <w:sz w:val="20"/>
                <w:szCs w:val="20"/>
                <w:color w:val="auto"/>
              </w:rPr>
            </w:pPr>
            <w:r>
              <w:rPr>
                <w:rFonts w:ascii="Arial" w:cs="Arial" w:eastAsia="Arial" w:hAnsi="Arial"/>
                <w:sz w:val="12"/>
                <w:szCs w:val="12"/>
                <w:color w:val="auto"/>
              </w:rPr>
              <w:t>Loss on early extinguishment of debt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(3,567,800)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(4,761,300)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income</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34,400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81,900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Loss before income taxes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(2,965,000)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(12,883,000)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(70,613,700)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Income taxes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(2,700)</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(3,700)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(23,200)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Net loss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(12,886,700)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(10,193,200)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(10,193,200)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Net loss attributable to common stockholders</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(23,079,900)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(80,830,100)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(0.14)</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(1.27)</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(0.19)</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(1.27)</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Weighted average shares used in computing:</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3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21,973,149</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18,108,444</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3920" w:type="dxa"/>
            <w:vAlign w:val="bottom"/>
          </w:tcPr>
          <w:p>
            <w:pPr>
              <w:ind w:left="160"/>
              <w:spacing w:after="0" w:line="120" w:lineRule="exact"/>
              <w:rPr>
                <w:sz w:val="20"/>
                <w:szCs w:val="20"/>
                <w:color w:val="auto"/>
              </w:rPr>
            </w:pPr>
            <w:r>
              <w:rPr>
                <w:rFonts w:ascii="Arial" w:cs="Arial" w:eastAsia="Arial" w:hAnsi="Arial"/>
                <w:sz w:val="12"/>
                <w:szCs w:val="12"/>
                <w:color w:val="auto"/>
                <w:w w:val="98"/>
              </w:rPr>
              <w:t>Diluted net loss attributable to common stockholders per common share</w:t>
            </w:r>
          </w:p>
        </w:tc>
        <w:tc>
          <w:tcPr>
            <w:tcW w:w="3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right"/>
              <w:ind w:right="240"/>
              <w:spacing w:after="0" w:line="120" w:lineRule="exact"/>
              <w:rPr>
                <w:sz w:val="20"/>
                <w:szCs w:val="20"/>
                <w:color w:val="auto"/>
              </w:rPr>
            </w:pPr>
            <w:r>
              <w:rPr>
                <w:rFonts w:ascii="Arial" w:cs="Arial" w:eastAsia="Arial" w:hAnsi="Arial"/>
                <w:sz w:val="12"/>
                <w:szCs w:val="12"/>
                <w:color w:val="auto"/>
              </w:rPr>
              <w:t>21,973,149</w:t>
            </w:r>
          </w:p>
        </w:tc>
        <w:tc>
          <w:tcPr>
            <w:tcW w:w="400" w:type="dxa"/>
            <w:vAlign w:val="bottom"/>
          </w:tcPr>
          <w:p>
            <w:pPr>
              <w:spacing w:after="0"/>
              <w:rPr>
                <w:sz w:val="10"/>
                <w:szCs w:val="10"/>
                <w:color w:val="auto"/>
              </w:rPr>
            </w:pPr>
          </w:p>
        </w:tc>
        <w:tc>
          <w:tcPr>
            <w:tcW w:w="740" w:type="dxa"/>
            <w:vAlign w:val="bottom"/>
          </w:tcPr>
          <w:p>
            <w:pPr>
              <w:jc w:val="right"/>
              <w:spacing w:after="0" w:line="120" w:lineRule="exact"/>
              <w:rPr>
                <w:sz w:val="20"/>
                <w:szCs w:val="20"/>
                <w:color w:val="auto"/>
              </w:rPr>
            </w:pPr>
            <w:r>
              <w:rPr>
                <w:rFonts w:ascii="Arial" w:cs="Arial" w:eastAsia="Arial" w:hAnsi="Arial"/>
                <w:sz w:val="12"/>
                <w:szCs w:val="12"/>
                <w:color w:val="auto"/>
              </w:rPr>
              <w:t>18,108,444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restart"/>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Comprehensive loss</w:t>
            </w:r>
          </w:p>
        </w:tc>
        <w:tc>
          <w:tcPr>
            <w:tcW w:w="35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(12,886,700)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80" w:type="dxa"/>
            <w:vAlign w:val="bottom"/>
            <w:gridSpan w:val="2"/>
          </w:tcPr>
          <w:p>
            <w:pPr>
              <w:jc w:val="right"/>
              <w:ind w:right="450"/>
              <w:spacing w:after="0"/>
              <w:rPr>
                <w:sz w:val="20"/>
                <w:szCs w:val="20"/>
                <w:color w:val="auto"/>
              </w:rPr>
            </w:pPr>
            <w:r>
              <w:rPr>
                <w:rFonts w:ascii="Arial" w:cs="Arial" w:eastAsia="Arial" w:hAnsi="Arial"/>
                <w:sz w:val="12"/>
                <w:szCs w:val="12"/>
                <w:color w:val="auto"/>
                <w:w w:val="98"/>
              </w:rPr>
              <w:t>See accompanying notes to consolidated financial statements.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80" w:type="dxa"/>
            <w:vAlign w:val="bottom"/>
            <w:gridSpan w:val="2"/>
          </w:tcPr>
          <w:p>
            <w:pPr>
              <w:jc w:val="right"/>
              <w:ind w:right="1850"/>
              <w:spacing w:after="0"/>
              <w:rPr>
                <w:sz w:val="20"/>
                <w:szCs w:val="20"/>
                <w:color w:val="auto"/>
              </w:rPr>
            </w:pPr>
            <w:r>
              <w:rPr>
                <w:rFonts w:ascii="Arial" w:cs="Arial" w:eastAsia="Arial" w:hAnsi="Arial"/>
                <w:sz w:val="12"/>
                <w:szCs w:val="12"/>
                <w:color w:val="auto"/>
              </w:rPr>
              <w:t>F-4</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920" w:type="dxa"/>
            <w:vAlign w:val="bottom"/>
            <w:tcBorders>
              <w:bottom w:val="single" w:sz="8" w:color="808080"/>
            </w:tcBorders>
          </w:tcPr>
          <w:p>
            <w:pPr>
              <w:spacing w:after="0"/>
              <w:rPr>
                <w:sz w:val="6"/>
                <w:szCs w:val="6"/>
                <w:color w:val="auto"/>
              </w:rPr>
            </w:pPr>
          </w:p>
        </w:tc>
        <w:tc>
          <w:tcPr>
            <w:tcW w:w="35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17" w:name="page118"/>
    <w:bookmarkEnd w:id="117"/>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dollars)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Period From May 26,</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20" w:type="dxa"/>
            <w:vAlign w:val="bottom"/>
            <w:gridSpan w:val="5"/>
            <w:vMerge w:val="restart"/>
          </w:tcPr>
          <w:p>
            <w:pPr>
              <w:jc w:val="right"/>
              <w:ind w:right="740"/>
              <w:spacing w:after="0"/>
              <w:rPr>
                <w:sz w:val="20"/>
                <w:szCs w:val="20"/>
                <w:color w:val="auto"/>
              </w:rPr>
            </w:pPr>
            <w:r>
              <w:rPr>
                <w:rFonts w:ascii="Arial" w:cs="Arial" w:eastAsia="Arial" w:hAnsi="Arial"/>
                <w:sz w:val="12"/>
                <w:szCs w:val="12"/>
                <w:b w:val="1"/>
                <w:bCs w:val="1"/>
                <w:color w:val="auto"/>
              </w:rPr>
              <w:t>Fiscal Years Ended March 31,</w:t>
            </w:r>
          </w:p>
        </w:tc>
        <w:tc>
          <w:tcPr>
            <w:tcW w:w="6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1998 (Inception)</w:t>
            </w:r>
          </w:p>
        </w:tc>
        <w:tc>
          <w:tcPr>
            <w:tcW w:w="0" w:type="dxa"/>
            <w:vAlign w:val="bottom"/>
          </w:tcPr>
          <w:p>
            <w:pPr>
              <w:spacing w:after="0"/>
              <w:rPr>
                <w:sz w:val="1"/>
                <w:szCs w:val="1"/>
                <w:color w:val="auto"/>
              </w:rPr>
            </w:pPr>
          </w:p>
        </w:tc>
      </w:tr>
      <w:tr>
        <w:trPr>
          <w:trHeight w:val="121"/>
        </w:trPr>
        <w:tc>
          <w:tcPr>
            <w:tcW w:w="5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2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jc w:val="center"/>
              <w:ind w:right="180"/>
              <w:spacing w:after="0" w:line="101" w:lineRule="exact"/>
              <w:rPr>
                <w:sz w:val="20"/>
                <w:szCs w:val="20"/>
                <w:color w:val="auto"/>
              </w:rPr>
            </w:pPr>
            <w:r>
              <w:rPr>
                <w:rFonts w:ascii="Arial" w:cs="Arial" w:eastAsia="Arial" w:hAnsi="Arial"/>
                <w:sz w:val="11"/>
                <w:szCs w:val="11"/>
                <w:b w:val="1"/>
                <w:bCs w:val="1"/>
                <w:color w:val="auto"/>
              </w:rPr>
              <w:t>Through March 31,</w:t>
            </w:r>
          </w:p>
        </w:tc>
        <w:tc>
          <w:tcPr>
            <w:tcW w:w="0" w:type="dxa"/>
            <w:vAlign w:val="bottom"/>
          </w:tcPr>
          <w:p>
            <w:pPr>
              <w:spacing w:after="0"/>
              <w:rPr>
                <w:sz w:val="1"/>
                <w:szCs w:val="1"/>
                <w:color w:val="auto"/>
              </w:rPr>
            </w:pPr>
          </w:p>
        </w:tc>
      </w:tr>
      <w:tr>
        <w:trPr>
          <w:trHeight w:val="142"/>
        </w:trPr>
        <w:tc>
          <w:tcPr>
            <w:tcW w:w="5620" w:type="dxa"/>
            <w:vAlign w:val="bottom"/>
            <w:vMerge w:val="restart"/>
          </w:tcPr>
          <w:p>
            <w:pPr>
              <w:ind w:left="20"/>
              <w:spacing w:after="0"/>
              <w:rPr>
                <w:sz w:val="20"/>
                <w:szCs w:val="20"/>
                <w:color w:val="auto"/>
              </w:rPr>
            </w:pPr>
            <w:r>
              <w:rPr>
                <w:rFonts w:ascii="Arial" w:cs="Arial" w:eastAsia="Arial" w:hAnsi="Arial"/>
                <w:sz w:val="12"/>
                <w:szCs w:val="12"/>
                <w:color w:val="auto"/>
              </w:rPr>
              <w:t>Cash flows from operating activities:</w:t>
            </w:r>
          </w:p>
        </w:tc>
        <w:tc>
          <w:tcPr>
            <w:tcW w:w="18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loss</w:t>
            </w:r>
          </w:p>
        </w:tc>
        <w:tc>
          <w:tcPr>
            <w:tcW w:w="210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(2,967,700)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(12,886,700)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Depreciation and amortization</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33,800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832,100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Amortization of discounts on convertible and promissory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640,000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254,800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5,315,500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Change in warrant liability and put and note term extension option liabilities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(3,566,900)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1,635,800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(2,349,700)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Stock-based compensation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1,137,300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1,241,300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6,732,900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Expense related to modification of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204,300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1,454,200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Non-cash rent and relocation expense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56,800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56,800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Interest income on note receivable for stock purchase</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(27,600)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(28,800)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Fair value of common stock granted for services following the Merger</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852,700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Fair value of warrants granted for services and interest following the Merger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60,700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183,800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748,300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Gain on currency fluctuation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(48,600)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(53,000)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(101,600)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Fair value of additional warrants granted pursuant to exercises of modified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174,000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Loss on settlements of accounts payable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78,300</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78,300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Acquired in-process research and development</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Loss on early extinguishment of debt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3,567,800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4,761,300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20"/>
              <w:spacing w:after="0"/>
              <w:rPr>
                <w:sz w:val="20"/>
                <w:szCs w:val="20"/>
                <w:color w:val="auto"/>
              </w:rPr>
            </w:pPr>
            <w:r>
              <w:rPr>
                <w:rFonts w:ascii="Arial" w:cs="Arial" w:eastAsia="Arial" w:hAnsi="Arial"/>
                <w:sz w:val="12"/>
                <w:szCs w:val="12"/>
                <w:color w:val="auto"/>
                <w:w w:val="90"/>
              </w:rPr>
              <w:t>Fair value of Series C preferred stock, common stock, and warrants granted for services prior to the Merger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3,150,900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Fair value of common stock issued for note term modification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22,400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Consulting services by related parties settled by issuing promissory notes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44,600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Gain on sale of assets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(16,800)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Changes in operating assets and liabilities: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Unbilled contract payments receivable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106,200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Prepaid expenses and other current assets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92,700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46,200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134,400</w:t>
            </w: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Security deposits and other assets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(17,900)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(46,900)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Accounts payable and accrued expenses, including accrued interest</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2,229,900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1,485,200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18,201,400</w:t>
            </w: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Deferred revenues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(13,200)</w:t>
            </w: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used in operating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(2,126,000)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(3,463,200)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(23,097,700)</w:t>
            </w:r>
          </w:p>
        </w:tc>
        <w:tc>
          <w:tcPr>
            <w:tcW w:w="0" w:type="dxa"/>
            <w:vAlign w:val="bottom"/>
          </w:tcPr>
          <w:p>
            <w:pPr>
              <w:spacing w:after="0"/>
              <w:rPr>
                <w:sz w:val="1"/>
                <w:szCs w:val="1"/>
                <w:color w:val="auto"/>
              </w:rPr>
            </w:pPr>
          </w:p>
        </w:tc>
      </w:tr>
      <w:tr>
        <w:trPr>
          <w:trHeight w:val="142"/>
        </w:trPr>
        <w:tc>
          <w:tcPr>
            <w:tcW w:w="5620" w:type="dxa"/>
            <w:vAlign w:val="bottom"/>
            <w:tcBorders>
              <w:top w:val="single" w:sz="8" w:color="CCEEFF"/>
            </w:tcBorders>
          </w:tcPr>
          <w:p>
            <w:pPr>
              <w:spacing w:after="0"/>
              <w:rPr>
                <w:sz w:val="12"/>
                <w:szCs w:val="12"/>
                <w:color w:val="auto"/>
              </w:rPr>
            </w:pPr>
          </w:p>
        </w:tc>
        <w:tc>
          <w:tcPr>
            <w:tcW w:w="18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investing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Purchases of equipment, net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(9,600)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(135,400)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(825,800)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used in investing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(135,400)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(825,800)</w:t>
            </w:r>
          </w:p>
        </w:tc>
        <w:tc>
          <w:tcPr>
            <w:tcW w:w="0" w:type="dxa"/>
            <w:vAlign w:val="bottom"/>
          </w:tcPr>
          <w:p>
            <w:pPr>
              <w:spacing w:after="0"/>
              <w:rPr>
                <w:sz w:val="1"/>
                <w:szCs w:val="1"/>
                <w:color w:val="auto"/>
              </w:rPr>
            </w:pPr>
          </w:p>
        </w:tc>
      </w:tr>
      <w:tr>
        <w:trPr>
          <w:trHeight w:val="142"/>
        </w:trPr>
        <w:tc>
          <w:tcPr>
            <w:tcW w:w="5620" w:type="dxa"/>
            <w:vAlign w:val="bottom"/>
            <w:tcBorders>
              <w:top w:val="single" w:sz="8" w:color="CCEEFF"/>
            </w:tcBorders>
          </w:tcPr>
          <w:p>
            <w:pPr>
              <w:spacing w:after="0"/>
              <w:rPr>
                <w:sz w:val="12"/>
                <w:szCs w:val="12"/>
                <w:color w:val="auto"/>
              </w:rPr>
            </w:pPr>
          </w:p>
        </w:tc>
        <w:tc>
          <w:tcPr>
            <w:tcW w:w="18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financing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common stock and warrants, including Units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1,075,500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1,185,100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5,060,600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exercise of modified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264,200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262,100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1,692,600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Platinum notes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3,222,100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7,172,100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Advance from officer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64,000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Proceeds from issuance of notes under line of credit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200,000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issuance of 7% note payable to founding stockholder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7% convertible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575,000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proceeds from issuance of 10% convertible notes and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preferred stock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4,198,600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proceeds from issuance of notes and warrants from 2006 to 2010</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4,851,800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February 2012 12% convertible notes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466,500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Repayment of capital lease obligations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(16,900)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Repayment of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(148,600)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(496,700)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(1,977,700)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provided by financing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1,497,500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4,155,700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23,923,500</w:t>
            </w: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ind w:left="20"/>
              <w:spacing w:after="0"/>
              <w:rPr>
                <w:sz w:val="20"/>
                <w:szCs w:val="20"/>
                <w:color w:val="auto"/>
              </w:rPr>
            </w:pPr>
            <w:r>
              <w:rPr>
                <w:rFonts w:ascii="Arial" w:cs="Arial" w:eastAsia="Arial" w:hAnsi="Arial"/>
                <w:sz w:val="12"/>
                <w:szCs w:val="12"/>
                <w:color w:val="auto"/>
              </w:rPr>
              <w:t>Net (decrease) increase in cash and cash equivalents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(638,100)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557,100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 at beginning of period</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638,100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81,000</w:t>
            </w: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ind w:left="20"/>
              <w:spacing w:after="0"/>
              <w:rPr>
                <w:sz w:val="20"/>
                <w:szCs w:val="20"/>
                <w:color w:val="auto"/>
              </w:rPr>
            </w:pPr>
            <w:r>
              <w:rPr>
                <w:rFonts w:ascii="Arial" w:cs="Arial" w:eastAsia="Arial" w:hAnsi="Arial"/>
                <w:sz w:val="12"/>
                <w:szCs w:val="12"/>
                <w:color w:val="auto"/>
              </w:rPr>
              <w:t>Cash and cash equivalents at end of period</w:t>
            </w:r>
          </w:p>
        </w:tc>
        <w:tc>
          <w:tcPr>
            <w:tcW w:w="184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638,100</w:t>
            </w:r>
          </w:p>
        </w:tc>
        <w:tc>
          <w:tcPr>
            <w:tcW w:w="2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6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0"/>
              <w:spacing w:after="0"/>
              <w:rPr>
                <w:sz w:val="20"/>
                <w:szCs w:val="20"/>
                <w:color w:val="auto"/>
              </w:rPr>
            </w:pPr>
            <w:r>
              <w:rPr>
                <w:rFonts w:ascii="Arial" w:cs="Arial" w:eastAsia="Arial" w:hAnsi="Arial"/>
                <w:sz w:val="12"/>
                <w:szCs w:val="12"/>
                <w:color w:val="auto"/>
              </w:rPr>
              <w:t>Supplemental disclosure of cash flow activities: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Cash paid for interest</w:t>
            </w:r>
          </w:p>
        </w:tc>
        <w:tc>
          <w:tcPr>
            <w:tcW w:w="210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21,000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225,900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686,600</w:t>
            </w:r>
          </w:p>
        </w:tc>
        <w:tc>
          <w:tcPr>
            <w:tcW w:w="0" w:type="dxa"/>
            <w:vAlign w:val="bottom"/>
          </w:tcPr>
          <w:p>
            <w:pPr>
              <w:spacing w:after="0"/>
              <w:rPr>
                <w:sz w:val="1"/>
                <w:szCs w:val="1"/>
                <w:color w:val="auto"/>
              </w:rPr>
            </w:pPr>
          </w:p>
        </w:tc>
      </w:tr>
      <w:tr>
        <w:trPr>
          <w:trHeight w:val="153"/>
        </w:trPr>
        <w:tc>
          <w:tcPr>
            <w:tcW w:w="5620" w:type="dxa"/>
            <w:vAlign w:val="bottom"/>
          </w:tcPr>
          <w:p>
            <w:pPr>
              <w:ind w:left="260"/>
              <w:spacing w:after="0"/>
              <w:rPr>
                <w:sz w:val="20"/>
                <w:szCs w:val="20"/>
                <w:color w:val="auto"/>
              </w:rPr>
            </w:pPr>
            <w:r>
              <w:rPr>
                <w:rFonts w:ascii="Arial" w:cs="Arial" w:eastAsia="Arial" w:hAnsi="Arial"/>
                <w:sz w:val="12"/>
                <w:szCs w:val="12"/>
                <w:color w:val="auto"/>
              </w:rPr>
              <w:t>Cash paid for income taxes</w:t>
            </w:r>
          </w:p>
        </w:tc>
        <w:tc>
          <w:tcPr>
            <w:tcW w:w="210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2,700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3,700</w:t>
            </w:r>
          </w:p>
        </w:tc>
        <w:tc>
          <w:tcPr>
            <w:tcW w:w="2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23,200</w:t>
            </w:r>
          </w:p>
        </w:tc>
        <w:tc>
          <w:tcPr>
            <w:tcW w:w="0" w:type="dxa"/>
            <w:vAlign w:val="bottom"/>
          </w:tcPr>
          <w:p>
            <w:pPr>
              <w:spacing w:after="0"/>
              <w:rPr>
                <w:sz w:val="1"/>
                <w:szCs w:val="1"/>
                <w:color w:val="auto"/>
              </w:rPr>
            </w:pPr>
          </w:p>
        </w:tc>
      </w:tr>
      <w:tr>
        <w:trPr>
          <w:trHeight w:val="396"/>
        </w:trPr>
        <w:tc>
          <w:tcPr>
            <w:tcW w:w="5620" w:type="dxa"/>
            <w:vAlign w:val="bottom"/>
          </w:tcPr>
          <w:p>
            <w:pPr>
              <w:spacing w:after="0"/>
              <w:rPr>
                <w:sz w:val="24"/>
                <w:szCs w:val="24"/>
                <w:color w:val="auto"/>
              </w:rPr>
            </w:pPr>
          </w:p>
        </w:tc>
        <w:tc>
          <w:tcPr>
            <w:tcW w:w="2100" w:type="dxa"/>
            <w:vAlign w:val="bottom"/>
            <w:gridSpan w:val="2"/>
          </w:tcPr>
          <w:p>
            <w:pPr>
              <w:jc w:val="right"/>
              <w:ind w:right="1850"/>
              <w:spacing w:after="0"/>
              <w:rPr>
                <w:sz w:val="20"/>
                <w:szCs w:val="20"/>
                <w:color w:val="auto"/>
              </w:rPr>
            </w:pPr>
            <w:r>
              <w:rPr>
                <w:rFonts w:ascii="Arial" w:cs="Arial" w:eastAsia="Arial" w:hAnsi="Arial"/>
                <w:sz w:val="12"/>
                <w:szCs w:val="12"/>
                <w:color w:val="auto"/>
                <w:w w:val="99"/>
              </w:rPr>
              <w:t>F-5</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5620" w:type="dxa"/>
            <w:vAlign w:val="bottom"/>
            <w:tcBorders>
              <w:bottom w:val="single" w:sz="8" w:color="808080"/>
            </w:tcBorders>
          </w:tcPr>
          <w:p>
            <w:pPr>
              <w:spacing w:after="0"/>
              <w:rPr>
                <w:sz w:val="6"/>
                <w:szCs w:val="6"/>
                <w:color w:val="auto"/>
              </w:rPr>
            </w:pPr>
          </w:p>
        </w:tc>
        <w:tc>
          <w:tcPr>
            <w:tcW w:w="18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15"/>
        </w:trPr>
        <w:tc>
          <w:tcPr>
            <w:tcW w:w="2960" w:type="dxa"/>
            <w:vAlign w:val="bottom"/>
            <w:gridSpan w:val="2"/>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3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82"/>
        </w:trPr>
        <w:tc>
          <w:tcPr>
            <w:tcW w:w="66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rPr>
              <w:t>VISTAGEN THERAPEUTICS, INC.</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6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w w:val="88"/>
              </w:rPr>
              <w:t>(a development stage company)</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jc w:val="center"/>
              <w:ind w:left="660"/>
              <w:spacing w:after="0"/>
              <w:rPr>
                <w:sz w:val="20"/>
                <w:szCs w:val="20"/>
                <w:color w:val="auto"/>
              </w:rPr>
            </w:pPr>
            <w:r>
              <w:rPr>
                <w:rFonts w:ascii="Arial" w:cs="Arial" w:eastAsia="Arial" w:hAnsi="Arial"/>
                <w:sz w:val="12"/>
                <w:szCs w:val="12"/>
                <w:b w:val="1"/>
                <w:bCs w:val="1"/>
                <w:color w:val="auto"/>
                <w:w w:val="97"/>
              </w:rPr>
              <w:t>CONSOLIDATED STATEMENTS OF CASH FLOWS (continued)</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6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3"/>
        </w:trPr>
        <w:tc>
          <w:tcPr>
            <w:tcW w:w="6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Period From</w:t>
            </w:r>
          </w:p>
        </w:tc>
      </w:tr>
      <w:tr>
        <w:trPr>
          <w:trHeight w:val="144"/>
        </w:trPr>
        <w:tc>
          <w:tcPr>
            <w:tcW w:w="6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May 26, 1998</w:t>
            </w:r>
          </w:p>
        </w:tc>
      </w:tr>
      <w:tr>
        <w:trPr>
          <w:trHeight w:val="144"/>
        </w:trPr>
        <w:tc>
          <w:tcPr>
            <w:tcW w:w="6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(Inception)</w:t>
            </w:r>
          </w:p>
        </w:tc>
      </w:tr>
      <w:tr>
        <w:trPr>
          <w:trHeight w:val="157"/>
        </w:trPr>
        <w:tc>
          <w:tcPr>
            <w:tcW w:w="6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2"/>
                <w:szCs w:val="12"/>
                <w:b w:val="1"/>
                <w:bCs w:val="1"/>
                <w:color w:val="auto"/>
              </w:rPr>
              <w:t>Twelve Months Ended March 31,</w:t>
            </w:r>
          </w:p>
        </w:tc>
        <w:tc>
          <w:tcPr>
            <w:tcW w:w="1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Through</w:t>
            </w:r>
          </w:p>
        </w:tc>
      </w:tr>
      <w:tr>
        <w:trPr>
          <w:trHeight w:val="142"/>
        </w:trPr>
        <w:tc>
          <w:tcPr>
            <w:tcW w:w="6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March 31, 2014</w:t>
            </w:r>
          </w:p>
        </w:tc>
      </w:tr>
      <w:tr>
        <w:trPr>
          <w:trHeight w:val="286"/>
        </w:trPr>
        <w:tc>
          <w:tcPr>
            <w:tcW w:w="2960" w:type="dxa"/>
            <w:vAlign w:val="bottom"/>
            <w:gridSpan w:val="2"/>
          </w:tcPr>
          <w:p>
            <w:pPr>
              <w:ind w:left="20"/>
              <w:spacing w:after="0"/>
              <w:rPr>
                <w:sz w:val="20"/>
                <w:szCs w:val="20"/>
                <w:color w:val="auto"/>
              </w:rPr>
            </w:pPr>
            <w:r>
              <w:rPr>
                <w:rFonts w:ascii="Arial" w:cs="Arial" w:eastAsia="Arial" w:hAnsi="Arial"/>
                <w:sz w:val="12"/>
                <w:szCs w:val="12"/>
                <w:color w:val="auto"/>
              </w:rPr>
              <w:t>Supplemental disclosure of noncash activities:</w:t>
            </w:r>
          </w:p>
        </w:tc>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Forgiveness of accrued compensation and accrued interest payable to officers transferred to equity</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800,000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Exercise of warrants and options in exchange for debt cancellation</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112,800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Settlement of accrued and prepaid interest by issuance of Series C Preferred Stock</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35,300</w:t>
            </w:r>
          </w:p>
        </w:tc>
      </w:tr>
      <w:tr>
        <w:trPr>
          <w:trHeight w:val="144"/>
        </w:trPr>
        <w:tc>
          <w:tcPr>
            <w:tcW w:w="2960" w:type="dxa"/>
            <w:vAlign w:val="bottom"/>
            <w:gridSpan w:val="2"/>
          </w:tcPr>
          <w:p>
            <w:pPr>
              <w:ind w:left="320"/>
              <w:spacing w:after="0"/>
              <w:rPr>
                <w:sz w:val="20"/>
                <w:szCs w:val="20"/>
                <w:color w:val="auto"/>
              </w:rPr>
            </w:pPr>
            <w:r>
              <w:rPr>
                <w:rFonts w:ascii="Arial" w:cs="Arial" w:eastAsia="Arial" w:hAnsi="Arial"/>
                <w:sz w:val="12"/>
                <w:szCs w:val="12"/>
                <w:color w:val="auto"/>
                <w:w w:val="90"/>
              </w:rPr>
              <w:t>Conversion of 10% notes payable, net of discount, and</w:t>
            </w:r>
          </w:p>
        </w:tc>
        <w:tc>
          <w:tcPr>
            <w:tcW w:w="4500" w:type="dxa"/>
            <w:vAlign w:val="bottom"/>
            <w:gridSpan w:val="2"/>
          </w:tcPr>
          <w:p>
            <w:pPr>
              <w:ind w:left="80"/>
              <w:spacing w:after="0"/>
              <w:rPr>
                <w:sz w:val="20"/>
                <w:szCs w:val="20"/>
                <w:color w:val="auto"/>
              </w:rPr>
            </w:pPr>
            <w:r>
              <w:rPr>
                <w:rFonts w:ascii="Arial" w:cs="Arial" w:eastAsia="Arial" w:hAnsi="Arial"/>
                <w:sz w:val="12"/>
                <w:szCs w:val="12"/>
                <w:color w:val="auto"/>
              </w:rPr>
              <w:t>related accrued interest of $408,600 into Series C Preferred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2,050,300</w:t>
            </w:r>
          </w:p>
        </w:tc>
        <w:tc>
          <w:tcPr>
            <w:tcW w:w="120" w:type="dxa"/>
            <w:vAlign w:val="bottom"/>
          </w:tcPr>
          <w:p>
            <w:pPr>
              <w:spacing w:after="0"/>
              <w:rPr>
                <w:sz w:val="12"/>
                <w:szCs w:val="12"/>
                <w:color w:val="auto"/>
              </w:rPr>
            </w:pPr>
          </w:p>
        </w:tc>
      </w:tr>
      <w:tr>
        <w:trPr>
          <w:trHeight w:val="144"/>
        </w:trPr>
        <w:tc>
          <w:tcPr>
            <w:tcW w:w="3300" w:type="dxa"/>
            <w:vAlign w:val="bottom"/>
            <w:gridSpan w:val="3"/>
            <w:shd w:val="clear" w:color="auto" w:fill="CCEEFF"/>
          </w:tcPr>
          <w:p>
            <w:pPr>
              <w:ind w:left="320"/>
              <w:spacing w:after="0"/>
              <w:rPr>
                <w:sz w:val="20"/>
                <w:szCs w:val="20"/>
                <w:color w:val="auto"/>
              </w:rPr>
            </w:pPr>
            <w:r>
              <w:rPr>
                <w:rFonts w:ascii="Arial" w:cs="Arial" w:eastAsia="Arial" w:hAnsi="Arial"/>
                <w:sz w:val="12"/>
                <w:szCs w:val="12"/>
                <w:color w:val="auto"/>
                <w:w w:val="89"/>
              </w:rPr>
              <w:t>Issuance of Series B-1 Preferred stock for acquired in-process</w:t>
            </w:r>
          </w:p>
        </w:tc>
        <w:tc>
          <w:tcPr>
            <w:tcW w:w="4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research and development</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r>
      <w:tr>
        <w:trPr>
          <w:trHeight w:val="144"/>
        </w:trPr>
        <w:tc>
          <w:tcPr>
            <w:tcW w:w="2960" w:type="dxa"/>
            <w:vAlign w:val="bottom"/>
            <w:gridSpan w:val="2"/>
          </w:tcPr>
          <w:p>
            <w:pPr>
              <w:ind w:left="320"/>
              <w:spacing w:after="0"/>
              <w:rPr>
                <w:sz w:val="20"/>
                <w:szCs w:val="20"/>
                <w:color w:val="auto"/>
              </w:rPr>
            </w:pPr>
            <w:r>
              <w:rPr>
                <w:rFonts w:ascii="Arial" w:cs="Arial" w:eastAsia="Arial" w:hAnsi="Arial"/>
                <w:sz w:val="12"/>
                <w:szCs w:val="12"/>
                <w:color w:val="auto"/>
                <w:w w:val="92"/>
              </w:rPr>
              <w:t>Conversion of 7% notes payable, net of discount, and</w:t>
            </w:r>
          </w:p>
        </w:tc>
        <w:tc>
          <w:tcPr>
            <w:tcW w:w="4500" w:type="dxa"/>
            <w:vAlign w:val="bottom"/>
            <w:gridSpan w:val="2"/>
          </w:tcPr>
          <w:p>
            <w:pPr>
              <w:ind w:left="20"/>
              <w:spacing w:after="0"/>
              <w:rPr>
                <w:sz w:val="20"/>
                <w:szCs w:val="20"/>
                <w:color w:val="auto"/>
              </w:rPr>
            </w:pPr>
            <w:r>
              <w:rPr>
                <w:rFonts w:ascii="Arial" w:cs="Arial" w:eastAsia="Arial" w:hAnsi="Arial"/>
                <w:sz w:val="12"/>
                <w:szCs w:val="12"/>
                <w:color w:val="auto"/>
              </w:rPr>
              <w:t>related accrued interest of $3,800 into Series B Preferred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508,000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accounts payable into convertible promissory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893,700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w w:val="94"/>
              </w:rPr>
              <w:t>Conversion of accounts payable into note payable</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1,558,500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4,368,800</w:t>
            </w:r>
          </w:p>
        </w:tc>
        <w:tc>
          <w:tcPr>
            <w:tcW w:w="120" w:type="dxa"/>
            <w:vAlign w:val="bottom"/>
          </w:tcPr>
          <w:p>
            <w:pPr>
              <w:spacing w:after="0"/>
              <w:rPr>
                <w:sz w:val="12"/>
                <w:szCs w:val="12"/>
                <w:color w:val="auto"/>
              </w:rPr>
            </w:pPr>
          </w:p>
        </w:tc>
      </w:tr>
      <w:tr>
        <w:trPr>
          <w:trHeight w:val="144"/>
        </w:trPr>
        <w:tc>
          <w:tcPr>
            <w:tcW w:w="29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w w:val="91"/>
              </w:rPr>
              <w:t>Conversion of accounts payable into common stock</w:t>
            </w:r>
          </w:p>
        </w:tc>
        <w:tc>
          <w:tcPr>
            <w:tcW w:w="34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103,200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1,927,300</w:t>
            </w:r>
          </w:p>
        </w:tc>
        <w:tc>
          <w:tcPr>
            <w:tcW w:w="120" w:type="dxa"/>
            <w:vAlign w:val="bottom"/>
            <w:shd w:val="clear" w:color="auto" w:fill="CCEEFF"/>
          </w:tcPr>
          <w:p>
            <w:pPr>
              <w:spacing w:after="0"/>
              <w:rPr>
                <w:sz w:val="12"/>
                <w:szCs w:val="12"/>
                <w:color w:val="auto"/>
              </w:rPr>
            </w:pPr>
          </w:p>
        </w:tc>
      </w:tr>
      <w:tr>
        <w:trPr>
          <w:trHeight w:val="144"/>
        </w:trPr>
        <w:tc>
          <w:tcPr>
            <w:tcW w:w="7460" w:type="dxa"/>
            <w:vAlign w:val="bottom"/>
            <w:gridSpan w:val="4"/>
          </w:tcPr>
          <w:p>
            <w:pPr>
              <w:ind w:left="320"/>
              <w:spacing w:after="0"/>
              <w:rPr>
                <w:sz w:val="20"/>
                <w:szCs w:val="20"/>
                <w:color w:val="auto"/>
              </w:rPr>
            </w:pPr>
            <w:r>
              <w:rPr>
                <w:rFonts w:ascii="Arial" w:cs="Arial" w:eastAsia="Arial" w:hAnsi="Arial"/>
                <w:sz w:val="12"/>
                <w:szCs w:val="12"/>
                <w:color w:val="auto"/>
              </w:rPr>
              <w:t>Conversion of accrued interest on convertible promissory  notes into common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921,400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Notes receivable from sale of common stock to related parties upon exercise of options and warrants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149,800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rPr>
              <w:t>Capital lease obligations</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139,700</w:t>
            </w:r>
          </w:p>
        </w:tc>
      </w:tr>
      <w:tr>
        <w:trPr>
          <w:trHeight w:val="144"/>
        </w:trPr>
        <w:tc>
          <w:tcPr>
            <w:tcW w:w="7460" w:type="dxa"/>
            <w:vAlign w:val="bottom"/>
            <w:gridSpan w:val="4"/>
            <w:shd w:val="clear" w:color="auto" w:fill="CCEEFF"/>
          </w:tcPr>
          <w:p>
            <w:pPr>
              <w:ind w:left="320"/>
              <w:spacing w:after="0"/>
              <w:rPr>
                <w:sz w:val="20"/>
                <w:szCs w:val="20"/>
                <w:color w:val="auto"/>
              </w:rPr>
            </w:pPr>
            <w:r>
              <w:rPr>
                <w:rFonts w:ascii="Arial" w:cs="Arial" w:eastAsia="Arial" w:hAnsi="Arial"/>
                <w:sz w:val="12"/>
                <w:szCs w:val="12"/>
                <w:color w:val="auto"/>
              </w:rPr>
              <w:t>Recognition of put option and note term extension option liabilities upon  issuance of Original Platinum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141,200</w:t>
            </w:r>
          </w:p>
        </w:tc>
      </w:tr>
      <w:tr>
        <w:trPr>
          <w:trHeight w:val="144"/>
        </w:trPr>
        <w:tc>
          <w:tcPr>
            <w:tcW w:w="3300" w:type="dxa"/>
            <w:vAlign w:val="bottom"/>
            <w:gridSpan w:val="3"/>
          </w:tcPr>
          <w:p>
            <w:pPr>
              <w:ind w:left="320"/>
              <w:spacing w:after="0"/>
              <w:rPr>
                <w:sz w:val="20"/>
                <w:szCs w:val="20"/>
                <w:color w:val="auto"/>
              </w:rPr>
            </w:pPr>
            <w:r>
              <w:rPr>
                <w:rFonts w:ascii="Arial" w:cs="Arial" w:eastAsia="Arial" w:hAnsi="Arial"/>
                <w:sz w:val="12"/>
                <w:szCs w:val="12"/>
                <w:color w:val="auto"/>
                <w:w w:val="93"/>
              </w:rPr>
              <w:t>Incremental fair value of put option and note term extension</w:t>
            </w:r>
          </w:p>
        </w:tc>
        <w:tc>
          <w:tcPr>
            <w:tcW w:w="4160" w:type="dxa"/>
            <w:vAlign w:val="bottom"/>
          </w:tcPr>
          <w:p>
            <w:pPr>
              <w:spacing w:after="0"/>
              <w:rPr>
                <w:sz w:val="20"/>
                <w:szCs w:val="20"/>
                <w:color w:val="auto"/>
              </w:rPr>
            </w:pPr>
            <w:r>
              <w:rPr>
                <w:rFonts w:ascii="Arial" w:cs="Arial" w:eastAsia="Arial" w:hAnsi="Arial"/>
                <w:sz w:val="12"/>
                <w:szCs w:val="12"/>
                <w:color w:val="auto"/>
              </w:rPr>
              <w:t>option liabilities from debt modifications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479,400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Incremental fair value of note conversion option from debt modification</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1,891,200</w:t>
            </w:r>
          </w:p>
        </w:tc>
        <w:tc>
          <w:tcPr>
            <w:tcW w:w="120" w:type="dxa"/>
            <w:vAlign w:val="bottom"/>
            <w:shd w:val="clear" w:color="auto" w:fill="CCEEFF"/>
          </w:tcPr>
          <w:p>
            <w:pPr>
              <w:spacing w:after="0"/>
              <w:rPr>
                <w:sz w:val="12"/>
                <w:szCs w:val="12"/>
                <w:color w:val="auto"/>
              </w:rPr>
            </w:pPr>
          </w:p>
        </w:tc>
      </w:tr>
      <w:tr>
        <w:trPr>
          <w:trHeight w:val="144"/>
        </w:trPr>
        <w:tc>
          <w:tcPr>
            <w:tcW w:w="3300" w:type="dxa"/>
            <w:vAlign w:val="bottom"/>
            <w:gridSpan w:val="3"/>
          </w:tcPr>
          <w:p>
            <w:pPr>
              <w:ind w:left="440"/>
              <w:spacing w:after="0"/>
              <w:rPr>
                <w:sz w:val="20"/>
                <w:szCs w:val="20"/>
                <w:color w:val="auto"/>
              </w:rPr>
            </w:pPr>
            <w:r>
              <w:rPr>
                <w:rFonts w:ascii="Arial" w:cs="Arial" w:eastAsia="Arial" w:hAnsi="Arial"/>
                <w:sz w:val="12"/>
                <w:szCs w:val="12"/>
                <w:color w:val="auto"/>
                <w:w w:val="95"/>
              </w:rPr>
              <w:t>Incremental fair value of warrant from debt modifications</w:t>
            </w: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276,700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Recognition of warrant liability upon adoption of new accounting standard</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151,300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Fair value of warrants issued with August 2010 short term notes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130,900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 discount upon issuance of August 2010 short term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320,000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Fair value of warrants issued with February 2012 12 % convertible notes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542,000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 discount upon issuance of February 2012 12% convertible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495,200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Conversion of 2006/2007 and 2008/2010 Notes into Units, including accrued interest of $1,365,600</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6,174,800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all series of pre-Merger preferred stock into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14,534,800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Conversion of 2011 Platinum Note into Series A Preferred Stock, including accrued  interest of $611,100 and conversion premium</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5,763,900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7% note payable and accrued interest of $11,500 into common stock and warrants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19,500</w:t>
            </w:r>
          </w:p>
        </w:tc>
      </w:tr>
      <w:tr>
        <w:trPr>
          <w:trHeight w:val="144"/>
        </w:trPr>
        <w:tc>
          <w:tcPr>
            <w:tcW w:w="7460" w:type="dxa"/>
            <w:vAlign w:val="bottom"/>
            <w:gridSpan w:val="4"/>
          </w:tcPr>
          <w:p>
            <w:pPr>
              <w:ind w:left="320"/>
              <w:spacing w:after="0"/>
              <w:rPr>
                <w:sz w:val="20"/>
                <w:szCs w:val="20"/>
                <w:color w:val="auto"/>
              </w:rPr>
            </w:pPr>
            <w:r>
              <w:rPr>
                <w:rFonts w:ascii="Arial" w:cs="Arial" w:eastAsia="Arial" w:hAnsi="Arial"/>
                <w:sz w:val="12"/>
                <w:szCs w:val="12"/>
                <w:color w:val="auto"/>
              </w:rPr>
              <w:t>Conversion of accounts payable to Morrison &amp; Foerster, McCarthy Tetrault and Desjardins into notes payable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1,603,400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and cancellation premium converted into 2011 Private Placement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169,000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Accrued interest on Cato Holding Company note converted to note payable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90,800</w:t>
            </w: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settled in December 2011 and May/June 2012 warrant exercises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12,500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280,100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w w:val="90"/>
              </w:rPr>
              <w:t>Insurance premiums settled by issuing note payable</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98,300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110,100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296,900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accrued interest and fees on February 2012 Notes into 2012  Private Placement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92,900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92,900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Accrued interest on July and August 2012 Notes to Platinum converted into Exchange Note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22,600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22,600</w:t>
            </w: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settled by issuance of stock or notes payable and stock</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104,900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104,900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Accounts payable converted into 2012 Private Placement Units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50,000</w:t>
            </w:r>
          </w:p>
        </w:tc>
      </w:tr>
      <w:tr>
        <w:trPr>
          <w:trHeight w:val="135"/>
        </w:trPr>
        <w:tc>
          <w:tcPr>
            <w:tcW w:w="7460" w:type="dxa"/>
            <w:vAlign w:val="bottom"/>
            <w:gridSpan w:val="4"/>
            <w:shd w:val="clear" w:color="auto" w:fill="CCEEFF"/>
          </w:tcPr>
          <w:p>
            <w:pPr>
              <w:ind w:left="320"/>
              <w:spacing w:after="0" w:line="136" w:lineRule="exact"/>
              <w:rPr>
                <w:sz w:val="20"/>
                <w:szCs w:val="20"/>
                <w:color w:val="auto"/>
              </w:rPr>
            </w:pPr>
            <w:r>
              <w:rPr>
                <w:rFonts w:ascii="Arial" w:cs="Arial" w:eastAsia="Arial" w:hAnsi="Arial"/>
                <w:sz w:val="12"/>
                <w:szCs w:val="12"/>
                <w:color w:val="auto"/>
                <w:w w:val="94"/>
              </w:rPr>
              <w:t>Recognition of warrant liability upon issuance to Platinum of October 2012 Exchange Note and October 2012, February 2013 and March 2013</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3"/>
        </w:trPr>
        <w:tc>
          <w:tcPr>
            <w:tcW w:w="296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w w:val="99"/>
              </w:rPr>
              <w:t>Investment Notes and July 2013 Convertible Note</w:t>
            </w:r>
          </w:p>
        </w:tc>
        <w:tc>
          <w:tcPr>
            <w:tcW w:w="340" w:type="dxa"/>
            <w:vAlign w:val="bottom"/>
            <w:shd w:val="clear" w:color="auto" w:fill="CCEEFF"/>
          </w:tcPr>
          <w:p>
            <w:pPr>
              <w:spacing w:after="0"/>
              <w:rPr>
                <w:sz w:val="13"/>
                <w:szCs w:val="13"/>
                <w:color w:val="auto"/>
              </w:rPr>
            </w:pPr>
          </w:p>
        </w:tc>
        <w:tc>
          <w:tcPr>
            <w:tcW w:w="41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146,800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1,690,000</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1,836,800</w:t>
            </w:r>
          </w:p>
        </w:tc>
        <w:tc>
          <w:tcPr>
            <w:tcW w:w="120" w:type="dxa"/>
            <w:vAlign w:val="bottom"/>
            <w:shd w:val="clear" w:color="auto" w:fill="CCEEFF"/>
          </w:tcPr>
          <w:p>
            <w:pPr>
              <w:spacing w:after="0"/>
              <w:rPr>
                <w:sz w:val="13"/>
                <w:szCs w:val="13"/>
                <w:color w:val="auto"/>
              </w:rPr>
            </w:pPr>
          </w:p>
        </w:tc>
      </w:tr>
      <w:tr>
        <w:trPr>
          <w:trHeight w:val="135"/>
        </w:trPr>
        <w:tc>
          <w:tcPr>
            <w:tcW w:w="7460" w:type="dxa"/>
            <w:vAlign w:val="bottom"/>
            <w:gridSpan w:val="4"/>
          </w:tcPr>
          <w:p>
            <w:pPr>
              <w:ind w:left="520"/>
              <w:spacing w:after="0" w:line="136" w:lineRule="exact"/>
              <w:rPr>
                <w:sz w:val="20"/>
                <w:szCs w:val="20"/>
                <w:color w:val="auto"/>
              </w:rPr>
            </w:pPr>
            <w:r>
              <w:rPr>
                <w:rFonts w:ascii="Arial" w:cs="Arial" w:eastAsia="Arial" w:hAnsi="Arial"/>
                <w:sz w:val="12"/>
                <w:szCs w:val="12"/>
                <w:color w:val="auto"/>
                <w:w w:val="98"/>
              </w:rPr>
              <w:t>Recognition of warrant liability for potential issuance to Platinum of Series A Exchange Warrant under the terms of the October 2012</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960" w:type="dxa"/>
            <w:vAlign w:val="bottom"/>
            <w:gridSpan w:val="2"/>
          </w:tcPr>
          <w:p>
            <w:pPr>
              <w:ind w:left="320"/>
              <w:spacing w:after="0"/>
              <w:rPr>
                <w:sz w:val="20"/>
                <w:szCs w:val="20"/>
                <w:color w:val="auto"/>
              </w:rPr>
            </w:pPr>
            <w:r>
              <w:rPr>
                <w:rFonts w:ascii="Arial" w:cs="Arial" w:eastAsia="Arial" w:hAnsi="Arial"/>
                <w:sz w:val="12"/>
                <w:szCs w:val="12"/>
                <w:color w:val="auto"/>
              </w:rPr>
              <w:t>Agreement</w:t>
            </w:r>
          </w:p>
        </w:tc>
        <w:tc>
          <w:tcPr>
            <w:tcW w:w="3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3,068,200</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3,068,200</w:t>
            </w:r>
          </w:p>
        </w:tc>
        <w:tc>
          <w:tcPr>
            <w:tcW w:w="120" w:type="dxa"/>
            <w:vAlign w:val="bottom"/>
          </w:tcPr>
          <w:p>
            <w:pPr>
              <w:spacing w:after="0"/>
              <w:rPr>
                <w:sz w:val="13"/>
                <w:szCs w:val="13"/>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15"/>
        </w:trPr>
        <w:tc>
          <w:tcPr>
            <w:tcW w:w="3340" w:type="dxa"/>
            <w:vAlign w:val="bottom"/>
            <w:gridSpan w:val="3"/>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gridSpan w:val="5"/>
          </w:tcPr>
          <w:p>
            <w:pPr>
              <w:jc w:val="center"/>
              <w:ind w:right="740"/>
              <w:spacing w:after="0"/>
              <w:rPr>
                <w:sz w:val="20"/>
                <w:szCs w:val="20"/>
                <w:color w:val="auto"/>
              </w:rPr>
            </w:pPr>
            <w:r>
              <w:rPr>
                <w:rFonts w:ascii="Arial" w:cs="Arial" w:eastAsia="Arial" w:hAnsi="Arial"/>
                <w:sz w:val="12"/>
                <w:szCs w:val="12"/>
                <w:b w:val="1"/>
                <w:bCs w:val="1"/>
                <w:color w:val="auto"/>
              </w:rPr>
              <w:t>VISTAGEN THERAPEUTICS, INC.</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40" w:type="dxa"/>
            <w:vAlign w:val="bottom"/>
            <w:gridSpan w:val="5"/>
          </w:tcPr>
          <w:p>
            <w:pPr>
              <w:jc w:val="center"/>
              <w:ind w:right="740"/>
              <w:spacing w:after="0"/>
              <w:rPr>
                <w:sz w:val="20"/>
                <w:szCs w:val="20"/>
                <w:color w:val="auto"/>
              </w:rPr>
            </w:pPr>
            <w:r>
              <w:rPr>
                <w:rFonts w:ascii="Arial" w:cs="Arial" w:eastAsia="Arial" w:hAnsi="Arial"/>
                <w:sz w:val="12"/>
                <w:szCs w:val="12"/>
                <w:b w:val="1"/>
                <w:bCs w:val="1"/>
                <w:color w:val="auto"/>
                <w:w w:val="88"/>
              </w:rPr>
              <w:t>(a development stage company)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80" w:type="dxa"/>
            <w:vAlign w:val="bottom"/>
            <w:gridSpan w:val="9"/>
          </w:tcPr>
          <w:p>
            <w:pPr>
              <w:jc w:val="center"/>
              <w:ind w:left="640"/>
              <w:spacing w:after="0"/>
              <w:rPr>
                <w:sz w:val="20"/>
                <w:szCs w:val="20"/>
                <w:color w:val="auto"/>
              </w:rPr>
            </w:pPr>
            <w:r>
              <w:rPr>
                <w:rFonts w:ascii="Arial" w:cs="Arial" w:eastAsia="Arial" w:hAnsi="Arial"/>
                <w:sz w:val="12"/>
                <w:szCs w:val="12"/>
                <w:b w:val="1"/>
                <w:bCs w:val="1"/>
                <w:color w:val="auto"/>
                <w:w w:val="99"/>
              </w:rPr>
              <w:t>CONSOLIDATED STATEMENTS OF PREFERRED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80" w:type="dxa"/>
            <w:vAlign w:val="bottom"/>
            <w:gridSpan w:val="9"/>
          </w:tcPr>
          <w:p>
            <w:pPr>
              <w:jc w:val="center"/>
              <w:ind w:left="640"/>
              <w:spacing w:after="0"/>
              <w:rPr>
                <w:sz w:val="20"/>
                <w:szCs w:val="20"/>
                <w:color w:val="auto"/>
              </w:rPr>
            </w:pPr>
            <w:r>
              <w:rPr>
                <w:rFonts w:ascii="Arial" w:cs="Arial" w:eastAsia="Arial" w:hAnsi="Arial"/>
                <w:sz w:val="12"/>
                <w:szCs w:val="12"/>
                <w:b w:val="1"/>
                <w:bCs w:val="1"/>
                <w:color w:val="auto"/>
                <w:w w:val="91"/>
              </w:rPr>
              <w:t>Period from May 26, 1998 (inception) through March 31, 2014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7"/>
          </w:tcPr>
          <w:p>
            <w:pPr>
              <w:jc w:val="center"/>
              <w:ind w:right="54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Preferred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Series A</w:t>
            </w:r>
          </w:p>
        </w:tc>
        <w:tc>
          <w:tcPr>
            <w:tcW w:w="200" w:type="dxa"/>
            <w:vAlign w:val="bottom"/>
          </w:tcPr>
          <w:p>
            <w:pPr>
              <w:spacing w:after="0"/>
              <w:rPr>
                <w:sz w:val="24"/>
                <w:szCs w:val="2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Series B</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5"/>
              </w:rPr>
              <w:t>Series B-1</w:t>
            </w:r>
          </w:p>
        </w:tc>
        <w:tc>
          <w:tcPr>
            <w:tcW w:w="200" w:type="dxa"/>
            <w:vAlign w:val="bottom"/>
          </w:tcPr>
          <w:p>
            <w:pPr>
              <w:spacing w:after="0"/>
              <w:rPr>
                <w:sz w:val="24"/>
                <w:szCs w:val="2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7"/>
              </w:rPr>
              <w:t>Series C</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Preferred</w:t>
            </w:r>
          </w:p>
        </w:tc>
        <w:tc>
          <w:tcPr>
            <w:tcW w:w="20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Preferred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3"/>
              </w:rPr>
              <w:t>Preferred</w:t>
            </w:r>
          </w:p>
        </w:tc>
        <w:tc>
          <w:tcPr>
            <w:tcW w:w="20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3"/>
              </w:rPr>
              <w:t>Preferred</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Preferred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(Shares)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Stock</w:t>
            </w:r>
          </w:p>
        </w:tc>
        <w:tc>
          <w:tcPr>
            <w:tcW w:w="20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Stock</w:t>
            </w:r>
          </w:p>
        </w:tc>
        <w:tc>
          <w:tcPr>
            <w:tcW w:w="200" w:type="dxa"/>
            <w:vAlign w:val="bottom"/>
          </w:tcPr>
          <w:p>
            <w:pPr>
              <w:spacing w:after="0"/>
              <w:rPr>
                <w:sz w:val="13"/>
                <w:szCs w:val="13"/>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Stock</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Stock</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Balances at May 26, 1998 (inception)</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w w:val="94"/>
              </w:rPr>
              <w:t>Issuance of Series A preferred stock at $2.302 per share for cash,</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net of issuance costs of $29,500</w:t>
            </w:r>
          </w:p>
        </w:tc>
        <w:tc>
          <w:tcPr>
            <w:tcW w:w="1140" w:type="dxa"/>
            <w:vAlign w:val="bottom"/>
          </w:tcPr>
          <w:p>
            <w:pPr>
              <w:jc w:val="right"/>
              <w:spacing w:after="0"/>
              <w:rPr>
                <w:sz w:val="20"/>
                <w:szCs w:val="20"/>
                <w:color w:val="auto"/>
              </w:rPr>
            </w:pPr>
            <w:r>
              <w:rPr>
                <w:rFonts w:ascii="Arial" w:cs="Arial" w:eastAsia="Arial" w:hAnsi="Arial"/>
                <w:sz w:val="12"/>
                <w:szCs w:val="12"/>
                <w:color w:val="auto"/>
              </w:rPr>
              <w:t>431,930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964,700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964,700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4"/>
              </w:rPr>
              <w:t>Issuance of Series B preferred stock at $5.545 per share for cash,</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including conversion of $575,000 face value of 7% convertible</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4"/>
              </w:rPr>
              <w:t>notes plus accrued accrued interest of $3,800, net of unamortized</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discount of $70,800 and issuance costs of $137,000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515,568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2,651,100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2,651,100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rPr>
              <w:t>Issuance of Series B-1 preferred stock at $5.545 per share for</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acquired in-process research and development</w:t>
            </w:r>
          </w:p>
        </w:tc>
        <w:tc>
          <w:tcPr>
            <w:tcW w:w="1140" w:type="dxa"/>
            <w:vAlign w:val="bottom"/>
          </w:tcPr>
          <w:p>
            <w:pPr>
              <w:jc w:val="right"/>
              <w:spacing w:after="0"/>
              <w:rPr>
                <w:sz w:val="20"/>
                <w:szCs w:val="20"/>
                <w:color w:val="auto"/>
              </w:rPr>
            </w:pPr>
            <w:r>
              <w:rPr>
                <w:rFonts w:ascii="Arial" w:cs="Arial" w:eastAsia="Arial" w:hAnsi="Arial"/>
                <w:sz w:val="12"/>
                <w:szCs w:val="12"/>
                <w:color w:val="auto"/>
              </w:rPr>
              <w:t>1,356,750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7,523,200</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5"/>
              </w:rPr>
              <w:t>Issuance of Series C preferred stock at $6.00 per share for cash,</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5"/>
              </w:rPr>
              <w:t>including conversion of $1,655,000 face value of 10% convertible</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 plus accrued interest of $408,600, net of unamortized</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discount of $13,200 and issuance costs of $47,900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533,658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3,140,800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3,140,800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w w:val="91"/>
              </w:rPr>
              <w:t>Issuance of Series C preferred stock at $6.00 per share for services</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and in payment of interest on line of credit</w:t>
            </w:r>
          </w:p>
        </w:tc>
        <w:tc>
          <w:tcPr>
            <w:tcW w:w="1140" w:type="dxa"/>
            <w:vAlign w:val="bottom"/>
          </w:tcPr>
          <w:p>
            <w:pPr>
              <w:jc w:val="right"/>
              <w:spacing w:after="0"/>
              <w:rPr>
                <w:sz w:val="20"/>
                <w:szCs w:val="20"/>
                <w:color w:val="auto"/>
              </w:rPr>
            </w:pPr>
            <w:r>
              <w:rPr>
                <w:rFonts w:ascii="Arial" w:cs="Arial" w:eastAsia="Arial" w:hAnsi="Arial"/>
                <w:sz w:val="12"/>
                <w:szCs w:val="12"/>
                <w:color w:val="auto"/>
              </w:rPr>
              <w:t>46,749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280,500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280,500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4"/>
              </w:rPr>
              <w:t>Proceeds allocated to warrants issued in connection with Series C</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preferred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(25,500)</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(25,500)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Balances at March 31, 2006 through March 31, 2011</w:t>
            </w:r>
          </w:p>
        </w:tc>
        <w:tc>
          <w:tcPr>
            <w:tcW w:w="1140" w:type="dxa"/>
            <w:vAlign w:val="bottom"/>
          </w:tcPr>
          <w:p>
            <w:pPr>
              <w:jc w:val="right"/>
              <w:spacing w:after="0"/>
              <w:rPr>
                <w:sz w:val="20"/>
                <w:szCs w:val="20"/>
                <w:color w:val="auto"/>
              </w:rPr>
            </w:pPr>
            <w:r>
              <w:rPr>
                <w:rFonts w:ascii="Arial" w:cs="Arial" w:eastAsia="Arial" w:hAnsi="Arial"/>
                <w:sz w:val="12"/>
                <w:szCs w:val="12"/>
                <w:color w:val="auto"/>
              </w:rPr>
              <w:t>2,884,655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964,700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2,651,100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7,523,200</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3,395,800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Conversion of all series of VistaGen California preferred stock</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4"/>
              </w:rPr>
              <w:t>into common stock at May 11, 2011 in connection with the Merger</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(2,884,655)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(964,700)</w:t>
            </w:r>
          </w:p>
        </w:tc>
        <w:tc>
          <w:tcPr>
            <w:tcW w:w="2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(2,651,100)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(7,523,200)</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(3,395,800)</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Balances at May 11, 2011 through March 31, 2014</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120" w:name="page121"/>
    <w:bookmarkEnd w:id="120"/>
    <w:p>
      <w:pPr>
        <w:spacing w:after="0" w:line="62" w:lineRule="exact"/>
        <w:rPr>
          <w:sz w:val="20"/>
          <w:szCs w:val="20"/>
          <w:color w:val="auto"/>
        </w:rPr>
      </w:pPr>
    </w:p>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640" w:type="dxa"/>
            <w:vAlign w:val="bottom"/>
            <w:tcBorders>
              <w:top w:val="single" w:sz="8" w:color="0000EE"/>
            </w:tcBorders>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gridSpan w:val="7"/>
          </w:tcPr>
          <w:p>
            <w:pPr>
              <w:jc w:val="center"/>
              <w:ind w:right="360"/>
              <w:spacing w:after="0" w:line="121" w:lineRule="exact"/>
              <w:rPr>
                <w:sz w:val="20"/>
                <w:szCs w:val="20"/>
                <w:color w:val="auto"/>
              </w:rPr>
            </w:pPr>
            <w:r>
              <w:rPr>
                <w:rFonts w:ascii="Arial" w:cs="Arial" w:eastAsia="Arial" w:hAnsi="Arial"/>
                <w:sz w:val="12"/>
                <w:szCs w:val="12"/>
                <w:b w:val="1"/>
                <w:bCs w:val="1"/>
                <w:color w:val="auto"/>
              </w:rPr>
              <w:t>VISTAGEN THERAPEUTICS, INC.</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7"/>
          </w:tcPr>
          <w:p>
            <w:pPr>
              <w:jc w:val="center"/>
              <w:ind w:right="360"/>
              <w:spacing w:after="0"/>
              <w:rPr>
                <w:sz w:val="20"/>
                <w:szCs w:val="20"/>
                <w:color w:val="auto"/>
              </w:rPr>
            </w:pPr>
            <w:r>
              <w:rPr>
                <w:rFonts w:ascii="Arial" w:cs="Arial" w:eastAsia="Arial" w:hAnsi="Arial"/>
                <w:sz w:val="12"/>
                <w:szCs w:val="12"/>
                <w:b w:val="1"/>
                <w:bCs w:val="1"/>
                <w:color w:val="auto"/>
                <w:w w:val="88"/>
              </w:rPr>
              <w:t>(a development stage company)</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60" w:type="dxa"/>
            <w:vAlign w:val="bottom"/>
            <w:gridSpan w:val="11"/>
          </w:tcPr>
          <w:p>
            <w:pPr>
              <w:jc w:val="center"/>
              <w:spacing w:after="0"/>
              <w:rPr>
                <w:sz w:val="20"/>
                <w:szCs w:val="20"/>
                <w:color w:val="auto"/>
              </w:rPr>
            </w:pPr>
            <w:r>
              <w:rPr>
                <w:rFonts w:ascii="Arial" w:cs="Arial" w:eastAsia="Arial" w:hAnsi="Arial"/>
                <w:sz w:val="12"/>
                <w:szCs w:val="12"/>
                <w:b w:val="1"/>
                <w:bCs w:val="1"/>
                <w:color w:val="auto"/>
              </w:rPr>
              <w:t>CONSOLIDATED STATEMENTS OF STOCKHOLDERS’ DEFICIT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60" w:type="dxa"/>
            <w:vAlign w:val="bottom"/>
            <w:gridSpan w:val="11"/>
          </w:tcPr>
          <w:p>
            <w:pPr>
              <w:jc w:val="center"/>
              <w:ind w:right="7"/>
              <w:spacing w:after="0"/>
              <w:rPr>
                <w:sz w:val="20"/>
                <w:szCs w:val="20"/>
                <w:color w:val="auto"/>
              </w:rPr>
            </w:pPr>
            <w:r>
              <w:rPr>
                <w:rFonts w:ascii="Arial" w:cs="Arial" w:eastAsia="Arial" w:hAnsi="Arial"/>
                <w:sz w:val="12"/>
                <w:szCs w:val="12"/>
                <w:b w:val="1"/>
                <w:bCs w:val="1"/>
                <w:color w:val="auto"/>
                <w:w w:val="91"/>
              </w:rPr>
              <w:t>Period from May 26, 1998 (inception) through March 31, 2014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gridSpan w:val="8"/>
          </w:tcPr>
          <w:p>
            <w:pPr>
              <w:jc w:val="center"/>
              <w:ind w:right="20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2"/>
              </w:rPr>
              <w:t>Deficit</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40" w:type="dxa"/>
            <w:vAlign w:val="bottom"/>
            <w:gridSpan w:val="4"/>
            <w:vMerge w:val="restart"/>
          </w:tcPr>
          <w:p>
            <w:pPr>
              <w:jc w:val="right"/>
              <w:ind w:right="207"/>
              <w:spacing w:after="0"/>
              <w:rPr>
                <w:sz w:val="20"/>
                <w:szCs w:val="20"/>
                <w:color w:val="auto"/>
              </w:rPr>
            </w:pPr>
            <w:r>
              <w:rPr>
                <w:rFonts w:ascii="Arial" w:cs="Arial" w:eastAsia="Arial" w:hAnsi="Arial"/>
                <w:sz w:val="12"/>
                <w:szCs w:val="12"/>
                <w:b w:val="1"/>
                <w:bCs w:val="1"/>
                <w:color w:val="auto"/>
              </w:rPr>
              <w:t>Series A Preferred Stock</w:t>
            </w: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vMerge w:val="restart"/>
          </w:tcPr>
          <w:p>
            <w:pPr>
              <w:ind w:left="660"/>
              <w:spacing w:after="0"/>
              <w:rPr>
                <w:sz w:val="20"/>
                <w:szCs w:val="20"/>
                <w:color w:val="auto"/>
              </w:rPr>
            </w:pPr>
            <w:r>
              <w:rPr>
                <w:rFonts w:ascii="Arial" w:cs="Arial" w:eastAsia="Arial" w:hAnsi="Arial"/>
                <w:sz w:val="12"/>
                <w:szCs w:val="12"/>
                <w:b w:val="1"/>
                <w:bCs w:val="1"/>
                <w:color w:val="auto"/>
              </w:rPr>
              <w:t>Common Stock</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940" w:type="dxa"/>
            <w:vAlign w:val="bottom"/>
            <w:tcBorders>
              <w:bottom w:val="single" w:sz="8" w:color="auto"/>
            </w:tcBorders>
            <w:gridSpan w:val="4"/>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Borders>
              <w:bottom w:val="single" w:sz="8" w:color="auto"/>
            </w:tcBorders>
            <w:gridSpan w:val="4"/>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gridSpan w:val="3"/>
            <w:vMerge w:val="restart"/>
          </w:tcPr>
          <w:p>
            <w:pPr>
              <w:jc w:val="right"/>
              <w:ind w:right="120"/>
              <w:spacing w:after="0"/>
              <w:rPr>
                <w:sz w:val="20"/>
                <w:szCs w:val="20"/>
                <w:color w:val="auto"/>
              </w:rPr>
            </w:pPr>
            <w:r>
              <w:rPr>
                <w:rFonts w:ascii="Arial" w:cs="Arial" w:eastAsia="Arial" w:hAnsi="Arial"/>
                <w:sz w:val="12"/>
                <w:szCs w:val="12"/>
                <w:b w:val="1"/>
                <w:bCs w:val="1"/>
                <w:color w:val="auto"/>
                <w:w w:val="90"/>
              </w:rPr>
              <w:t>Notes Receivable</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3"/>
              </w:rPr>
              <w:t>During the</w:t>
            </w:r>
          </w:p>
        </w:tc>
        <w:tc>
          <w:tcPr>
            <w:tcW w:w="80" w:type="dxa"/>
            <w:vAlign w:val="bottom"/>
          </w:tcPr>
          <w:p>
            <w:pPr>
              <w:spacing w:after="0"/>
              <w:rPr>
                <w:sz w:val="6"/>
                <w:szCs w:val="6"/>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6"/>
              </w:rPr>
              <w:t>Additional Paid-</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5"/>
              </w:rPr>
              <w:t>from Sale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Development</w:t>
            </w:r>
          </w:p>
        </w:tc>
        <w:tc>
          <w:tcPr>
            <w:tcW w:w="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ind w:left="3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47"/>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in Capital</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w w:val="94"/>
              </w:rPr>
              <w:t>Treasury Stock</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Stage</w:t>
            </w:r>
          </w:p>
        </w:tc>
        <w:tc>
          <w:tcPr>
            <w:tcW w:w="8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Balances at May 26,</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1998(inception)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b w:val="1"/>
                <w:bCs w:val="1"/>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b w:val="1"/>
                <w:bCs w:val="1"/>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Sale of common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for cash</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1,211,086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1,200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24,900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26,100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Fair value of common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 issued for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services</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403,375</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359,400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359,800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warrants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issued for services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481,700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481,700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Common stock issued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upon exercise of</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options from 1999 and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2008 Stock Incentive</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Plans and SAB Plan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410,863</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314,900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(149,800)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165,500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Common stock issued</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for cancellation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accounts payable and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accrued interest (FY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 w:type="dxa"/>
            <w:vAlign w:val="bottom"/>
            <w:gridSpan w:val="2"/>
          </w:tcPr>
          <w:p>
            <w:pPr>
              <w:spacing w:after="0"/>
              <w:rPr>
                <w:sz w:val="20"/>
                <w:szCs w:val="20"/>
                <w:color w:val="auto"/>
              </w:rPr>
            </w:pPr>
            <w:r>
              <w:rPr>
                <w:rFonts w:ascii="Arial" w:cs="Arial" w:eastAsia="Arial" w:hAnsi="Arial"/>
                <w:sz w:val="12"/>
                <w:szCs w:val="12"/>
                <w:color w:val="auto"/>
              </w:rPr>
              <w:t>2010)</w:t>
            </w: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1,646,792</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2,468,600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2,470,200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Accrued interest 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notes receivable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(34,300)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Proceeds allocated to</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issued in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connection with</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convertible and other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notes issued in fiscal</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years 2001 through</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2011, including</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Original Platinum</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Notes, and Series C</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preferred stock</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1,059,100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1,059,100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Share-based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expense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2,763,000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2,763,000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Incremental fair value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of note conversion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options from debt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modification (FY 2010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and 2011)</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1,891,200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1,891,200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Forgiveness of accrued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and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accrued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interest payable to</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officers (FY 2007)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799,900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799,900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Effect of reverse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split (FY 2009)</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2"/>
                <w:szCs w:val="12"/>
                <w:color w:val="auto"/>
              </w:rPr>
              <w:t>(6)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Effect of the Merger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1,569,000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(1,600)</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Cumulative effect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adopting new</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accounting standard</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(293,700)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142,300</w:t>
            </w: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(151,400)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Net loss for fiscal years</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1999 through 2011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(42,715,300)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(42,715,300)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Balances at March 31,</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2011</w:t>
            </w:r>
          </w:p>
        </w:tc>
        <w:tc>
          <w:tcPr>
            <w:tcW w:w="6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b w:val="1"/>
                <w:bCs w:val="1"/>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5,241,110</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5,200</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9,867,400</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b w:val="1"/>
                <w:bCs w:val="1"/>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(184,100)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(42,573,000)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(32,884,500)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Share-based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expense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1,591,300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1,591,300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Accrued interest 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notes receivable</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Reclassification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liability to</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equity</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424,100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424,100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Platinum note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modification</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1,070,600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1,070,600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Morrison &amp; Foerster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modification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58,700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in May</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2011 Private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Placement, net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$202,000 placement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fees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2,216,106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2,200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3,674,000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(500,000)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3,176,200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Payments on note</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receivable for sale of</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conversion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convertible promissory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notes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3,528,290</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3,500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6,171,300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6,174,800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conversion of all series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 VistaGen California</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preferred stock</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2,884,655</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14,531,900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issued for services prior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to the Merger</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1,371,743</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2,224,100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2,225,500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Forgiveness of notes at</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the Merger</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185,100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185,100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exercise of modified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(including</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Platinum exercises)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3,121,259</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3,100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3,426,200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3,429,300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modifications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(including modification</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 Platinum warrants)</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1,028,900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1,028,900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bonus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under FY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2012 Discounted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 Exercise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Program</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138,100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138,100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 issued in Fall</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63,570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111,200</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111,300</w:t>
            </w:r>
          </w:p>
        </w:tc>
        <w:tc>
          <w:tcPr>
            <w:tcW w:w="0" w:type="dxa"/>
            <w:vAlign w:val="bottom"/>
          </w:tcPr>
          <w:p>
            <w:pPr>
              <w:spacing w:after="0"/>
              <w:rPr>
                <w:sz w:val="1"/>
                <w:szCs w:val="1"/>
                <w:color w:val="auto"/>
              </w:rPr>
            </w:pPr>
          </w:p>
        </w:tc>
      </w:tr>
    </w:tbl>
    <w:p>
      <w:pPr>
        <w:sectPr>
          <w:pgSz w:w="11900" w:h="16900" w:orient="portrait"/>
          <w:cols w:equalWidth="0" w:num="1">
            <w:col w:w="11480"/>
          </w:cols>
          <w:pgMar w:left="220" w:top="115" w:right="199" w:bottom="0" w:gutter="0" w:footer="0" w:header="0"/>
        </w:sectPr>
      </w:pPr>
    </w:p>
    <w:bookmarkStart w:id="121" w:name="page122"/>
    <w:bookmarkEnd w:id="1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292340" cy="182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340" cy="182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1260" w:type="dxa"/>
            <w:vAlign w:val="bottom"/>
          </w:tcPr>
          <w:p>
            <w:pPr>
              <w:spacing w:after="0"/>
              <w:rPr>
                <w:sz w:val="20"/>
                <w:szCs w:val="20"/>
                <w:color w:val="auto"/>
              </w:rPr>
            </w:pPr>
            <w:r>
              <w:rPr>
                <w:rFonts w:ascii="Arial" w:cs="Arial" w:eastAsia="Arial" w:hAnsi="Arial"/>
                <w:sz w:val="12"/>
                <w:szCs w:val="12"/>
                <w:color w:val="auto"/>
              </w:rPr>
              <w:t>2011 Follow-on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Offering</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upon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exercise of options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from the 1999</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Incentive Plan</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113,979</w:t>
            </w:r>
          </w:p>
        </w:tc>
        <w:tc>
          <w:tcPr>
            <w:tcW w:w="3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Fair value of stock</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issued for services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following the Merger</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155,555</w:t>
            </w:r>
          </w:p>
        </w:tc>
        <w:tc>
          <w:tcPr>
            <w:tcW w:w="3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Fair value of warrants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issued for services</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Proceeds allocated to</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warrants issued and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beneficial</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conversion feature in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connection with 12%</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convertible notes</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in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connection with note</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term extension</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8,000</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upon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conversion of Platinum</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Note to equity (net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of Platinum warrant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exercise reflected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above)</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231,090</w:t>
            </w:r>
          </w:p>
        </w:tc>
        <w:tc>
          <w:tcPr>
            <w:tcW w:w="4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Common stock</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w w:val="99"/>
              </w:rPr>
              <w:t>exchanged for Series A</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Preferred under</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agreements with</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Platinum: Common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Exchange</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Agreement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45,980</w:t>
            </w: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Note and Warrant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Exchange Agreement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159,985</w:t>
            </w:r>
          </w:p>
        </w:tc>
        <w:tc>
          <w:tcPr>
            <w:tcW w:w="4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Net loss for fiscal year</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2012</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3"/>
        </w:trPr>
        <w:tc>
          <w:tcPr>
            <w:tcW w:w="1260" w:type="dxa"/>
            <w:vAlign w:val="bottom"/>
          </w:tcPr>
          <w:p>
            <w:pPr>
              <w:spacing w:after="0"/>
              <w:rPr>
                <w:sz w:val="20"/>
                <w:szCs w:val="20"/>
                <w:color w:val="auto"/>
              </w:rPr>
            </w:pPr>
            <w:r>
              <w:rPr>
                <w:rFonts w:ascii="Arial" w:cs="Arial" w:eastAsia="Arial" w:hAnsi="Arial"/>
                <w:sz w:val="12"/>
                <w:szCs w:val="12"/>
                <w:b w:val="1"/>
                <w:bCs w:val="1"/>
                <w:color w:val="auto"/>
                <w:w w:val="98"/>
              </w:rPr>
              <w:t>Balances at March 31,</w:t>
            </w:r>
          </w:p>
        </w:tc>
        <w:tc>
          <w:tcPr>
            <w:tcW w:w="9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7"/>
        </w:trPr>
        <w:tc>
          <w:tcPr>
            <w:tcW w:w="1260" w:type="dxa"/>
            <w:vAlign w:val="bottom"/>
          </w:tcPr>
          <w:p>
            <w:pPr>
              <w:spacing w:after="0"/>
              <w:rPr>
                <w:sz w:val="20"/>
                <w:szCs w:val="20"/>
                <w:color w:val="auto"/>
              </w:rPr>
            </w:pPr>
            <w:r>
              <w:rPr>
                <w:rFonts w:ascii="Arial" w:cs="Arial" w:eastAsia="Arial" w:hAnsi="Arial"/>
                <w:sz w:val="12"/>
                <w:szCs w:val="12"/>
                <w:b w:val="1"/>
                <w:bCs w:val="1"/>
                <w:color w:val="auto"/>
              </w:rPr>
              <w:t>2012</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437,055</w:t>
            </w:r>
          </w:p>
        </w:tc>
        <w:tc>
          <w:tcPr>
            <w:tcW w:w="400" w:type="dxa"/>
            <w:vAlign w:val="bottom"/>
          </w:tcPr>
          <w:p>
            <w:pPr>
              <w:jc w:val="right"/>
              <w:ind w:right="29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400</w:t>
            </w:r>
          </w:p>
        </w:tc>
        <w:tc>
          <w:tcPr>
            <w:tcW w:w="10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18,704,267</w:t>
            </w:r>
          </w:p>
        </w:tc>
        <w:tc>
          <w:tcPr>
            <w:tcW w:w="340" w:type="dxa"/>
            <w:vAlign w:val="bottom"/>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18,700</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20"/>
        </w:trPr>
        <w:tc>
          <w:tcPr>
            <w:tcW w:w="1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ind w:left="580"/>
              <w:spacing w:after="0"/>
              <w:rPr>
                <w:sz w:val="20"/>
                <w:szCs w:val="20"/>
                <w:color w:val="auto"/>
              </w:rPr>
            </w:pPr>
            <w:r>
              <w:rPr>
                <w:rFonts w:ascii="Arial" w:cs="Arial" w:eastAsia="Arial" w:hAnsi="Arial"/>
                <w:sz w:val="12"/>
                <w:szCs w:val="12"/>
                <w:color w:val="auto"/>
                <w:w w:val="99"/>
              </w:rPr>
              <w:t>F-8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-3288030</wp:posOffset>
            </wp:positionV>
            <wp:extent cx="7292340" cy="274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340" cy="2743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-2830195</wp:posOffset>
            </wp:positionV>
            <wp:extent cx="7292340" cy="549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340" cy="5492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-2006600</wp:posOffset>
            </wp:positionV>
            <wp:extent cx="7292340" cy="549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340" cy="5492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-817245</wp:posOffset>
            </wp:positionV>
            <wp:extent cx="7292340" cy="182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340" cy="1828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-440055</wp:posOffset>
            </wp:positionV>
            <wp:extent cx="7292340" cy="914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340" cy="914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42545</wp:posOffset>
            </wp:positionV>
            <wp:extent cx="7299325" cy="18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102,100</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102,200</w:t>
            </w:r>
          </w:p>
        </w:tc>
      </w:tr>
      <w:tr>
        <w:trPr>
          <w:trHeight w:val="432"/>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451,800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452,000</w:t>
            </w: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564,500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564,500</w:t>
            </w:r>
          </w:p>
        </w:tc>
      </w:tr>
      <w:tr>
        <w:trPr>
          <w:trHeight w:val="865"/>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461,700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461,700</w:t>
            </w:r>
          </w:p>
        </w:tc>
      </w:tr>
      <w:tr>
        <w:trPr>
          <w:trHeight w:val="432"/>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22,400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22,400</w:t>
            </w:r>
          </w:p>
        </w:tc>
      </w:tr>
      <w:tr>
        <w:trPr>
          <w:trHeight w:val="865"/>
        </w:trPr>
        <w:tc>
          <w:tcPr>
            <w:tcW w:w="780" w:type="dxa"/>
            <w:vAlign w:val="bottom"/>
          </w:tcPr>
          <w:p>
            <w:pPr>
              <w:jc w:val="right"/>
              <w:ind w:right="180"/>
              <w:spacing w:after="0"/>
              <w:rPr>
                <w:sz w:val="20"/>
                <w:szCs w:val="20"/>
                <w:color w:val="auto"/>
              </w:rPr>
            </w:pPr>
            <w:r>
              <w:rPr>
                <w:rFonts w:ascii="Arial" w:cs="Arial" w:eastAsia="Arial" w:hAnsi="Arial"/>
                <w:sz w:val="12"/>
                <w:szCs w:val="12"/>
                <w:color w:val="auto"/>
                <w:w w:val="97"/>
              </w:rPr>
              <w:t>3,387,700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3,387,900</w:t>
            </w:r>
          </w:p>
        </w:tc>
        <w:tc>
          <w:tcPr>
            <w:tcW w:w="40" w:type="dxa"/>
            <w:vAlign w:val="bottom"/>
          </w:tcPr>
          <w:p>
            <w:pPr>
              <w:spacing w:after="0"/>
              <w:rPr>
                <w:sz w:val="24"/>
                <w:szCs w:val="24"/>
                <w:color w:val="auto"/>
              </w:rPr>
            </w:pPr>
          </w:p>
        </w:tc>
      </w:tr>
      <w:tr>
        <w:trPr>
          <w:trHeight w:val="1009"/>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750,600</w:t>
            </w:r>
          </w:p>
        </w:tc>
        <w:tc>
          <w:tcPr>
            <w:tcW w:w="2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(750,600)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w w:val="97"/>
              </w:rPr>
              <w:t>2,480,900</w:t>
            </w:r>
          </w:p>
        </w:tc>
        <w:tc>
          <w:tcPr>
            <w:tcW w:w="2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(2,481,100)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(12,209,500)</w:t>
            </w: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(12,209,500)</w:t>
            </w:r>
          </w:p>
        </w:tc>
      </w:tr>
      <w:tr>
        <w:trPr>
          <w:trHeight w:val="20"/>
        </w:trPr>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0"/>
        </w:trPr>
        <w:tc>
          <w:tcPr>
            <w:tcW w:w="780" w:type="dxa"/>
            <w:vAlign w:val="bottom"/>
          </w:tcPr>
          <w:p>
            <w:pPr>
              <w:jc w:val="right"/>
              <w:ind w:right="180"/>
              <w:spacing w:after="0"/>
              <w:rPr>
                <w:sz w:val="20"/>
                <w:szCs w:val="20"/>
                <w:color w:val="auto"/>
              </w:rPr>
            </w:pPr>
            <w:r>
              <w:rPr>
                <w:rFonts w:ascii="Arial" w:cs="Arial" w:eastAsia="Arial" w:hAnsi="Arial"/>
                <w:sz w:val="12"/>
                <w:szCs w:val="12"/>
                <w:b w:val="1"/>
                <w:bCs w:val="1"/>
                <w:color w:val="auto"/>
                <w:w w:val="86"/>
              </w:rPr>
              <w:t>52,539,500</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(3,231,700)</w:t>
            </w:r>
          </w:p>
        </w:tc>
        <w:tc>
          <w:tcPr>
            <w:tcW w:w="3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(250,000)</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(54,782,500)</w:t>
            </w:r>
          </w:p>
        </w:tc>
        <w:tc>
          <w:tcPr>
            <w:tcW w:w="200" w:type="dxa"/>
            <w:vAlign w:val="bottom"/>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2"/>
                <w:szCs w:val="12"/>
                <w:b w:val="1"/>
                <w:bCs w:val="1"/>
                <w:color w:val="auto"/>
              </w:rPr>
              <w:t>(5,705,600)</w:t>
            </w:r>
          </w:p>
        </w:tc>
      </w:tr>
      <w:tr>
        <w:trPr>
          <w:trHeight w:val="20"/>
        </w:trPr>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-296545</wp:posOffset>
            </wp:positionV>
            <wp:extent cx="589280" cy="11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9280" cy="1143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-10795</wp:posOffset>
            </wp:positionV>
            <wp:extent cx="589280" cy="11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9280" cy="11430"/>
                    </a:xfrm>
                    <a:prstGeom prst="rect">
                      <a:avLst/>
                    </a:prstGeom>
                    <a:noFill/>
                  </pic:spPr>
                </pic:pic>
              </a:graphicData>
            </a:graphic>
          </wp:anchor>
        </w:drawing>
      </w:r>
    </w:p>
    <w:p>
      <w:pPr>
        <w:sectPr>
          <w:pgSz w:w="11900" w:h="16838" w:orient="portrait"/>
          <w:cols w:equalWidth="0" w:num="2">
            <w:col w:w="5960" w:space="340"/>
            <w:col w:w="5100"/>
          </w:cols>
          <w:pgMar w:left="220" w:top="137" w:right="279" w:bottom="1440" w:gutter="0" w:footer="0" w:header="0"/>
        </w:sectPr>
      </w:pPr>
    </w:p>
    <w:bookmarkStart w:id="122" w:name="page123"/>
    <w:bookmarkEnd w:id="122"/>
    <w:p>
      <w:pPr>
        <w:spacing w:after="0" w:line="62" w:lineRule="exact"/>
        <w:rPr>
          <w:sz w:val="20"/>
          <w:szCs w:val="20"/>
          <w:color w:val="auto"/>
        </w:rPr>
      </w:pPr>
    </w:p>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STOCKHOLDERS’ DEFICIT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Period from May 26, 1998 (inception) through March 31, 2013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$100s,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Deficit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3"/>
              </w:rPr>
              <w:t>Notes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Receivable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During the</w:t>
            </w:r>
          </w:p>
        </w:tc>
        <w:tc>
          <w:tcPr>
            <w:tcW w:w="12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760" w:type="dxa"/>
            <w:vAlign w:val="bottom"/>
            <w:tcBorders>
              <w:right w:val="single" w:sz="8" w:color="auto"/>
            </w:tcBorders>
            <w:gridSpan w:val="5"/>
          </w:tcPr>
          <w:p>
            <w:pPr>
              <w:ind w:left="200"/>
              <w:spacing w:after="0"/>
              <w:rPr>
                <w:sz w:val="20"/>
                <w:szCs w:val="20"/>
                <w:color w:val="auto"/>
              </w:rPr>
            </w:pPr>
            <w:r>
              <w:rPr>
                <w:rFonts w:ascii="Arial" w:cs="Arial" w:eastAsia="Arial" w:hAnsi="Arial"/>
                <w:sz w:val="12"/>
                <w:szCs w:val="12"/>
                <w:b w:val="1"/>
                <w:bCs w:val="1"/>
                <w:color w:val="auto"/>
              </w:rPr>
              <w:t>Series A Preferred Stock</w:t>
            </w:r>
          </w:p>
        </w:tc>
        <w:tc>
          <w:tcPr>
            <w:tcW w:w="120" w:type="dxa"/>
            <w:vAlign w:val="bottom"/>
          </w:tcPr>
          <w:p>
            <w:pPr>
              <w:spacing w:after="0"/>
              <w:rPr>
                <w:sz w:val="13"/>
                <w:szCs w:val="13"/>
                <w:color w:val="auto"/>
              </w:rPr>
            </w:pPr>
          </w:p>
        </w:tc>
        <w:tc>
          <w:tcPr>
            <w:tcW w:w="1340" w:type="dxa"/>
            <w:vAlign w:val="bottom"/>
            <w:gridSpan w:val="4"/>
          </w:tcPr>
          <w:p>
            <w:pPr>
              <w:jc w:val="right"/>
              <w:spacing w:after="0"/>
              <w:rPr>
                <w:sz w:val="20"/>
                <w:szCs w:val="20"/>
                <w:color w:val="auto"/>
              </w:rPr>
            </w:pPr>
            <w:r>
              <w:rPr>
                <w:rFonts w:ascii="Arial" w:cs="Arial" w:eastAsia="Arial" w:hAnsi="Arial"/>
                <w:sz w:val="12"/>
                <w:szCs w:val="12"/>
                <w:b w:val="1"/>
                <w:bCs w:val="1"/>
                <w:color w:val="auto"/>
              </w:rPr>
              <w:t>Common Stock</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Treasury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from Sale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Development</w:t>
            </w:r>
          </w:p>
        </w:tc>
        <w:tc>
          <w:tcPr>
            <w:tcW w:w="8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Shares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5"/>
              </w:rPr>
              <w:t>Stage</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2"/>
              </w:rPr>
              <w:t>Deficit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2012</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437,055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400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18,704,267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18,700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52,539,500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(3,231,700)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(250,000)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(54,782,500)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(5,705,600)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Share-based compensation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1,241,300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1,241,300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common stock</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issued for services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400,000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400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339,600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340,000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warrants issued for</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services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106,200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Shares issued upon exercise of</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modified warrants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549,056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500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274,000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274,500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Incremental fair value of modified</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440,700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440,700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w w:val="93"/>
              </w:rPr>
              <w:t>Fair value of warrants issued upon</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exercise of moddified warrants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35,900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35,900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shares issued in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settlement of accounts payable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103,235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103,100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103,200</w:t>
            </w:r>
          </w:p>
        </w:tc>
        <w:tc>
          <w:tcPr>
            <w:tcW w:w="0" w:type="dxa"/>
            <w:vAlign w:val="bottom"/>
          </w:tcPr>
          <w:p>
            <w:pPr>
              <w:spacing w:after="0"/>
              <w:rPr>
                <w:sz w:val="1"/>
                <w:szCs w:val="1"/>
                <w:color w:val="auto"/>
              </w:rPr>
            </w:pPr>
          </w:p>
        </w:tc>
      </w:tr>
      <w:tr>
        <w:trPr>
          <w:trHeight w:val="279"/>
        </w:trPr>
        <w:tc>
          <w:tcPr>
            <w:tcW w:w="1760" w:type="dxa"/>
            <w:vAlign w:val="bottom"/>
            <w:gridSpan w:val="2"/>
          </w:tcPr>
          <w:p>
            <w:pPr>
              <w:spacing w:after="0"/>
              <w:rPr>
                <w:sz w:val="20"/>
                <w:szCs w:val="20"/>
                <w:color w:val="auto"/>
              </w:rPr>
            </w:pPr>
            <w:r>
              <w:rPr>
                <w:rFonts w:ascii="Arial" w:cs="Arial" w:eastAsia="Arial" w:hAnsi="Arial"/>
                <w:sz w:val="12"/>
                <w:szCs w:val="12"/>
                <w:color w:val="auto"/>
              </w:rPr>
              <w:t>Common stock exchanged for</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Series A Preferred under 2012</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Exchange Agreement with</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Platinum</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62,945</w:t>
            </w: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736,300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(736,400)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Payment on note receivable from</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sale of stock</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66,900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66,900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Modification of note receivable</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from sale of stock</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(26,000)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Incremental fair value of modified</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9"/>
              </w:rPr>
              <w:t>warrant and fair value of warrant</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issued in connection with</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6"/>
              </w:rPr>
              <w:t>Morrison &amp; Foerster note payable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restructuring</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998,500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998,500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Cato Holding Company in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connection with note payable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restructuring</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120,500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Cato Research, Ltd. in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connection accounts payable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restructuring</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486,200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University Health Network</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in connection with accounts</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payable restructure</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264,800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264,800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Morrison &amp; Foerster, Cato</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Research Ltd. and University</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Health Network in connection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with accrued interest on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underlying notes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49,400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49,400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Sale of Units in Winter 2012</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Private Placement, net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2,366,330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2,400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1,246,600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1,249,000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Exchange of February 2012</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convertible notes for Units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1,357,281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1,214,200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1,215,600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banker in connection with</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exchange of February 2012</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convertible notes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28,200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Premium of fair value over face</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value of Exchange Note issued</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to Platinum in October 2012</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1,083,200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1,083,200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Series A Exchange</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Warrant issuable to</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Platinum recorded as a Warrant</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Liability</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(3,068,200)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(3,068,200)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Proceeds allocated to beneficial</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8"/>
              </w:rPr>
              <w:t>conversion feature of Investment</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Notes issued to Platinum in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October 2012, February 2013</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and March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958,500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958,500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Incremental fair value of warrant</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modifications in February 2013</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67,500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67,500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Net loss for fiscal year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(12,886,700)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6"/>
              </w:rPr>
              <w:t>(12,886,700)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500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23,480,169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23,500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59,266,000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(3,968,100)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(209,100)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(67,669,200)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(12,556,400)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Share-based compensation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1,137,300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1,137,300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Proceeds from sale of common</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stock for cash, including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exercises of warrants under</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Discount Warrant Exercise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Program</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655,016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700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335,200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335,900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Beneficial conversion feature 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note issued to Platinum in July</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100,700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w w:val="97"/>
              </w:rPr>
              <w:t>Payment on note receivable from</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sale of stock</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11,000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Allocated proceeds from sale of</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Units for cash under</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Winter 2013/2014 Private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Placement, including beneficial</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conversion feature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2,015,000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838,200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Allocated proceeds from sale of</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Units for cash under Spring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w w:val="95"/>
              </w:rPr>
              <w:t>2014 Private Placement, including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beneficial conversion feature</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50,000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36,000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Incremental fair value of warrant</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modifications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204,300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204,300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60,800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60,800</w:t>
            </w: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Morrison &amp; Foerster, Cato</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Research Ltd. and University</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Health Network in connection</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80"/>
          </w:cols>
          <w:pgMar w:left="220" w:top="128" w:right="199" w:bottom="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60" w:type="dxa"/>
            <w:vAlign w:val="bottom"/>
            <w:gridSpan w:val="2"/>
          </w:tcPr>
          <w:p>
            <w:pPr>
              <w:spacing w:after="0"/>
              <w:rPr>
                <w:sz w:val="20"/>
                <w:szCs w:val="20"/>
                <w:color w:val="auto"/>
              </w:rPr>
            </w:pPr>
            <w:r>
              <w:rPr>
                <w:rFonts w:ascii="Arial" w:cs="Arial" w:eastAsia="Arial" w:hAnsi="Arial"/>
                <w:sz w:val="12"/>
                <w:szCs w:val="12"/>
                <w:color w:val="auto"/>
              </w:rPr>
              <w:t>with accrued interest 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underlying notes</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Net loss for fiscal year 2014</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(2,967,700)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(2,967,700)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500,000</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w:t>
            </w:r>
          </w:p>
        </w:tc>
        <w:tc>
          <w:tcPr>
            <w:tcW w:w="1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26,200,185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26,200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61,976,500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(3,968,100)</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(198,100)</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(70,636,900)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5"/>
              </w:rPr>
              <w:t>$  (12,799,900)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7" w:right="199" w:bottom="1440" w:gutter="0" w:footer="0" w:header="0"/>
        </w:sectPr>
      </w:pPr>
    </w:p>
    <w:bookmarkStart w:id="124" w:name="page125"/>
    <w:bookmarkEnd w:id="124"/>
    <w:p>
      <w:pPr>
        <w:ind w:left="8"/>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 development stage company)</w:t>
      </w:r>
    </w:p>
    <w:p>
      <w:pPr>
        <w:spacing w:after="0" w:line="15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 Description of Business</w:t>
      </w:r>
    </w:p>
    <w:p>
      <w:pPr>
        <w:spacing w:after="0" w:line="154" w:lineRule="exact"/>
        <w:rPr>
          <w:sz w:val="20"/>
          <w:szCs w:val="20"/>
          <w:color w:val="auto"/>
        </w:rPr>
      </w:pPr>
    </w:p>
    <w:p>
      <w:pPr>
        <w:jc w:val="both"/>
        <w:ind w:left="8" w:firstLine="456"/>
        <w:spacing w:after="0" w:line="275" w:lineRule="auto"/>
        <w:rPr>
          <w:sz w:val="20"/>
          <w:szCs w:val="20"/>
          <w:color w:val="auto"/>
        </w:rPr>
      </w:pPr>
      <w:r>
        <w:rPr>
          <w:rFonts w:ascii="Arial" w:cs="Arial" w:eastAsia="Arial" w:hAnsi="Arial"/>
          <w:sz w:val="11"/>
          <w:szCs w:val="11"/>
          <w:color w:val="auto"/>
        </w:rPr>
        <w:t>VistaGen Therapeutics, Inc., a Nevada corporation (“</w:t>
      </w:r>
      <w:r>
        <w:rPr>
          <w:rFonts w:ascii="Arial" w:cs="Arial" w:eastAsia="Arial" w:hAnsi="Arial"/>
          <w:sz w:val="11"/>
          <w:szCs w:val="11"/>
          <w:i w:val="1"/>
          <w:iCs w:val="1"/>
          <w:color w:val="auto"/>
        </w:rPr>
        <w:t>VistaGen</w:t>
      </w:r>
      <w:r>
        <w:rPr>
          <w:rFonts w:ascii="Arial" w:cs="Arial" w:eastAsia="Arial" w:hAnsi="Arial"/>
          <w:sz w:val="11"/>
          <w:szCs w:val="11"/>
          <w:color w:val="auto"/>
        </w:rPr>
        <w:t>” or the “</w:t>
      </w:r>
      <w:r>
        <w:rPr>
          <w:rFonts w:ascii="Arial" w:cs="Arial" w:eastAsia="Arial" w:hAnsi="Arial"/>
          <w:sz w:val="11"/>
          <w:szCs w:val="11"/>
          <w:i w:val="1"/>
          <w:iCs w:val="1"/>
          <w:color w:val="auto"/>
        </w:rPr>
        <w:t>Compan</w:t>
      </w:r>
      <w:r>
        <w:rPr>
          <w:rFonts w:ascii="Arial" w:cs="Arial" w:eastAsia="Arial" w:hAnsi="Arial"/>
          <w:sz w:val="11"/>
          <w:szCs w:val="11"/>
          <w:color w:val="auto"/>
        </w:rPr>
        <w:t xml:space="preserve">y”), is a biotechnology company with expertise in human pluripotent stem cell technology. The Company is applying and developing its stem cell technology for drug rescue and regenerative medicine. The Company’s primary focus is on leveraging its stem cell technology platform, which it refers to as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the human cells it produces, its novel, human cell-based bioassay systems, and medicinal chemistry to produce small molecule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These are new, potentially safer variants of promising small molecule drug candidates previously discovered, developed and ultimately discontinued by pharmaceutical companies and others, after substantial investment and prior to market approval, due to unexpected heart or liver safety concerns. The Company refers to these promising drug candidates that are now potentially suitable for drug rescue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These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have already been tested extensively and validated by a pharmaceutical or biotechnology company for their therapeutic (efficacy) and commercial potential. The key commercial objective of the Company’s drug rescue strategy is to generate revenue from license, development and commercialization arrangements involving new, potentially safer and proprietary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Rescue Variants </w:t>
      </w:r>
      <w:r>
        <w:rPr>
          <w:rFonts w:ascii="Arial" w:cs="Arial" w:eastAsia="Arial" w:hAnsi="Arial"/>
          <w:sz w:val="11"/>
          <w:szCs w:val="11"/>
          <w:color w:val="auto"/>
        </w:rPr>
        <w:t>that it produces with its contract medicinal chemistry collaborator and validates internally in its human cell-based bioassay systems prior to license. The Company anticipates that each validated lead</w:t>
      </w:r>
      <w:r>
        <w:rPr>
          <w:rFonts w:ascii="Arial" w:cs="Arial" w:eastAsia="Arial" w:hAnsi="Arial"/>
          <w:sz w:val="11"/>
          <w:szCs w:val="11"/>
          <w:i w:val="1"/>
          <w:iCs w:val="1"/>
          <w:color w:val="auto"/>
        </w:rPr>
        <w:t xml:space="preserve"> Drug Rescue Variant </w:t>
      </w:r>
      <w:r>
        <w:rPr>
          <w:rFonts w:ascii="Arial" w:cs="Arial" w:eastAsia="Arial" w:hAnsi="Arial"/>
          <w:sz w:val="11"/>
          <w:szCs w:val="11"/>
          <w:color w:val="auto"/>
        </w:rPr>
        <w:t>will be suitable as a promising drug development program, either internally or in collaboration with a strategic partner. Through stem cell technology-based drug rescue, the Company intends to become a leading source of proprietary, small molecule drug candidates to the global pharmaceutical industry.</w:t>
      </w:r>
    </w:p>
    <w:p>
      <w:pPr>
        <w:spacing w:after="0" w:line="2" w:lineRule="exact"/>
        <w:rPr>
          <w:sz w:val="20"/>
          <w:szCs w:val="20"/>
          <w:color w:val="auto"/>
        </w:rPr>
      </w:pPr>
    </w:p>
    <w:p>
      <w:pPr>
        <w:jc w:val="both"/>
        <w:ind w:left="8" w:firstLine="471"/>
        <w:spacing w:after="0" w:line="253" w:lineRule="auto"/>
        <w:rPr>
          <w:sz w:val="20"/>
          <w:szCs w:val="20"/>
          <w:color w:val="auto"/>
        </w:rPr>
      </w:pPr>
      <w:r>
        <w:rPr>
          <w:rFonts w:ascii="Arial" w:cs="Arial" w:eastAsia="Arial" w:hAnsi="Arial"/>
          <w:sz w:val="12"/>
          <w:szCs w:val="12"/>
          <w:color w:val="auto"/>
        </w:rPr>
        <w:t>In parallel with its drug rescue activities, the Company is also interested in exploring ways to leverage its stem cell technology platform for regenerative medicine purposes, with emphasis on developing novel human disease models for discovery of small molecule drugs and biologics with regenerative and therapeutic potential. The Company’s regenerative medicine focus would be based on its expertise in human biology and differentiation of human pluripotent stem cells to develop functional adult human cells and tissues involved in human disease, including blood, bone, cartilage, heart, liver and insulin-producing pancreatic beta-islet cells. Among its key objectives will be to explore regenerative medicine opportunities through exploratory nonclinical proof-of-concept studies, after which the Company intends to assess any potential opportunities for further development and commercialization of therapeutically and commercially promising regenerative medicine programs, either on its own or with strategic partners.</w:t>
      </w:r>
    </w:p>
    <w:p>
      <w:pPr>
        <w:spacing w:after="0" w:line="128" w:lineRule="exact"/>
        <w:rPr>
          <w:sz w:val="20"/>
          <w:szCs w:val="20"/>
          <w:color w:val="auto"/>
        </w:rPr>
      </w:pPr>
    </w:p>
    <w:p>
      <w:pPr>
        <w:jc w:val="both"/>
        <w:ind w:left="8" w:firstLine="474"/>
        <w:spacing w:after="0" w:line="281" w:lineRule="auto"/>
        <w:rPr>
          <w:sz w:val="20"/>
          <w:szCs w:val="20"/>
          <w:color w:val="auto"/>
        </w:rPr>
      </w:pPr>
      <w:r>
        <w:rPr>
          <w:rFonts w:ascii="Arial" w:cs="Arial" w:eastAsia="Arial" w:hAnsi="Arial"/>
          <w:sz w:val="11"/>
          <w:szCs w:val="11"/>
          <w:color w:val="auto"/>
        </w:rPr>
        <w:t>AV-101 is VistaGen's orally-available, small molecule prodrug candidate which has successfully completed Phase 1 clinical development in the Unites States for treatment of neuropathic pain, a serious and chronic condition causing pain after an injury or disease of the peripheral or central nervous system that affects millions of people worldwide. The NIH awarded VistaGen approximately $8.8 million for preclinical and Phase 1 clinical development of AV-</w:t>
      </w:r>
    </w:p>
    <w:p>
      <w:pPr>
        <w:spacing w:after="0" w:line="1" w:lineRule="exact"/>
        <w:rPr>
          <w:sz w:val="20"/>
          <w:szCs w:val="20"/>
          <w:color w:val="auto"/>
        </w:rPr>
      </w:pPr>
    </w:p>
    <w:p>
      <w:pPr>
        <w:ind w:left="8" w:hanging="8"/>
        <w:spacing w:after="0" w:line="306" w:lineRule="auto"/>
        <w:tabs>
          <w:tab w:leader="none" w:pos="260" w:val="left"/>
        </w:tabs>
        <w:numPr>
          <w:ilvl w:val="0"/>
          <w:numId w:val="64"/>
        </w:numPr>
        <w:rPr>
          <w:rFonts w:ascii="Arial" w:cs="Arial" w:eastAsia="Arial" w:hAnsi="Arial"/>
          <w:sz w:val="11"/>
          <w:szCs w:val="11"/>
          <w:color w:val="auto"/>
        </w:rPr>
      </w:pPr>
      <w:r>
        <w:rPr>
          <w:rFonts w:ascii="Arial" w:cs="Arial" w:eastAsia="Arial" w:hAnsi="Arial"/>
          <w:sz w:val="11"/>
          <w:szCs w:val="11"/>
          <w:color w:val="auto"/>
        </w:rPr>
        <w:t>The Company intends to pursue potential opportunities for further clinical development and commercialization of AV-101 for neuropathic pain, epilepsy and depression, on its own and with strategic partners. In the event that it successfully completes a strategic partnering arrangement for AV-101, the Company plans to use the net proceeds from such an arrangement to expand its stem cell technology-based drug rescue and regenerative medicine programs.</w:t>
      </w:r>
    </w:p>
    <w:p>
      <w:pPr>
        <w:spacing w:after="0" w:line="101" w:lineRule="exact"/>
        <w:rPr>
          <w:sz w:val="20"/>
          <w:szCs w:val="20"/>
          <w:color w:val="auto"/>
        </w:rPr>
      </w:pPr>
    </w:p>
    <w:p>
      <w:pPr>
        <w:ind w:left="8" w:firstLine="454"/>
        <w:spacing w:after="0" w:line="276" w:lineRule="auto"/>
        <w:rPr>
          <w:sz w:val="20"/>
          <w:szCs w:val="20"/>
          <w:color w:val="auto"/>
        </w:rPr>
      </w:pPr>
      <w:r>
        <w:rPr>
          <w:rFonts w:ascii="Arial" w:cs="Arial" w:eastAsia="Arial" w:hAnsi="Arial"/>
          <w:sz w:val="12"/>
          <w:szCs w:val="12"/>
          <w:color w:val="auto"/>
        </w:rPr>
        <w:t>VistaGen is in the development stage and, since inception, has devoted substantially all of its time and efforts to human pluripotent stem cell technology research and development, including, among other things, bioassay system development, small molecule drug development, creating, protecting and patenting intellectual property, recruiting personnel and raising working capital.</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125" w:name="page126"/>
    <w:bookmarkEnd w:id="125"/>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Merger</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VistaGen Therapeutics, Inc., a California corporation incorporated on May 26, 1998 (“</w:t>
      </w:r>
      <w:r>
        <w:rPr>
          <w:rFonts w:ascii="Arial" w:cs="Arial" w:eastAsia="Arial" w:hAnsi="Arial"/>
          <w:sz w:val="12"/>
          <w:szCs w:val="12"/>
          <w:i w:val="1"/>
          <w:iCs w:val="1"/>
          <w:color w:val="auto"/>
        </w:rPr>
        <w:t>VistaGen California</w:t>
      </w:r>
      <w:r>
        <w:rPr>
          <w:rFonts w:ascii="Arial" w:cs="Arial" w:eastAsia="Arial" w:hAnsi="Arial"/>
          <w:sz w:val="12"/>
          <w:szCs w:val="12"/>
          <w:color w:val="auto"/>
        </w:rPr>
        <w:t>”), is a wholly owned subsidiary of the Company. Excaliber Enterprises, Ltd. (“</w:t>
      </w:r>
      <w:r>
        <w:rPr>
          <w:rFonts w:ascii="Arial" w:cs="Arial" w:eastAsia="Arial" w:hAnsi="Arial"/>
          <w:sz w:val="12"/>
          <w:szCs w:val="12"/>
          <w:i w:val="1"/>
          <w:iCs w:val="1"/>
          <w:color w:val="auto"/>
        </w:rPr>
        <w:t>Excaliber</w:t>
      </w:r>
      <w:r>
        <w:rPr>
          <w:rFonts w:ascii="Arial" w:cs="Arial" w:eastAsia="Arial" w:hAnsi="Arial"/>
          <w:sz w:val="12"/>
          <w:szCs w:val="12"/>
          <w:color w:val="auto"/>
        </w:rPr>
        <w:t>”), a publicly-held company (formerly OTCBB: EXCA) was incorporated under the laws of the State of Nevada on October 6, 2005. Pursuant to a strategic merger transaction on May 11, 2011, Excaliber acquired all outstanding shares of VistaGen California in exchange for 6,836,452 shares of the Company’s common stock and assumed all of VistaGen California’s pre-Merger obligations (the “</w:t>
      </w:r>
      <w:r>
        <w:rPr>
          <w:rFonts w:ascii="Arial" w:cs="Arial" w:eastAsia="Arial" w:hAnsi="Arial"/>
          <w:sz w:val="12"/>
          <w:szCs w:val="12"/>
          <w:i w:val="1"/>
          <w:iCs w:val="1"/>
          <w:color w:val="auto"/>
        </w:rPr>
        <w:t>Merger</w:t>
      </w:r>
      <w:r>
        <w:rPr>
          <w:rFonts w:ascii="Arial" w:cs="Arial" w:eastAsia="Arial" w:hAnsi="Arial"/>
          <w:sz w:val="12"/>
          <w:szCs w:val="12"/>
          <w:color w:val="auto"/>
        </w:rPr>
        <w:t>”). Shortly after the Merger, Excaliber’s name was changed to “VistaGen Therapeutics, Inc.” (a Nevada corporation).</w:t>
      </w:r>
    </w:p>
    <w:p>
      <w:pPr>
        <w:spacing w:after="0" w:line="14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VistaGen California,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the Company recorded no goodwill or other intangible assets. A total of 1,569,000 shares of common stock, representing the shares held by stockholders of Excaliber immediately prior to the Merger and effected for a post-Merger two-for-one (2:1) stock split, have been retroactively reflected as outstanding for all periods presented in the accompanying Consolidated Financial Statements of the Company. Additionally, the accompanying Consolidated Balance Sheets of the Company retroactively reflect the $0.001 par value of Excaliber’s common stock.</w:t>
      </w:r>
    </w:p>
    <w:p>
      <w:pPr>
        <w:spacing w:after="0" w:line="12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In October 2011, the Company’s stockholders amended the Company’s Articles of Incorporation to authorize the Company to issue up to 200 million shares of common stock and up to 10 million shares of preferred stock and to authorize the Company’s Board of Directors to prescribe the classes, series and the number of each class or series of preferred stock and the voting powers, designations, preferences, limitations, restrictions and relative rights of each class or series of preferred stock. In December 2011, the Company’s Board of Directors authorized the creation of a series of up to 500,000 shares of Series A Preferred Stock, par value $0.001 (“</w:t>
      </w:r>
      <w:r>
        <w:rPr>
          <w:rFonts w:ascii="Arial" w:cs="Arial" w:eastAsia="Arial" w:hAnsi="Arial"/>
          <w:sz w:val="11"/>
          <w:szCs w:val="11"/>
          <w:i w:val="1"/>
          <w:iCs w:val="1"/>
          <w:color w:val="auto"/>
        </w:rPr>
        <w:t>Series A Preferred</w:t>
      </w:r>
      <w:r>
        <w:rPr>
          <w:rFonts w:ascii="Arial" w:cs="Arial" w:eastAsia="Arial" w:hAnsi="Arial"/>
          <w:sz w:val="11"/>
          <w:szCs w:val="11"/>
          <w:color w:val="auto"/>
        </w:rPr>
        <w:t>”), all of which are held by Platinum Long Term Growth VII, LLC (“</w:t>
      </w:r>
      <w:r>
        <w:rPr>
          <w:rFonts w:ascii="Arial" w:cs="Arial" w:eastAsia="Arial" w:hAnsi="Arial"/>
          <w:sz w:val="11"/>
          <w:szCs w:val="11"/>
          <w:i w:val="1"/>
          <w:iCs w:val="1"/>
          <w:color w:val="auto"/>
        </w:rPr>
        <w:t>Platinum</w:t>
      </w:r>
      <w:r>
        <w:rPr>
          <w:rFonts w:ascii="Arial" w:cs="Arial" w:eastAsia="Arial" w:hAnsi="Arial"/>
          <w:sz w:val="11"/>
          <w:szCs w:val="11"/>
          <w:color w:val="auto"/>
        </w:rPr>
        <w:t xml:space="preserve">”), currently the Company’s largest institutional security holder. Pursuant to the Note Exchange and Purchase Agreement of October 11, 2012, as amended, between the Company and Platinum, Platinum has the right and option to exchange the 500,000 shares of the Company’s Series A Preferred it holds for (i) 15,000,000 restricted shares of the Company’s common stock, and (ii) a five-year warrant to purchase 7,500,000 restricted shares of the Company’s common stock at an exercise price of $0.50 per share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Consolidated Financial Statements of the Company in this Report represent the activity of VistaGen California from May 26, 1998, and the consolidated activity of VistaGen California and Excaliber (now VistaGen Therapeutics, Inc., a Nevada corporation), from May 11, 2011 (the date of the Merger). The Consolidated Financial Statements of the Company included in this Report also include the accounts of VistaGen California’s two wholly-owned subsidiaries, Artemis Neuroscience, Inc., a Maryland corporation (“</w:t>
      </w:r>
      <w:r>
        <w:rPr>
          <w:rFonts w:ascii="Arial" w:cs="Arial" w:eastAsia="Arial" w:hAnsi="Arial"/>
          <w:sz w:val="11"/>
          <w:szCs w:val="11"/>
          <w:i w:val="1"/>
          <w:iCs w:val="1"/>
          <w:color w:val="auto"/>
        </w:rPr>
        <w:t>Artemis</w:t>
      </w:r>
      <w:r>
        <w:rPr>
          <w:rFonts w:ascii="Arial" w:cs="Arial" w:eastAsia="Arial" w:hAnsi="Arial"/>
          <w:sz w:val="11"/>
          <w:szCs w:val="11"/>
          <w:color w:val="auto"/>
        </w:rPr>
        <w:t>”), and VistaStem Canada, Inc., a corporation organized under the laws of Ontario, Canada (“</w:t>
      </w:r>
      <w:r>
        <w:rPr>
          <w:rFonts w:ascii="Arial" w:cs="Arial" w:eastAsia="Arial" w:hAnsi="Arial"/>
          <w:sz w:val="11"/>
          <w:szCs w:val="11"/>
          <w:i w:val="1"/>
          <w:iCs w:val="1"/>
          <w:color w:val="auto"/>
        </w:rPr>
        <w:t>VistaStem Canada</w:t>
      </w:r>
      <w:r>
        <w:rPr>
          <w:rFonts w:ascii="Arial" w:cs="Arial" w:eastAsia="Arial" w:hAnsi="Arial"/>
          <w:sz w:val="11"/>
          <w:szCs w:val="11"/>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Basis of Presentation and Going Concern</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The accompanying Consolidated Financial Statements of the Company have been prepared assuming the Company will continue as a going concern. As a development stage company without sustainable revenues, VistaGen has experienced recurring losses and negative cash flows from operations. From inception through March 31, 2014, VistaGen has a deficit accumulated during its development stage of $70.6 million. The Company expects these conditions to continue for the foreseeable future as it expands its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platform and executes its drug rescue programs and, potentially, regenerative medicine programs.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26" w:name="page127"/>
    <w:bookmarkEnd w:id="126"/>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Since its inception in May 1998 and through March 2014, the Company has financed its operations and technology acquisitions primarily through the issuance and sale of equity and debt securities, including convertible promissory notes and short-term promissory notes, for aggregate cash proceeds of approximately $26.0 million, as well as from an aggregate of approximately $16.4 million of government research grant awards, strategic collaboration payments and other revenues. Additionally, during the same period, the Company has issued equity securities with an approximate aggregate value at issuance of $12.6 million in non-cash settlements of certain liabilities, including liabilities for professional services rendered to the Company or as compensation for such services. At March 31, 2014, the Company did not have sufficient cash or cash equivalents to enable it to fund its operations, including expected cash expenditures of approximately $5 million, through the next twelve months. To meet its cash needs and fund its working capital requirements after March 31, 2014 and prior to a debt or equity-based financing, through July 1, 2014, the Company entered into securities purchase agreements with accredited investors and institutions pursuant to which it sold to such accredited investors units of our securities (“</w:t>
      </w:r>
      <w:r>
        <w:rPr>
          <w:rFonts w:ascii="Arial" w:cs="Arial" w:eastAsia="Arial" w:hAnsi="Arial"/>
          <w:sz w:val="11"/>
          <w:szCs w:val="11"/>
          <w:i w:val="1"/>
          <w:iCs w:val="1"/>
          <w:color w:val="auto"/>
        </w:rPr>
        <w:t>Units</w:t>
      </w:r>
      <w:r>
        <w:rPr>
          <w:rFonts w:ascii="Arial" w:cs="Arial" w:eastAsia="Arial" w:hAnsi="Arial"/>
          <w:sz w:val="11"/>
          <w:szCs w:val="11"/>
          <w:color w:val="auto"/>
        </w:rPr>
        <w:t>”), for aggregate proceeds of $1,465,000, consisting of: (i) 10% subordinate convertible promissory notes in the aggregate face amount of $1,465,000 maturing on March 31, 2015; (ii) an aggregate of 1,465,000 restricted shares of its common stock; and (iii) warrants exercisable through December 31, 2016 to purchase an aggregate of 1,465,000 restricted shares of its common stock at an exercise price of $0.50 per share.</w:t>
      </w:r>
    </w:p>
    <w:p>
      <w:pPr>
        <w:spacing w:after="0" w:line="13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April 2013, the Company entered into a Securities Purchase Agreement (as amended,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 company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under which Autilion is contractually obligated to purchase an aggregate of 72.0 million restricted shares of the Company’s common stock at a purchase price of $0.50 per share for aggregate cash proceeds to us of $36.0 million (the “</w:t>
      </w:r>
      <w:r>
        <w:rPr>
          <w:rFonts w:ascii="Arial" w:cs="Arial" w:eastAsia="Arial" w:hAnsi="Arial"/>
          <w:sz w:val="12"/>
          <w:szCs w:val="12"/>
          <w:i w:val="1"/>
          <w:iCs w:val="1"/>
          <w:color w:val="auto"/>
        </w:rPr>
        <w:t>Autilion</w:t>
      </w:r>
      <w:r>
        <w:rPr>
          <w:rFonts w:ascii="Arial" w:cs="Arial" w:eastAsia="Arial" w:hAnsi="Arial"/>
          <w:sz w:val="12"/>
          <w:szCs w:val="12"/>
          <w:color w:val="auto"/>
        </w:rPr>
        <w:t xml:space="preserve"> </w:t>
      </w:r>
      <w:r>
        <w:rPr>
          <w:rFonts w:ascii="Arial" w:cs="Arial" w:eastAsia="Arial" w:hAnsi="Arial"/>
          <w:sz w:val="12"/>
          <w:szCs w:val="12"/>
          <w:i w:val="1"/>
          <w:iCs w:val="1"/>
          <w:color w:val="auto"/>
        </w:rPr>
        <w:t>Financing</w:t>
      </w:r>
      <w:r>
        <w:rPr>
          <w:rFonts w:ascii="Arial" w:cs="Arial" w:eastAsia="Arial" w:hAnsi="Arial"/>
          <w:sz w:val="12"/>
          <w:szCs w:val="12"/>
          <w:color w:val="auto"/>
        </w:rPr>
        <w:t>”). To date, Autilion has completed only a nominal closing under the Securities Purchase Agreement. Therefore, Autilion is in default under the Securities Purchase Agreement, and the Company can provide no assurance that</w:t>
      </w:r>
      <w:r>
        <w:rPr>
          <w:rFonts w:ascii="Arial" w:cs="Arial" w:eastAsia="Arial" w:hAnsi="Arial"/>
          <w:sz w:val="12"/>
          <w:szCs w:val="12"/>
          <w:i w:val="1"/>
          <w:iCs w:val="1"/>
          <w:color w:val="auto"/>
        </w:rPr>
        <w:t xml:space="preserve"> </w:t>
      </w:r>
      <w:r>
        <w:rPr>
          <w:rFonts w:ascii="Arial" w:cs="Arial" w:eastAsia="Arial" w:hAnsi="Arial"/>
          <w:sz w:val="12"/>
          <w:szCs w:val="12"/>
          <w:color w:val="auto"/>
        </w:rPr>
        <w:t>Autilion will complete a material closing under the Securities Purchase Agreement. In the event that Autilion does not complete a material portion of the Autilion Financing pursuant to the Securities Purchase Agreement in the near term, the Company will need to obtain from $4.0 million to $6.0 million from alternative financing sources to execute its business plan over the next twelve to fifteen months. Substantial additional financing may not be available to the Company on a timely basis, on acceptable terms, or at all. In the event the Company is unable to obtain substantial additional financing on a timely basis, its business, financial condition, and results of operations may be harmed, the price of its stock may decline, and it may not be able to continue as a going concern.</w:t>
      </w:r>
    </w:p>
    <w:p>
      <w:pPr>
        <w:spacing w:after="0" w:line="1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To meet its working capital needs during the fiscal year ended March 31, 2014, the Company issued an additional Senior Secured Convertible Promissory Note to Platinum, and sold Units consisting of convertible promissory notes, shares of its restricted common stock and warrants to purchase restricted shares of its common stock, to accredited investors in private placements as described more completely in Note 9, </w:t>
      </w:r>
      <w:r>
        <w:rPr>
          <w:rFonts w:ascii="Arial" w:cs="Arial" w:eastAsia="Arial" w:hAnsi="Arial"/>
          <w:sz w:val="12"/>
          <w:szCs w:val="12"/>
          <w:i w:val="1"/>
          <w:iCs w:val="1"/>
          <w:color w:val="auto"/>
        </w:rPr>
        <w:t>Convertible Promissory Notes and Other</w:t>
      </w:r>
      <w:r>
        <w:rPr>
          <w:rFonts w:ascii="Arial" w:cs="Arial" w:eastAsia="Arial" w:hAnsi="Arial"/>
          <w:sz w:val="12"/>
          <w:szCs w:val="12"/>
          <w:color w:val="auto"/>
        </w:rPr>
        <w:t xml:space="preserve"> </w:t>
      </w:r>
      <w:r>
        <w:rPr>
          <w:rFonts w:ascii="Arial" w:cs="Arial" w:eastAsia="Arial" w:hAnsi="Arial"/>
          <w:sz w:val="12"/>
          <w:szCs w:val="12"/>
          <w:i w:val="1"/>
          <w:iCs w:val="1"/>
          <w:color w:val="auto"/>
        </w:rPr>
        <w:t>Notes Payable</w:t>
      </w:r>
      <w:r>
        <w:rPr>
          <w:rFonts w:ascii="Arial" w:cs="Arial" w:eastAsia="Arial" w:hAnsi="Arial"/>
          <w:sz w:val="12"/>
          <w:szCs w:val="12"/>
          <w:color w:val="auto"/>
        </w:rPr>
        <w:t>, and Note 10</w:t>
      </w:r>
      <w:r>
        <w:rPr>
          <w:rFonts w:ascii="Arial" w:cs="Arial" w:eastAsia="Arial" w:hAnsi="Arial"/>
          <w:sz w:val="12"/>
          <w:szCs w:val="12"/>
          <w:i w:val="1"/>
          <w:iCs w:val="1"/>
          <w:color w:val="auto"/>
        </w:rPr>
        <w:t>, Capital Stock</w:t>
      </w:r>
      <w:r>
        <w:rPr>
          <w:rFonts w:ascii="Arial" w:cs="Arial" w:eastAsia="Arial" w:hAnsi="Arial"/>
          <w:sz w:val="12"/>
          <w:szCs w:val="12"/>
          <w:color w:val="auto"/>
        </w:rPr>
        <w:t>. To provide working capital for operations from March 31, 2014 through the date of this report, the Company completed private placements of its securities to Platinum and other accredited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investors resulting in aggregate cash proceeds of $1,465,000, as described in Note 17, </w:t>
      </w:r>
      <w:r>
        <w:rPr>
          <w:rFonts w:ascii="Arial" w:cs="Arial" w:eastAsia="Arial" w:hAnsi="Arial"/>
          <w:sz w:val="12"/>
          <w:szCs w:val="12"/>
          <w:i w:val="1"/>
          <w:iCs w:val="1"/>
          <w:color w:val="auto"/>
        </w:rPr>
        <w:t>Subsequent Events</w:t>
      </w:r>
      <w:r>
        <w:rPr>
          <w:rFonts w:ascii="Arial" w:cs="Arial" w:eastAsia="Arial" w:hAnsi="Arial"/>
          <w:sz w:val="12"/>
          <w:szCs w:val="12"/>
          <w:color w:val="auto"/>
        </w:rPr>
        <w:t>.</w:t>
      </w:r>
    </w:p>
    <w:p>
      <w:pPr>
        <w:spacing w:after="0" w:line="1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To the extent necessary, the Company may also seek to meet its future cash needs and fund its working capital requirements through a combination of additional private placements of its securities, which may include both debt and equity securities, research and development collaborations, license fees, and government grant awards. Alternatively, the Company may seek to raise additional capital through a registered public offering of its securities. In May 2014, the Company filed a Registration Statement on Form S-1 with the Securities and Exchange Commission covering the potential sale of shares of its common stock in a registered public offering. Additionally, the Company believes that its participation in strategic collaborations, including licensing transactions, may provide additional cash in support of its future working capital requirements. If the Company is unable to obtain sufficient financing from the Autilion Financing or alternative sources, it may be required to reduce, defer, or discontinue certain of its research and development activities or it may not be able to continue as a going concern. The consolidated financial statements do not include any adjustments that might result from the outcome of this uncertainty.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27" w:name="page128"/>
    <w:bookmarkEnd w:id="127"/>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Summary of Significant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preparation of financial statements in conformity with U.S. generally accepted accounting principles (“</w:t>
      </w:r>
      <w:r>
        <w:rPr>
          <w:rFonts w:ascii="Arial" w:cs="Arial" w:eastAsia="Arial" w:hAnsi="Arial"/>
          <w:sz w:val="11"/>
          <w:szCs w:val="11"/>
          <w:i w:val="1"/>
          <w:iCs w:val="1"/>
          <w:color w:val="auto"/>
        </w:rPr>
        <w:t>U.S. GAAP</w:t>
      </w:r>
      <w:r>
        <w:rPr>
          <w:rFonts w:ascii="Arial" w:cs="Arial" w:eastAsia="Arial" w:hAnsi="Arial"/>
          <w:sz w:val="11"/>
          <w:szCs w:val="11"/>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accompanying consolidated financial statements include the Company’s accounts, and the accounts of VistaGen California’s wholly-owned inactive subsidiaries, Artemis Neurosciences and VistaStem Canada.</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Cash and cash equivalents are considered to be highly liquid investments with maturities of three months or less at the date of purchase.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or Disposal of Long-Lived Assets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evaluates its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the Company records an impairment loss in the amount by which the carrying value of the assets exceeds their fair value. If the assets are determined to be recoverable, but the useful lives are shorter than originally estimated, the Company depreciates or amortizes the net book value of the assets over the newly determined remaining useful lives. The Company has not recorded any impairment charges to date.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Although the Company does not currently have any such arrangements, it has historically generated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12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recognizes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the Company complies with the above revenue recognition criteria in the following manner: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28" w:name="page129"/>
    <w:bookmarkEnd w:id="128"/>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w:t>
      </w:r>
    </w:p>
    <w:p>
      <w:pPr>
        <w:spacing w:after="0" w:line="222" w:lineRule="exact"/>
        <w:rPr>
          <w:sz w:val="20"/>
          <w:szCs w:val="20"/>
          <w:color w:val="auto"/>
        </w:rPr>
      </w:pPr>
    </w:p>
    <w:p>
      <w:pPr>
        <w:jc w:val="both"/>
        <w:ind w:left="680"/>
        <w:spacing w:after="0" w:line="281" w:lineRule="auto"/>
        <w:rPr>
          <w:sz w:val="20"/>
          <w:szCs w:val="20"/>
          <w:color w:val="auto"/>
        </w:rPr>
      </w:pPr>
      <w:r>
        <w:rPr>
          <w:rFonts w:ascii="Arial" w:cs="Arial" w:eastAsia="Arial" w:hAnsi="Arial"/>
          <w:sz w:val="11"/>
          <w:szCs w:val="11"/>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jc w:val="both"/>
        <w:ind w:left="680"/>
        <w:spacing w:after="0" w:line="254" w:lineRule="auto"/>
        <w:rPr>
          <w:sz w:val="20"/>
          <w:szCs w:val="20"/>
          <w:color w:val="auto"/>
        </w:rPr>
      </w:pPr>
      <w:r>
        <w:rPr>
          <w:rFonts w:ascii="Arial" w:cs="Arial" w:eastAsia="Arial" w:hAnsi="Arial"/>
          <w:sz w:val="12"/>
          <w:szCs w:val="12"/>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 and, in the case of development and/or regulatory milestone payments, when the applicable event triggering such a payment has occurred.</w:t>
      </w:r>
    </w:p>
    <w:p>
      <w:pPr>
        <w:spacing w:after="0" w:line="272" w:lineRule="exact"/>
        <w:rPr>
          <w:sz w:val="20"/>
          <w:szCs w:val="20"/>
          <w:color w:val="auto"/>
        </w:rPr>
      </w:pPr>
    </w:p>
    <w:p>
      <w:pPr>
        <w:ind w:left="680" w:right="20" w:hanging="377"/>
        <w:spacing w:after="0" w:line="276" w:lineRule="auto"/>
        <w:tabs>
          <w:tab w:leader="none" w:pos="6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Government grants, which support the Company’s research efforts on specific projects, generally provide for reimbursement of approved costs as defined in the terms of grant awards. Grant revenue is recognized when associated project costs are incurred.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168" w:lineRule="exact"/>
        <w:rPr>
          <w:sz w:val="20"/>
          <w:szCs w:val="20"/>
          <w:color w:val="auto"/>
        </w:rPr>
      </w:pPr>
    </w:p>
    <w:p>
      <w:pPr>
        <w:jc w:val="both"/>
        <w:ind w:right="20" w:firstLine="432"/>
        <w:spacing w:after="0" w:line="290" w:lineRule="auto"/>
        <w:rPr>
          <w:sz w:val="20"/>
          <w:szCs w:val="20"/>
          <w:color w:val="auto"/>
        </w:rPr>
      </w:pPr>
      <w:r>
        <w:rPr>
          <w:rFonts w:ascii="Arial" w:cs="Arial" w:eastAsia="Arial" w:hAnsi="Arial"/>
          <w:sz w:val="11"/>
          <w:szCs w:val="11"/>
          <w:color w:val="auto"/>
        </w:rPr>
        <w:t xml:space="preserve">Research and development expenses include internal and external costs. Internal costs include salaries and employment related expenses of the Company’s internal scientific personnel and direct project costs. External research and development expenses consist of sponsored stem cell research and development costs, costs associated with non-clinical and clinical drug rescue and development activities, including development of AV-101, the Company’s drug development candidate which has successfully completed Phase 1 development, and costs related to protection of the Company’s intellectual property, including, but not limited to, application and prosecution of patents related to the Company’s stem cell technology platform,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and AV-101. All such research and development costs are charged to expense as incurred.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recognizes compensation cost for all stock-based awards to employees in its financial statements based on their grant date fair value. Stock-based compensation expense is recognized over the period during which the employee is required to perform service in exchange for the award, which generally represents the scheduled vesting period of options and warrants to purchase shares of the Company’s common stock. The Company has no awards with market or performance conditions. For stock-based awards to non-employees, the Company re-measures the fair value of such awards as they vest and the resulting value is recognized as an expense during the period over which applicable services are performed by the recipient.</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Company accounts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29" w:name="page130"/>
    <w:bookmarkEnd w:id="129"/>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Concentrations of Credit Risk</w:t>
      </w:r>
    </w:p>
    <w:p>
      <w:pPr>
        <w:spacing w:after="0" w:line="168"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Financial instruments, which potentially subject the Company to concentrations of credit risk, consist principally of cash and cash equivalents. The Company’s investment policies limit any such investments to short-term, low-risk investments. The Company deposits cash and cash equivalents with quality financial institutions and is insured to the maximum of federal limitations. Balances in these accounts may exceed federally insured limits at times.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 Liability</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The Company has issued certain warrants to Platinum and, subject to Platinum’s exercise of its rights to exchange shares of the Company’s Series A Preferred that it holds, the Company is also obligated to issue an additional warrant to Platinum, that contain an exercise price adjustment feature in the event the Company subsequently issues additional equity instruments at a price lower than the exercise price of the warrants. The Company accounts for these warrants as non-cash liabilities and estimates their fair value as described in Note 4,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and Note 10</w:t>
      </w:r>
      <w:r>
        <w:rPr>
          <w:rFonts w:ascii="Arial" w:cs="Arial" w:eastAsia="Arial" w:hAnsi="Arial"/>
          <w:sz w:val="11"/>
          <w:szCs w:val="11"/>
          <w:i w:val="1"/>
          <w:iCs w:val="1"/>
          <w:color w:val="auto"/>
        </w:rPr>
        <w:t>, Capital Stock</w:t>
      </w:r>
      <w:r>
        <w:rPr>
          <w:rFonts w:ascii="Arial" w:cs="Arial" w:eastAsia="Arial" w:hAnsi="Arial"/>
          <w:sz w:val="11"/>
          <w:szCs w:val="11"/>
          <w:color w:val="auto"/>
        </w:rPr>
        <w:t>. The Company computes the fair value of the warrant liability at each reporting period and the change in the fair value is recorded as non-cash expense or non-cash income. The key component in determining the fair value of the warrant and the related liability is the Company‘s stock price, which is subject to significant fluctuation and is not under the Company’s control. The resulting change in the fair value of the warrant liability on the Company’s net income or loss is therefore also subject to significant fluctuation and will continue to be so until all of the warrants are issued and exercised, amended or expire. Assuming all other fair value inputs remain generally constant, the Company will record an increase in the warrant liability and non-cash expense when its stock price increases and a decrease in the warrant liability and non-cash income when its stock price decreases.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Comprehensive Loss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no components of other comprehensive loss other than net loss, and accordingly the Company’s comprehensive loss is equivalent to its net loss for the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Loss per Common Share</w:t>
      </w:r>
    </w:p>
    <w:p>
      <w:pPr>
        <w:spacing w:after="0" w:line="168" w:lineRule="exact"/>
        <w:rPr>
          <w:sz w:val="20"/>
          <w:szCs w:val="20"/>
          <w:color w:val="auto"/>
        </w:rPr>
      </w:pPr>
    </w:p>
    <w:p>
      <w:pPr>
        <w:jc w:val="both"/>
        <w:ind w:right="20" w:firstLine="432"/>
        <w:spacing w:after="0" w:line="310" w:lineRule="auto"/>
        <w:rPr>
          <w:sz w:val="20"/>
          <w:szCs w:val="20"/>
          <w:color w:val="auto"/>
        </w:rPr>
      </w:pPr>
      <w:r>
        <w:rPr>
          <w:rFonts w:ascii="Arial" w:cs="Arial" w:eastAsia="Arial" w:hAnsi="Arial"/>
          <w:sz w:val="10"/>
          <w:szCs w:val="10"/>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w:t>
      </w:r>
    </w:p>
    <w:p>
      <w:pPr>
        <w:jc w:val="both"/>
        <w:spacing w:after="0" w:line="290" w:lineRule="auto"/>
        <w:rPr>
          <w:sz w:val="20"/>
          <w:szCs w:val="20"/>
          <w:color w:val="auto"/>
        </w:rPr>
      </w:pPr>
      <w:r>
        <w:rPr>
          <w:rFonts w:ascii="Arial" w:cs="Arial" w:eastAsia="Arial" w:hAnsi="Arial"/>
          <w:sz w:val="11"/>
          <w:szCs w:val="11"/>
          <w:color w:val="auto"/>
        </w:rPr>
        <w:t>(loss) per share, the Company adjusts the numerator for the change in the fair value of the warrant liability attributable to outstanding warrants, only if dilutive, and increases the denominator to include the number of potentially dilutive common shares assumed to be outstanding during the period using the treasury stock method. As a result of the Company’s net loss for both periods presented, potentially dilutive securities were excluded from the computation, as their effect would be antidilutive. Additionally, no potentially dilutive securities were assumed to be converted into common shares and outstanding during either period for purposes of calculating diluted earnings per share.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15"/>
        </w:trPr>
        <w:tc>
          <w:tcPr>
            <w:tcW w:w="8840" w:type="dxa"/>
            <w:vAlign w:val="bottom"/>
            <w:gridSpan w:val="4"/>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gridSpan w:val="2"/>
          </w:tcPr>
          <w:p>
            <w:pPr>
              <w:ind w:left="300"/>
              <w:spacing w:after="0"/>
              <w:rPr>
                <w:sz w:val="20"/>
                <w:szCs w:val="20"/>
                <w:color w:val="auto"/>
              </w:rPr>
            </w:pPr>
            <w:r>
              <w:rPr>
                <w:rFonts w:ascii="Arial" w:cs="Arial" w:eastAsia="Arial" w:hAnsi="Arial"/>
                <w:sz w:val="12"/>
                <w:szCs w:val="12"/>
                <w:color w:val="auto"/>
              </w:rPr>
              <w:t>Basic and diluted net loss attributable to common stockholders per share was computed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Years Ended March 31,</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2"/>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gridSpan w:val="3"/>
          </w:tcPr>
          <w:p>
            <w:pPr>
              <w:spacing w:after="0"/>
              <w:rPr>
                <w:sz w:val="20"/>
                <w:szCs w:val="20"/>
                <w:color w:val="auto"/>
              </w:rPr>
            </w:pPr>
            <w:r>
              <w:rPr>
                <w:rFonts w:ascii="Arial" w:cs="Arial" w:eastAsia="Arial" w:hAnsi="Arial"/>
                <w:sz w:val="12"/>
                <w:szCs w:val="12"/>
                <w:color w:val="auto"/>
              </w:rPr>
              <w:t>Numerator:</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Net loss attributable to common stockholders for basic earnings per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(2,967,700)</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(23,079,900)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720" w:type="dxa"/>
            <w:vAlign w:val="bottom"/>
            <w:gridSpan w:val="2"/>
          </w:tcPr>
          <w:p>
            <w:pPr>
              <w:ind w:left="240"/>
              <w:spacing w:after="0"/>
              <w:rPr>
                <w:sz w:val="20"/>
                <w:szCs w:val="20"/>
                <w:color w:val="auto"/>
              </w:rPr>
            </w:pPr>
            <w:r>
              <w:rPr>
                <w:rFonts w:ascii="Arial" w:cs="Arial" w:eastAsia="Arial" w:hAnsi="Arial"/>
                <w:sz w:val="12"/>
                <w:szCs w:val="12"/>
                <w:color w:val="auto"/>
              </w:rPr>
              <w:t>less: change in fair value of warrant liability attributable to Exchange,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Investment and July 2013 Warrants issued to Platinum</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(1,219,500)</w:t>
            </w: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81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Net loss for diluted earnings per share attributable to common stockholders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(4,187,200)</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(23,079,900)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tcBorders>
              <w:top w:val="single" w:sz="8" w:color="CCEEFF"/>
            </w:tcBorders>
            <w:gridSpan w:val="2"/>
          </w:tcPr>
          <w:p>
            <w:pPr>
              <w:spacing w:after="0"/>
              <w:rPr>
                <w:sz w:val="10"/>
                <w:szCs w:val="10"/>
                <w:color w:val="auto"/>
              </w:rPr>
            </w:pPr>
          </w:p>
        </w:tc>
        <w:tc>
          <w:tcPr>
            <w:tcW w:w="81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Denominator:</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720" w:type="dxa"/>
            <w:vAlign w:val="bottom"/>
            <w:gridSpan w:val="2"/>
          </w:tcPr>
          <w:p>
            <w:pPr>
              <w:ind w:left="240"/>
              <w:spacing w:after="0"/>
              <w:rPr>
                <w:sz w:val="20"/>
                <w:szCs w:val="20"/>
                <w:color w:val="auto"/>
              </w:rPr>
            </w:pPr>
            <w:r>
              <w:rPr>
                <w:rFonts w:ascii="Arial" w:cs="Arial" w:eastAsia="Arial" w:hAnsi="Arial"/>
                <w:sz w:val="12"/>
                <w:szCs w:val="12"/>
                <w:color w:val="auto"/>
              </w:rPr>
              <w:t>Weighted average basic common shares outstanding</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Assumed conversion of dilutive securities: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180" w:type="dxa"/>
            <w:vAlign w:val="bottom"/>
          </w:tcPr>
          <w:p>
            <w:pPr>
              <w:ind w:left="500"/>
              <w:spacing w:after="0"/>
              <w:rPr>
                <w:sz w:val="20"/>
                <w:szCs w:val="20"/>
                <w:color w:val="auto"/>
              </w:rPr>
            </w:pPr>
            <w:r>
              <w:rPr>
                <w:rFonts w:ascii="Arial" w:cs="Arial" w:eastAsia="Arial" w:hAnsi="Arial"/>
                <w:sz w:val="12"/>
                <w:szCs w:val="12"/>
                <w:color w:val="auto"/>
              </w:rPr>
              <w:t>Warrants to purchase common stock</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Potentially dilutive common shares assumed converted</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Denominator for diluted earnings per share - adjusted</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180" w:type="dxa"/>
            <w:vAlign w:val="bottom"/>
          </w:tcPr>
          <w:p>
            <w:pPr>
              <w:ind w:left="520"/>
              <w:spacing w:after="0"/>
              <w:rPr>
                <w:sz w:val="20"/>
                <w:szCs w:val="20"/>
                <w:color w:val="auto"/>
              </w:rPr>
            </w:pPr>
            <w:r>
              <w:rPr>
                <w:rFonts w:ascii="Arial" w:cs="Arial" w:eastAsia="Arial" w:hAnsi="Arial"/>
                <w:sz w:val="12"/>
                <w:szCs w:val="12"/>
                <w:color w:val="auto"/>
              </w:rPr>
              <w:t>weighted average shares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gridSpan w:val="2"/>
            <w:shd w:val="clear" w:color="auto" w:fill="CCEEFF"/>
          </w:tcPr>
          <w:p>
            <w:pPr>
              <w:spacing w:after="0"/>
              <w:rPr>
                <w:sz w:val="10"/>
                <w:szCs w:val="10"/>
                <w:color w:val="auto"/>
              </w:rPr>
            </w:pPr>
          </w:p>
        </w:tc>
        <w:tc>
          <w:tcPr>
            <w:tcW w:w="8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(0.14)</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tcBorders>
              <w:top w:val="single" w:sz="8" w:color="CCEEFF"/>
            </w:tcBorders>
            <w:gridSpan w:val="2"/>
          </w:tcPr>
          <w:p>
            <w:pPr>
              <w:spacing w:after="0"/>
              <w:rPr>
                <w:sz w:val="10"/>
                <w:szCs w:val="10"/>
                <w:color w:val="auto"/>
              </w:rPr>
            </w:pPr>
          </w:p>
        </w:tc>
        <w:tc>
          <w:tcPr>
            <w:tcW w:w="81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(0.19)</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gridSpan w:val="2"/>
          </w:tcPr>
          <w:p>
            <w:pPr>
              <w:ind w:left="300"/>
              <w:spacing w:after="0"/>
              <w:rPr>
                <w:sz w:val="20"/>
                <w:szCs w:val="20"/>
                <w:color w:val="auto"/>
              </w:rPr>
            </w:pPr>
            <w:r>
              <w:rPr>
                <w:rFonts w:ascii="Arial" w:cs="Arial" w:eastAsia="Arial" w:hAnsi="Arial"/>
                <w:sz w:val="12"/>
                <w:szCs w:val="12"/>
                <w:color w:val="auto"/>
              </w:rPr>
              <w:t>Potentially dilutive securities excluded in determining diluted net loss per common share for the fiscal years ended March 31, 2014 and 2013 are as follows:</w:t>
            </w:r>
          </w:p>
        </w:tc>
        <w:tc>
          <w:tcPr>
            <w:tcW w:w="260" w:type="dxa"/>
            <w:vAlign w:val="bottom"/>
          </w:tcPr>
          <w:p>
            <w:pPr>
              <w:spacing w:after="0"/>
              <w:rPr>
                <w:sz w:val="24"/>
                <w:szCs w:val="24"/>
                <w:color w:val="auto"/>
              </w:rPr>
            </w:pPr>
          </w:p>
        </w:tc>
        <w:tc>
          <w:tcPr>
            <w:tcW w:w="2380" w:type="dxa"/>
            <w:vAlign w:val="bottom"/>
            <w:gridSpan w:val="5"/>
            <w:vMerge w:val="restart"/>
          </w:tcPr>
          <w:p>
            <w:pPr>
              <w:jc w:val="right"/>
              <w:ind w:right="60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2"/>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line="144" w:lineRule="exact"/>
              <w:rPr>
                <w:sz w:val="20"/>
                <w:szCs w:val="20"/>
                <w:color w:val="auto"/>
              </w:rPr>
            </w:pPr>
            <w:r>
              <w:rPr>
                <w:rFonts w:ascii="Arial" w:cs="Arial" w:eastAsia="Arial" w:hAnsi="Arial"/>
                <w:sz w:val="12"/>
                <w:szCs w:val="12"/>
                <w:color w:val="auto"/>
              </w:rPr>
              <w:t xml:space="preserve">Series A preferred stock issued and outstanding </w:t>
            </w:r>
            <w:r>
              <w:rPr>
                <w:rFonts w:ascii="Arial" w:cs="Arial" w:eastAsia="Arial" w:hAnsi="Arial"/>
                <w:sz w:val="16"/>
                <w:szCs w:val="16"/>
                <w:color w:val="auto"/>
                <w:vertAlign w:val="superscript"/>
              </w:rPr>
              <w:t>(1)</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15,000,000</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15,000,000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gridSpan w:val="2"/>
          </w:tcPr>
          <w:p>
            <w:pPr>
              <w:spacing w:after="0"/>
              <w:rPr>
                <w:sz w:val="12"/>
                <w:szCs w:val="12"/>
                <w:color w:val="auto"/>
              </w:rPr>
            </w:pPr>
          </w:p>
        </w:tc>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82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w w:val="92"/>
              </w:rPr>
              <w:t>Warrant shares issuable to Platinum upon exercise of common stock warrants by Platinum upon exchange of Series A preferred stock under the terms of the October 11, 2012 Note</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Purchase and Exchange Agreement</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7,500,000</w:t>
            </w: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gridSpan w:val="2"/>
          </w:tcPr>
          <w:p>
            <w:pPr>
              <w:spacing w:after="0"/>
              <w:rPr>
                <w:sz w:val="12"/>
                <w:szCs w:val="12"/>
                <w:color w:val="auto"/>
              </w:rPr>
            </w:pPr>
          </w:p>
        </w:tc>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Outstanding options under the 2008 and 1999 Stock Incentive Plans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4,249,271</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4,912,604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gridSpan w:val="2"/>
          </w:tcPr>
          <w:p>
            <w:pPr>
              <w:spacing w:after="0"/>
              <w:rPr>
                <w:sz w:val="12"/>
                <w:szCs w:val="12"/>
                <w:color w:val="auto"/>
              </w:rPr>
            </w:pPr>
          </w:p>
        </w:tc>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Outstanding warrants to purchase common stock</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17,095,633</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14,660,335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gridSpan w:val="2"/>
          </w:tcPr>
          <w:p>
            <w:pPr>
              <w:spacing w:after="0"/>
              <w:rPr>
                <w:sz w:val="12"/>
                <w:szCs w:val="12"/>
                <w:color w:val="auto"/>
              </w:rPr>
            </w:pPr>
          </w:p>
        </w:tc>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line="144" w:lineRule="exact"/>
              <w:rPr>
                <w:sz w:val="20"/>
                <w:szCs w:val="20"/>
                <w:color w:val="auto"/>
              </w:rPr>
            </w:pPr>
            <w:r>
              <w:rPr>
                <w:rFonts w:ascii="Arial" w:cs="Arial" w:eastAsia="Arial" w:hAnsi="Arial"/>
                <w:sz w:val="12"/>
                <w:szCs w:val="12"/>
                <w:color w:val="auto"/>
                <w:w w:val="93"/>
              </w:rPr>
              <w:t xml:space="preserve">10% convertible Exchange Note and Investment Notes issued to Platinum in October 2012, February 2013 and March 2013, including accrued interest through March 31, 2014 </w:t>
            </w:r>
            <w:r>
              <w:rPr>
                <w:rFonts w:ascii="Arial" w:cs="Arial" w:eastAsia="Arial" w:hAnsi="Arial"/>
                <w:sz w:val="16"/>
                <w:szCs w:val="16"/>
                <w:color w:val="auto"/>
                <w:w w:val="93"/>
                <w:vertAlign w:val="superscript"/>
              </w:rPr>
              <w:t>(2)</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7,495,957</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6,775,682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gridSpan w:val="2"/>
          </w:tcPr>
          <w:p>
            <w:pPr>
              <w:spacing w:after="0"/>
              <w:rPr>
                <w:sz w:val="12"/>
                <w:szCs w:val="12"/>
                <w:color w:val="auto"/>
              </w:rPr>
            </w:pPr>
          </w:p>
        </w:tc>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10% convertible note issued to Platinum on July 26, 2013, including accrued interest through March 31, 2014</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535,506</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gridSpan w:val="2"/>
          </w:tcPr>
          <w:p>
            <w:pPr>
              <w:spacing w:after="0"/>
              <w:rPr>
                <w:sz w:val="12"/>
                <w:szCs w:val="12"/>
                <w:color w:val="auto"/>
              </w:rPr>
            </w:pPr>
          </w:p>
        </w:tc>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10% convertible notes issued as a component of Unit Private Placements, including accrued interest through March 31, 2014</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2,186,811</w:t>
            </w:r>
          </w:p>
        </w:tc>
        <w:tc>
          <w:tcPr>
            <w:tcW w:w="2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gridSpan w:val="2"/>
          </w:tcPr>
          <w:p>
            <w:pPr>
              <w:spacing w:after="0"/>
              <w:rPr>
                <w:sz w:val="12"/>
                <w:szCs w:val="12"/>
                <w:color w:val="auto"/>
              </w:rPr>
            </w:pPr>
          </w:p>
        </w:tc>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54,063,178</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48,848,621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820" w:type="dxa"/>
            <w:vAlign w:val="bottom"/>
            <w:tcBorders>
              <w:top w:val="single" w:sz="8" w:color="CCEEFF"/>
            </w:tcBorders>
            <w:gridSpan w:val="3"/>
          </w:tcPr>
          <w:p>
            <w:pPr>
              <w:spacing w:after="0" w:line="111" w:lineRule="exact"/>
              <w:rPr>
                <w:sz w:val="20"/>
                <w:szCs w:val="20"/>
                <w:color w:val="auto"/>
              </w:rPr>
            </w:pPr>
            <w:r>
              <w:rPr>
                <w:rFonts w:ascii="Arial" w:cs="Arial" w:eastAsia="Arial" w:hAnsi="Arial"/>
                <w:sz w:val="12"/>
                <w:szCs w:val="12"/>
                <w:color w:val="auto"/>
              </w:rPr>
              <w:t>____________</w:t>
            </w:r>
          </w:p>
        </w:tc>
        <w:tc>
          <w:tcPr>
            <w:tcW w:w="2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20" w:type="dxa"/>
            <w:vAlign w:val="bottom"/>
            <w:gridSpan w:val="2"/>
          </w:tcPr>
          <w:p>
            <w:pPr>
              <w:spacing w:after="0"/>
              <w:rPr>
                <w:sz w:val="20"/>
                <w:szCs w:val="20"/>
                <w:color w:val="auto"/>
              </w:rPr>
            </w:pPr>
            <w:r>
              <w:rPr>
                <w:rFonts w:ascii="Arial" w:cs="Arial" w:eastAsia="Arial" w:hAnsi="Arial"/>
                <w:sz w:val="8"/>
                <w:szCs w:val="8"/>
                <w:color w:val="auto"/>
              </w:rPr>
              <w:t>(1)</w:t>
            </w:r>
          </w:p>
        </w:tc>
        <w:tc>
          <w:tcPr>
            <w:tcW w:w="8720" w:type="dxa"/>
            <w:vAlign w:val="bottom"/>
            <w:gridSpan w:val="2"/>
          </w:tcPr>
          <w:p>
            <w:pPr>
              <w:ind w:left="20"/>
              <w:spacing w:after="0"/>
              <w:rPr>
                <w:sz w:val="20"/>
                <w:szCs w:val="20"/>
                <w:color w:val="auto"/>
              </w:rPr>
            </w:pPr>
            <w:r>
              <w:rPr>
                <w:rFonts w:ascii="Arial" w:cs="Arial" w:eastAsia="Arial" w:hAnsi="Arial"/>
                <w:sz w:val="12"/>
                <w:szCs w:val="12"/>
                <w:color w:val="auto"/>
              </w:rPr>
              <w:t>Assumes exchange under the terms of the October 11, 2012 Note Exchange and Purchase Agreement with Platinum</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0" w:type="dxa"/>
            <w:vAlign w:val="bottom"/>
            <w:gridSpan w:val="2"/>
          </w:tcPr>
          <w:p>
            <w:pPr>
              <w:spacing w:after="0"/>
              <w:rPr>
                <w:sz w:val="20"/>
                <w:szCs w:val="20"/>
                <w:color w:val="auto"/>
              </w:rPr>
            </w:pPr>
            <w:r>
              <w:rPr>
                <w:rFonts w:ascii="Arial" w:cs="Arial" w:eastAsia="Arial" w:hAnsi="Arial"/>
                <w:sz w:val="8"/>
                <w:szCs w:val="8"/>
                <w:color w:val="auto"/>
              </w:rPr>
              <w:t>(2)</w:t>
            </w:r>
          </w:p>
        </w:tc>
        <w:tc>
          <w:tcPr>
            <w:tcW w:w="8720" w:type="dxa"/>
            <w:vAlign w:val="bottom"/>
            <w:gridSpan w:val="2"/>
          </w:tcPr>
          <w:p>
            <w:pPr>
              <w:ind w:left="20"/>
              <w:spacing w:after="0"/>
              <w:rPr>
                <w:sz w:val="20"/>
                <w:szCs w:val="20"/>
                <w:color w:val="auto"/>
              </w:rPr>
            </w:pPr>
            <w:r>
              <w:rPr>
                <w:rFonts w:ascii="Arial" w:cs="Arial" w:eastAsia="Arial" w:hAnsi="Arial"/>
                <w:sz w:val="12"/>
                <w:szCs w:val="12"/>
                <w:color w:val="auto"/>
              </w:rPr>
              <w:t>Assumes conversion under the terms of the October 11, 2012 Note Exchange and Purchase Agreement with Platinum and the terms of the individual notes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180" w:type="dxa"/>
            <w:vAlign w:val="bottom"/>
          </w:tcPr>
          <w:p>
            <w:pPr>
              <w:ind w:left="4960"/>
              <w:spacing w:after="0"/>
              <w:rPr>
                <w:sz w:val="20"/>
                <w:szCs w:val="20"/>
                <w:color w:val="auto"/>
              </w:rPr>
            </w:pPr>
            <w:r>
              <w:rPr>
                <w:rFonts w:ascii="Arial" w:cs="Arial" w:eastAsia="Arial" w:hAnsi="Arial"/>
                <w:sz w:val="12"/>
                <w:szCs w:val="12"/>
                <w:color w:val="auto"/>
              </w:rPr>
              <w:t>F-16</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81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14" w:right="199" w:bottom="1440" w:gutter="0" w:footer="0" w:header="0"/>
        </w:sectPr>
      </w:pPr>
    </w:p>
    <w:bookmarkStart w:id="131" w:name="page132"/>
    <w:bookmarkEnd w:id="131"/>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In May 2014, the Financial Accounting Standards Board (“</w:t>
      </w:r>
      <w:r>
        <w:rPr>
          <w:rFonts w:ascii="Arial" w:cs="Arial" w:eastAsia="Arial" w:hAnsi="Arial"/>
          <w:sz w:val="12"/>
          <w:szCs w:val="12"/>
          <w:i w:val="1"/>
          <w:iCs w:val="1"/>
          <w:color w:val="auto"/>
        </w:rPr>
        <w:t>FASB</w:t>
      </w:r>
      <w:r>
        <w:rPr>
          <w:rFonts w:ascii="Arial" w:cs="Arial" w:eastAsia="Arial" w:hAnsi="Arial"/>
          <w:sz w:val="12"/>
          <w:szCs w:val="12"/>
          <w:color w:val="auto"/>
        </w:rPr>
        <w:t>”) issued Accounting Standards Update (“</w:t>
      </w:r>
      <w:r>
        <w:rPr>
          <w:rFonts w:ascii="Arial" w:cs="Arial" w:eastAsia="Arial" w:hAnsi="Arial"/>
          <w:sz w:val="12"/>
          <w:szCs w:val="12"/>
          <w:i w:val="1"/>
          <w:iCs w:val="1"/>
          <w:color w:val="auto"/>
        </w:rPr>
        <w:t>ASU</w:t>
      </w:r>
      <w:r>
        <w:rPr>
          <w:rFonts w:ascii="Arial" w:cs="Arial" w:eastAsia="Arial" w:hAnsi="Arial"/>
          <w:sz w:val="12"/>
          <w:szCs w:val="12"/>
          <w:color w:val="auto"/>
        </w:rPr>
        <w:t xml:space="preserve">”) No.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which supersedes the revenue recognition requirements in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effective date will be the first annual period beginning after December 15, 2016, using one of two retrospective application methods. The Company is currently evaluating the impact on its Consolidated Financial Statements of adopting this ASU.</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 xml:space="preserve">In June 2014, the FASB issued ASU No. 2014-10, </w:t>
      </w:r>
      <w:r>
        <w:rPr>
          <w:rFonts w:ascii="Arial" w:cs="Arial" w:eastAsia="Arial" w:hAnsi="Arial"/>
          <w:sz w:val="12"/>
          <w:szCs w:val="12"/>
          <w:i w:val="1"/>
          <w:iCs w:val="1"/>
          <w:color w:val="auto"/>
        </w:rPr>
        <w:t>Development Stage Entities (Topic 915): Elimination of Certain Financial Reporting Requirements, Including an Amendment to Variable Interest Entities Guidance in Topic 810,</w:t>
      </w:r>
      <w:r>
        <w:rPr>
          <w:rFonts w:ascii="Arial" w:cs="Arial" w:eastAsia="Arial" w:hAnsi="Arial"/>
          <w:sz w:val="12"/>
          <w:szCs w:val="12"/>
          <w:color w:val="auto"/>
        </w:rPr>
        <w:t xml:space="preserve"> </w:t>
      </w:r>
      <w:r>
        <w:rPr>
          <w:rFonts w:ascii="Arial" w:cs="Arial" w:eastAsia="Arial" w:hAnsi="Arial"/>
          <w:sz w:val="12"/>
          <w:szCs w:val="12"/>
          <w:i w:val="1"/>
          <w:iCs w:val="1"/>
          <w:color w:val="auto"/>
        </w:rPr>
        <w:t>Consolidation</w:t>
      </w:r>
      <w:r>
        <w:rPr>
          <w:rFonts w:ascii="Arial" w:cs="Arial" w:eastAsia="Arial" w:hAnsi="Arial"/>
          <w:sz w:val="12"/>
          <w:szCs w:val="12"/>
          <w:color w:val="auto"/>
        </w:rPr>
        <w:t>. The amendments in this ASU remove all incremental financial reporting requirements for development stage entities. Among other changes, this ASU will no longer require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The Company’s adoption of this ASU will result in the elimination of the inception-to-date information currently included in its Consolidated Statements of Operations and Comprehensive Loss, Cash Flows and Stockholders’ Deficit effective with the fiscal year beginning in April 2015.</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Fair Value Measurements</w:t>
      </w:r>
    </w:p>
    <w:p>
      <w:pPr>
        <w:spacing w:after="0" w:line="172"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12" w:lineRule="exact"/>
        <w:rPr>
          <w:sz w:val="20"/>
          <w:szCs w:val="20"/>
          <w:color w:val="auto"/>
        </w:rPr>
      </w:pPr>
    </w:p>
    <w:p>
      <w:pPr>
        <w:ind w:left="680" w:hanging="382"/>
        <w:spacing w:after="0"/>
        <w:tabs>
          <w:tab w:leader="none" w:pos="680" w:val="left"/>
        </w:tabs>
        <w:numPr>
          <w:ilvl w:val="1"/>
          <w:numId w:val="66"/>
        </w:numPr>
        <w:rPr>
          <w:rFonts w:ascii="Arial" w:cs="Arial" w:eastAsia="Arial" w:hAnsi="Arial"/>
          <w:sz w:val="12"/>
          <w:szCs w:val="12"/>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prices (unadjusted) in active markets that are accessible at the measurement date for assets or liabilities. The fair value hierarchy gives the highest priority to Level 1 inputs.</w:t>
      </w:r>
    </w:p>
    <w:p>
      <w:pPr>
        <w:spacing w:after="0" w:line="168" w:lineRule="exact"/>
        <w:rPr>
          <w:rFonts w:ascii="Arial" w:cs="Arial" w:eastAsia="Arial" w:hAnsi="Arial"/>
          <w:sz w:val="12"/>
          <w:szCs w:val="12"/>
          <w:color w:val="auto"/>
        </w:rPr>
      </w:pPr>
    </w:p>
    <w:p>
      <w:pPr>
        <w:ind w:left="660" w:right="20" w:hanging="371"/>
        <w:spacing w:after="0" w:line="276" w:lineRule="auto"/>
        <w:tabs>
          <w:tab w:leader="none" w:pos="660" w:val="left"/>
        </w:tabs>
        <w:numPr>
          <w:ilvl w:val="1"/>
          <w:numId w:val="66"/>
        </w:numPr>
        <w:rPr>
          <w:rFonts w:ascii="Arial" w:cs="Arial" w:eastAsia="Arial" w:hAnsi="Arial"/>
          <w:sz w:val="12"/>
          <w:szCs w:val="12"/>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Level 1 that are observable, either directly or indirectly, such as quoted prices for similar assets or liabilities; quoted prices in markets that are not active; or other inputs that are observable or can</w:t>
      </w:r>
      <w:r>
        <w:rPr>
          <w:rFonts w:ascii="Arial" w:cs="Arial" w:eastAsia="Arial" w:hAnsi="Arial"/>
          <w:sz w:val="12"/>
          <w:szCs w:val="12"/>
          <w:i w:val="1"/>
          <w:iCs w:val="1"/>
          <w:color w:val="auto"/>
        </w:rPr>
        <w:t xml:space="preserve"> </w:t>
      </w:r>
      <w:r>
        <w:rPr>
          <w:rFonts w:ascii="Arial" w:cs="Arial" w:eastAsia="Arial" w:hAnsi="Arial"/>
          <w:sz w:val="12"/>
          <w:szCs w:val="12"/>
          <w:color w:val="auto"/>
        </w:rPr>
        <w:t>be corroborated by observable market data for substantially the full term of the assets or liabilities.</w:t>
      </w:r>
    </w:p>
    <w:p>
      <w:pPr>
        <w:spacing w:after="0" w:line="132" w:lineRule="exact"/>
        <w:rPr>
          <w:rFonts w:ascii="Arial" w:cs="Arial" w:eastAsia="Arial" w:hAnsi="Arial"/>
          <w:sz w:val="12"/>
          <w:szCs w:val="12"/>
          <w:color w:val="auto"/>
        </w:rPr>
      </w:pPr>
    </w:p>
    <w:p>
      <w:pPr>
        <w:ind w:left="640" w:right="20" w:hanging="355"/>
        <w:spacing w:after="0" w:line="276" w:lineRule="auto"/>
        <w:tabs>
          <w:tab w:leader="none" w:pos="640" w:val="left"/>
        </w:tabs>
        <w:numPr>
          <w:ilvl w:val="0"/>
          <w:numId w:val="66"/>
        </w:numPr>
        <w:rPr>
          <w:rFonts w:ascii="Arial" w:cs="Arial" w:eastAsia="Arial" w:hAnsi="Arial"/>
          <w:sz w:val="12"/>
          <w:szCs w:val="12"/>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w:t>
      </w:r>
      <w:r>
        <w:rPr>
          <w:rFonts w:ascii="Arial" w:cs="Arial" w:eastAsia="Arial" w:hAnsi="Arial"/>
          <w:sz w:val="12"/>
          <w:szCs w:val="12"/>
          <w:i w:val="1"/>
          <w:iCs w:val="1"/>
          <w:color w:val="auto"/>
        </w:rPr>
        <w:t xml:space="preserve">i.e., </w:t>
      </w:r>
      <w:r>
        <w:rPr>
          <w:rFonts w:ascii="Arial" w:cs="Arial" w:eastAsia="Arial" w:hAnsi="Arial"/>
          <w:sz w:val="12"/>
          <w:szCs w:val="12"/>
          <w:color w:val="auto"/>
        </w:rPr>
        <w:t>inputs that reflect the reporting entity’s own assumptions about the assumptions that market participants would use in estimating the fair value of an asset or liability) are used when little</w:t>
      </w:r>
      <w:r>
        <w:rPr>
          <w:rFonts w:ascii="Arial" w:cs="Arial" w:eastAsia="Arial" w:hAnsi="Arial"/>
          <w:sz w:val="12"/>
          <w:szCs w:val="12"/>
          <w:i w:val="1"/>
          <w:iCs w:val="1"/>
          <w:color w:val="auto"/>
        </w:rPr>
        <w:t xml:space="preserve"> </w:t>
      </w:r>
      <w:r>
        <w:rPr>
          <w:rFonts w:ascii="Arial" w:cs="Arial" w:eastAsia="Arial" w:hAnsi="Arial"/>
          <w:sz w:val="12"/>
          <w:szCs w:val="12"/>
          <w:color w:val="auto"/>
        </w:rPr>
        <w:t>or no market data is available. The fair value hierarchy gives the lowest priority to Level 3 inputs.</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32" w:name="page133"/>
    <w:bookmarkEnd w:id="132"/>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1"/>
          <w:szCs w:val="11"/>
          <w:color w:val="auto"/>
        </w:rPr>
        <w:t xml:space="preserve">The Company does not use derivative instruments for hedging of market risks or for trading or speculative purposes. In conjunction with the Senior Secured Convertible Promissory Notes and related Exchange Warrant and Investment Warrants issued to Platinum in October 2012, February 2013 and March 2013 (see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xml:space="preserve">), and the potential issuance of the Series A Exchange Warrant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 all pursuant to the October 2012 Agreement, and the Senior Secured Convertible Promissory Note and related warrant issued to Platinum in July 2013, the Company determined that the warrants included certain exercise</w:t>
      </w:r>
      <w:r>
        <w:rPr>
          <w:rFonts w:ascii="Arial" w:cs="Arial" w:eastAsia="Arial" w:hAnsi="Arial"/>
          <w:sz w:val="11"/>
          <w:szCs w:val="11"/>
          <w:i w:val="1"/>
          <w:iCs w:val="1"/>
          <w:color w:val="auto"/>
        </w:rPr>
        <w:t xml:space="preserve"> </w:t>
      </w:r>
      <w:r>
        <w:rPr>
          <w:rFonts w:ascii="Arial" w:cs="Arial" w:eastAsia="Arial" w:hAnsi="Arial"/>
          <w:sz w:val="11"/>
          <w:szCs w:val="11"/>
          <w:color w:val="auto"/>
        </w:rPr>
        <w:t>price adjustment features requiring the warrants to be treated as liabilities, which were recorded at their estimated fair value. The Company determined the fair value of the warrant liability using a Monte Carlo simulation model with Level 3 inputs. Inputs used to determine fair value include the remaining contractual term of the notes,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income or expense in the Consolidated Statements of Operations and Comprehensive Loss for the fiscal years ended March 31, 2014 and 2013.</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fair value hierarchy for liabilities measured at fair value on a recurring basis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2"/>
                <w:szCs w:val="12"/>
                <w:b w:val="1"/>
                <w:bCs w:val="1"/>
                <w:color w:val="auto"/>
              </w:rPr>
              <w:t>Fair Value Measurements at Reporting Date Using</w:t>
            </w: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gridSpan w:val="3"/>
          </w:tcPr>
          <w:p>
            <w:pPr>
              <w:jc w:val="center"/>
              <w:ind w:right="220"/>
              <w:spacing w:after="0" w:line="129" w:lineRule="exact"/>
              <w:rPr>
                <w:sz w:val="20"/>
                <w:szCs w:val="20"/>
                <w:color w:val="auto"/>
              </w:rPr>
            </w:pPr>
            <w:r>
              <w:rPr>
                <w:rFonts w:ascii="Arial" w:cs="Arial" w:eastAsia="Arial" w:hAnsi="Arial"/>
                <w:sz w:val="12"/>
                <w:szCs w:val="12"/>
                <w:b w:val="1"/>
                <w:bCs w:val="1"/>
                <w:color w:val="auto"/>
                <w:w w:val="92"/>
              </w:rPr>
              <w:t>Quoted Prices inActive Markets</w:t>
            </w:r>
          </w:p>
        </w:tc>
        <w:tc>
          <w:tcPr>
            <w:tcW w:w="15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1"/>
              </w:rPr>
              <w:t>Significant Other Observable</w:t>
            </w:r>
          </w:p>
        </w:tc>
        <w:tc>
          <w:tcPr>
            <w:tcW w:w="260" w:type="dxa"/>
            <w:vAlign w:val="bottom"/>
          </w:tcPr>
          <w:p>
            <w:pPr>
              <w:spacing w:after="0"/>
              <w:rPr>
                <w:sz w:val="11"/>
                <w:szCs w:val="11"/>
                <w:color w:val="auto"/>
              </w:rPr>
            </w:pPr>
          </w:p>
        </w:tc>
        <w:tc>
          <w:tcPr>
            <w:tcW w:w="1520" w:type="dxa"/>
            <w:vAlign w:val="bottom"/>
            <w:gridSpan w:val="4"/>
          </w:tcPr>
          <w:p>
            <w:pPr>
              <w:jc w:val="center"/>
              <w:ind w:right="40"/>
              <w:spacing w:after="0" w:line="129" w:lineRule="exact"/>
              <w:rPr>
                <w:sz w:val="20"/>
                <w:szCs w:val="20"/>
                <w:color w:val="auto"/>
              </w:rPr>
            </w:pPr>
            <w:r>
              <w:rPr>
                <w:rFonts w:ascii="Arial" w:cs="Arial" w:eastAsia="Arial" w:hAnsi="Arial"/>
                <w:sz w:val="12"/>
                <w:szCs w:val="12"/>
                <w:b w:val="1"/>
                <w:bCs w:val="1"/>
                <w:color w:val="auto"/>
                <w:w w:val="88"/>
              </w:rPr>
              <w:t>Significant Unobservable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89"/>
              </w:rPr>
              <w:t>forIdentical Assets</w:t>
            </w:r>
          </w:p>
        </w:tc>
        <w:tc>
          <w:tcPr>
            <w:tcW w:w="1560" w:type="dxa"/>
            <w:vAlign w:val="bottom"/>
          </w:tcPr>
          <w:p>
            <w:pPr>
              <w:jc w:val="center"/>
              <w:spacing w:after="0"/>
              <w:rPr>
                <w:sz w:val="20"/>
                <w:szCs w:val="20"/>
                <w:color w:val="auto"/>
              </w:rPr>
            </w:pPr>
            <w:r>
              <w:rPr>
                <w:rFonts w:ascii="Arial" w:cs="Arial" w:eastAsia="Arial" w:hAnsi="Arial"/>
                <w:sz w:val="12"/>
                <w:szCs w:val="12"/>
                <w:b w:val="1"/>
                <w:bCs w:val="1"/>
                <w:color w:val="auto"/>
                <w:w w:val="88"/>
              </w:rPr>
              <w:t>Inputs</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8"/>
              </w:rPr>
              <w:t>Inputs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gridSpan w:val="3"/>
          </w:tcPr>
          <w:p>
            <w:pPr>
              <w:ind w:left="260"/>
              <w:spacing w:after="0"/>
              <w:rPr>
                <w:sz w:val="20"/>
                <w:szCs w:val="20"/>
                <w:color w:val="auto"/>
              </w:rPr>
            </w:pPr>
            <w:r>
              <w:rPr>
                <w:rFonts w:ascii="Arial" w:cs="Arial" w:eastAsia="Arial" w:hAnsi="Arial"/>
                <w:sz w:val="12"/>
                <w:szCs w:val="12"/>
                <w:b w:val="1"/>
                <w:bCs w:val="1"/>
                <w:color w:val="auto"/>
              </w:rPr>
              <w:t>Total Carrying Value</w:t>
            </w:r>
          </w:p>
        </w:tc>
        <w:tc>
          <w:tcPr>
            <w:tcW w:w="360" w:type="dxa"/>
            <w:vAlign w:val="bottom"/>
          </w:tcPr>
          <w:p>
            <w:pPr>
              <w:spacing w:after="0"/>
              <w:rPr>
                <w:sz w:val="14"/>
                <w:szCs w:val="14"/>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w w:val="94"/>
              </w:rPr>
              <w:t>(Level 1)</w:t>
            </w:r>
          </w:p>
        </w:tc>
        <w:tc>
          <w:tcPr>
            <w:tcW w:w="1560" w:type="dxa"/>
            <w:vAlign w:val="bottom"/>
          </w:tcPr>
          <w:p>
            <w:pPr>
              <w:jc w:val="center"/>
              <w:spacing w:after="0"/>
              <w:rPr>
                <w:sz w:val="20"/>
                <w:szCs w:val="20"/>
                <w:color w:val="auto"/>
              </w:rPr>
            </w:pPr>
            <w:r>
              <w:rPr>
                <w:rFonts w:ascii="Arial" w:cs="Arial" w:eastAsia="Arial" w:hAnsi="Arial"/>
                <w:sz w:val="12"/>
                <w:szCs w:val="12"/>
                <w:b w:val="1"/>
                <w:bCs w:val="1"/>
                <w:color w:val="auto"/>
                <w:w w:val="90"/>
              </w:rPr>
              <w:t>(Level 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0"/>
              </w:rPr>
              <w:t>(Level 3)</w:t>
            </w:r>
          </w:p>
        </w:tc>
        <w:tc>
          <w:tcPr>
            <w:tcW w:w="0" w:type="dxa"/>
            <w:vAlign w:val="bottom"/>
          </w:tcPr>
          <w:p>
            <w:pPr>
              <w:spacing w:after="0"/>
              <w:rPr>
                <w:sz w:val="1"/>
                <w:szCs w:val="1"/>
                <w:color w:val="auto"/>
              </w:rPr>
            </w:pPr>
          </w:p>
        </w:tc>
      </w:tr>
      <w:tr>
        <w:trPr>
          <w:trHeight w:val="151"/>
        </w:trPr>
        <w:tc>
          <w:tcPr>
            <w:tcW w:w="3140" w:type="dxa"/>
            <w:vAlign w:val="bottom"/>
            <w:gridSpan w:val="2"/>
          </w:tcPr>
          <w:p>
            <w:pPr>
              <w:spacing w:after="0"/>
              <w:rPr>
                <w:sz w:val="20"/>
                <w:szCs w:val="20"/>
                <w:color w:val="auto"/>
              </w:rPr>
            </w:pPr>
            <w:r>
              <w:rPr>
                <w:rFonts w:ascii="Arial" w:cs="Arial" w:eastAsia="Arial" w:hAnsi="Arial"/>
                <w:sz w:val="12"/>
                <w:szCs w:val="12"/>
                <w:color w:val="auto"/>
              </w:rPr>
              <w:t>March 31, 2014:</w:t>
            </w:r>
          </w:p>
        </w:tc>
        <w:tc>
          <w:tcPr>
            <w:tcW w:w="12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Warrant liability</w:t>
            </w:r>
          </w:p>
        </w:tc>
        <w:tc>
          <w:tcPr>
            <w:tcW w:w="2280" w:type="dxa"/>
            <w:vAlign w:val="bottom"/>
            <w:gridSpan w:val="2"/>
            <w:shd w:val="clear" w:color="auto" w:fill="CCEEFF"/>
          </w:tcPr>
          <w:p>
            <w:pPr>
              <w:jc w:val="right"/>
              <w:ind w:right="945"/>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2"/>
                <w:szCs w:val="12"/>
                <w:color w:val="auto"/>
                <w:w w:val="89"/>
              </w:rPr>
              <w:t>2,973,900</w:t>
            </w:r>
          </w:p>
        </w:tc>
        <w:tc>
          <w:tcPr>
            <w:tcW w:w="360" w:type="dxa"/>
            <w:vAlign w:val="bottom"/>
            <w:shd w:val="clear" w:color="auto" w:fill="CCEEFF"/>
          </w:tcPr>
          <w:p>
            <w:pPr>
              <w:jc w:val="right"/>
              <w:ind w:right="247"/>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1444"/>
              <w:spacing w:after="0"/>
              <w:rPr>
                <w:sz w:val="20"/>
                <w:szCs w:val="20"/>
                <w:color w:val="auto"/>
              </w:rPr>
            </w:pPr>
            <w:r>
              <w:rPr>
                <w:rFonts w:ascii="Arial" w:cs="Arial" w:eastAsia="Arial" w:hAnsi="Arial"/>
                <w:sz w:val="10"/>
                <w:szCs w:val="10"/>
                <w:color w:val="auto"/>
                <w:w w:val="71"/>
              </w:rPr>
              <w:t>$</w:t>
            </w:r>
          </w:p>
        </w:tc>
        <w:tc>
          <w:tcPr>
            <w:tcW w:w="26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6"/>
                <w:szCs w:val="16"/>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2,973,900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20" w:type="dxa"/>
            <w:vAlign w:val="bottom"/>
            <w:tcBorders>
              <w:top w:val="single" w:sz="8" w:color="CCEEFF"/>
            </w:tcBorders>
          </w:tcPr>
          <w:p>
            <w:pPr>
              <w:spacing w:after="0" w:line="120" w:lineRule="exact"/>
              <w:rPr>
                <w:sz w:val="20"/>
                <w:szCs w:val="20"/>
                <w:color w:val="auto"/>
              </w:rPr>
            </w:pPr>
            <w:r>
              <w:rPr>
                <w:rFonts w:ascii="Arial" w:cs="Arial" w:eastAsia="Arial" w:hAnsi="Arial"/>
                <w:sz w:val="12"/>
                <w:szCs w:val="12"/>
                <w:color w:val="auto"/>
              </w:rPr>
              <w:t>March 31, 2013:</w:t>
            </w:r>
          </w:p>
        </w:tc>
        <w:tc>
          <w:tcPr>
            <w:tcW w:w="1220" w:type="dxa"/>
            <w:vAlign w:val="bottom"/>
            <w:tcBorders>
              <w:top w:val="single" w:sz="8" w:color="CCEEFF"/>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Warrant liability</w:t>
            </w:r>
          </w:p>
        </w:tc>
        <w:tc>
          <w:tcPr>
            <w:tcW w:w="1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45"/>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2"/>
                <w:szCs w:val="12"/>
                <w:color w:val="auto"/>
                <w:w w:val="89"/>
              </w:rPr>
              <w:t>6,394,000</w:t>
            </w:r>
          </w:p>
        </w:tc>
        <w:tc>
          <w:tcPr>
            <w:tcW w:w="360" w:type="dxa"/>
            <w:vAlign w:val="bottom"/>
            <w:shd w:val="clear" w:color="auto" w:fill="CCEEFF"/>
          </w:tcPr>
          <w:p>
            <w:pPr>
              <w:jc w:val="right"/>
              <w:ind w:right="247"/>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1444"/>
              <w:spacing w:after="0"/>
              <w:rPr>
                <w:sz w:val="20"/>
                <w:szCs w:val="20"/>
                <w:color w:val="auto"/>
              </w:rPr>
            </w:pPr>
            <w:r>
              <w:rPr>
                <w:rFonts w:ascii="Arial" w:cs="Arial" w:eastAsia="Arial" w:hAnsi="Arial"/>
                <w:sz w:val="10"/>
                <w:szCs w:val="10"/>
                <w:color w:val="auto"/>
                <w:w w:val="71"/>
              </w:rPr>
              <w:t>$</w:t>
            </w:r>
          </w:p>
        </w:tc>
        <w:tc>
          <w:tcPr>
            <w:tcW w:w="26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6,394,000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680" w:type="dxa"/>
            <w:vAlign w:val="bottom"/>
            <w:gridSpan w:val="9"/>
          </w:tcPr>
          <w:p>
            <w:pPr>
              <w:ind w:left="300"/>
              <w:spacing w:after="0"/>
              <w:rPr>
                <w:sz w:val="20"/>
                <w:szCs w:val="20"/>
                <w:color w:val="auto"/>
              </w:rPr>
            </w:pPr>
            <w:r>
              <w:rPr>
                <w:rFonts w:ascii="Arial" w:cs="Arial" w:eastAsia="Arial" w:hAnsi="Arial"/>
                <w:sz w:val="12"/>
                <w:szCs w:val="12"/>
                <w:color w:val="auto"/>
                <w:w w:val="91"/>
              </w:rPr>
              <w:t>During the fiscal years ended March 31, 2014 and 2013, there were no significant changes to the valuation models used for purposes of determining the fair value of the Level 3 warrant liability.</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400" w:type="dxa"/>
            <w:vAlign w:val="bottom"/>
            <w:gridSpan w:val="3"/>
          </w:tcPr>
          <w:p>
            <w:pPr>
              <w:ind w:left="300"/>
              <w:spacing w:after="0"/>
              <w:rPr>
                <w:sz w:val="20"/>
                <w:szCs w:val="20"/>
                <w:color w:val="auto"/>
              </w:rPr>
            </w:pPr>
            <w:r>
              <w:rPr>
                <w:rFonts w:ascii="Arial" w:cs="Arial" w:eastAsia="Arial" w:hAnsi="Arial"/>
                <w:sz w:val="12"/>
                <w:szCs w:val="12"/>
                <w:color w:val="auto"/>
              </w:rPr>
              <w:t>The changes in Level 3 liabilities measured at fair value on a recurring basis are as follows: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7"/>
              </w:rPr>
              <w:t>Warrant Liability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2012</w:t>
            </w: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200" w:type="dxa"/>
            <w:vAlign w:val="bottom"/>
            <w:gridSpan w:val="5"/>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00" w:type="dxa"/>
            <w:vAlign w:val="bottom"/>
            <w:gridSpan w:val="5"/>
            <w:shd w:val="clear" w:color="auto" w:fill="CCEEFF"/>
          </w:tcPr>
          <w:p>
            <w:pPr>
              <w:spacing w:after="0"/>
              <w:rPr>
                <w:sz w:val="20"/>
                <w:szCs w:val="20"/>
                <w:color w:val="auto"/>
              </w:rPr>
            </w:pPr>
            <w:r>
              <w:rPr>
                <w:rFonts w:ascii="Arial" w:cs="Arial" w:eastAsia="Arial" w:hAnsi="Arial"/>
                <w:sz w:val="12"/>
                <w:szCs w:val="12"/>
                <w:color w:val="auto"/>
                <w:w w:val="90"/>
              </w:rPr>
              <w:t>Recognition of warrant liability upon issuance of Exchange and Investment Warrants to Platinum under October 2012 Agreement</w:t>
            </w: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1,690,000</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20" w:type="dxa"/>
            <w:vAlign w:val="bottom"/>
            <w:gridSpan w:val="8"/>
          </w:tcPr>
          <w:p>
            <w:pPr>
              <w:spacing w:after="0"/>
              <w:rPr>
                <w:sz w:val="20"/>
                <w:szCs w:val="20"/>
                <w:color w:val="auto"/>
              </w:rPr>
            </w:pPr>
            <w:r>
              <w:rPr>
                <w:rFonts w:ascii="Arial" w:cs="Arial" w:eastAsia="Arial" w:hAnsi="Arial"/>
                <w:sz w:val="12"/>
                <w:szCs w:val="12"/>
                <w:color w:val="auto"/>
              </w:rPr>
              <w:t>Recognition of warrant liability in connection with Series A Exchange Warrant potentially issuable to Platinum under October 2012 Agreement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3,068,200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Mark to market loss included in net loss</w:t>
            </w:r>
          </w:p>
        </w:tc>
        <w:tc>
          <w:tcPr>
            <w:tcW w:w="12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left w:val="single" w:sz="8" w:color="CCEEFF"/>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1,635,800</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2013</w:t>
            </w: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6,394,000</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560" w:type="dxa"/>
            <w:vAlign w:val="bottom"/>
            <w:gridSpan w:val="6"/>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560" w:type="dxa"/>
            <w:vAlign w:val="bottom"/>
            <w:gridSpan w:val="6"/>
            <w:shd w:val="clear" w:color="auto" w:fill="CCEEFF"/>
          </w:tcPr>
          <w:p>
            <w:pPr>
              <w:spacing w:after="0"/>
              <w:rPr>
                <w:sz w:val="20"/>
                <w:szCs w:val="20"/>
                <w:color w:val="auto"/>
              </w:rPr>
            </w:pPr>
            <w:r>
              <w:rPr>
                <w:rFonts w:ascii="Arial" w:cs="Arial" w:eastAsia="Arial" w:hAnsi="Arial"/>
                <w:sz w:val="12"/>
                <w:szCs w:val="12"/>
                <w:color w:val="auto"/>
                <w:w w:val="91"/>
              </w:rPr>
              <w:t>Recognition of warrant liability upon issuance of Senior Secured Convertible Promissory Note and warrant to Platinum on July 26, 2013</w:t>
            </w: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20" w:type="dxa"/>
            <w:vAlign w:val="bottom"/>
          </w:tcPr>
          <w:p>
            <w:pPr>
              <w:spacing w:after="0"/>
              <w:rPr>
                <w:sz w:val="20"/>
                <w:szCs w:val="20"/>
                <w:color w:val="auto"/>
              </w:rPr>
            </w:pPr>
            <w:r>
              <w:rPr>
                <w:rFonts w:ascii="Arial" w:cs="Arial" w:eastAsia="Arial" w:hAnsi="Arial"/>
                <w:sz w:val="12"/>
                <w:szCs w:val="12"/>
                <w:color w:val="auto"/>
              </w:rPr>
              <w:t>Mark to market gain included in net loss</w:t>
            </w: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(3,566,900)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tcPr>
          <w:p>
            <w:pPr>
              <w:spacing w:after="0"/>
              <w:rPr>
                <w:sz w:val="20"/>
                <w:szCs w:val="20"/>
                <w:color w:val="auto"/>
              </w:rPr>
            </w:pPr>
            <w:r>
              <w:rPr>
                <w:rFonts w:ascii="Arial" w:cs="Arial" w:eastAsia="Arial" w:hAnsi="Arial"/>
                <w:sz w:val="12"/>
                <w:szCs w:val="12"/>
                <w:color w:val="auto"/>
              </w:rPr>
              <w:t>Balance at March 31, 2014</w:t>
            </w: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2,973,900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gridSpan w:val="3"/>
            <w:vMerge w:val="restart"/>
          </w:tcPr>
          <w:p>
            <w:pPr>
              <w:ind w:left="300"/>
              <w:spacing w:after="0"/>
              <w:rPr>
                <w:sz w:val="20"/>
                <w:szCs w:val="20"/>
                <w:color w:val="auto"/>
              </w:rPr>
            </w:pPr>
            <w:r>
              <w:rPr>
                <w:rFonts w:ascii="Arial" w:cs="Arial" w:eastAsia="Arial" w:hAnsi="Arial"/>
                <w:sz w:val="12"/>
                <w:szCs w:val="12"/>
                <w:color w:val="auto"/>
                <w:w w:val="91"/>
              </w:rPr>
              <w:t>No assets or other liabilities were measured on a recurring basis at fair value at March 31, 2014 or 2013.</w:t>
            </w: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400" w:type="dxa"/>
            <w:vAlign w:val="bottom"/>
            <w:gridSpan w:val="3"/>
            <w:vMerge w:val="continue"/>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F-18</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12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3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15"/>
        </w:trPr>
        <w:tc>
          <w:tcPr>
            <w:tcW w:w="6180" w:type="dxa"/>
            <w:vAlign w:val="bottom"/>
            <w:gridSpan w:val="3"/>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180" w:type="dxa"/>
            <w:vAlign w:val="bottom"/>
            <w:gridSpan w:val="3"/>
          </w:tcPr>
          <w:p>
            <w:pPr>
              <w:spacing w:after="0"/>
              <w:rPr>
                <w:sz w:val="20"/>
                <w:szCs w:val="20"/>
                <w:color w:val="auto"/>
              </w:rPr>
            </w:pPr>
            <w:r>
              <w:rPr>
                <w:rFonts w:ascii="Arial" w:cs="Arial" w:eastAsia="Arial" w:hAnsi="Arial"/>
                <w:sz w:val="12"/>
                <w:szCs w:val="12"/>
                <w:b w:val="1"/>
                <w:bCs w:val="1"/>
                <w:color w:val="auto"/>
              </w:rPr>
              <w:t>5. Prepaid Expenses and Other Current Assets</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160" w:type="dxa"/>
            <w:vAlign w:val="bottom"/>
            <w:gridSpan w:val="2"/>
          </w:tcPr>
          <w:p>
            <w:pPr>
              <w:ind w:left="400"/>
              <w:spacing w:after="0"/>
              <w:rPr>
                <w:sz w:val="20"/>
                <w:szCs w:val="20"/>
                <w:color w:val="auto"/>
              </w:rPr>
            </w:pPr>
            <w:r>
              <w:rPr>
                <w:rFonts w:ascii="Arial" w:cs="Arial" w:eastAsia="Arial" w:hAnsi="Arial"/>
                <w:sz w:val="12"/>
                <w:szCs w:val="12"/>
                <w:color w:val="auto"/>
              </w:rPr>
              <w:t>Prepaid expenses and other current assets consist of the following:</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tcPr>
          <w:p>
            <w:pPr>
              <w:ind w:left="260"/>
              <w:spacing w:after="0"/>
              <w:rPr>
                <w:sz w:val="20"/>
                <w:szCs w:val="20"/>
                <w:color w:val="auto"/>
              </w:rPr>
            </w:pPr>
            <w:r>
              <w:rPr>
                <w:rFonts w:ascii="Arial" w:cs="Arial" w:eastAsia="Arial" w:hAnsi="Arial"/>
                <w:sz w:val="12"/>
                <w:szCs w:val="12"/>
                <w:color w:val="auto"/>
              </w:rPr>
              <w:t>March 31,</w:t>
            </w: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2014</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2013</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Insurance</w:t>
            </w: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6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21,800</w:t>
            </w:r>
          </w:p>
        </w:tc>
        <w:tc>
          <w:tcPr>
            <w:tcW w:w="40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spacing w:after="0"/>
              <w:rPr>
                <w:sz w:val="12"/>
                <w:szCs w:val="12"/>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2"/>
              </w:rPr>
              <w:t>19,700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60" w:type="dxa"/>
            <w:vAlign w:val="bottom"/>
            <w:gridSpan w:val="2"/>
          </w:tcPr>
          <w:p>
            <w:pPr>
              <w:spacing w:after="0"/>
              <w:rPr>
                <w:sz w:val="20"/>
                <w:szCs w:val="20"/>
                <w:color w:val="auto"/>
              </w:rPr>
            </w:pPr>
            <w:r>
              <w:rPr>
                <w:rFonts w:ascii="Arial" w:cs="Arial" w:eastAsia="Arial" w:hAnsi="Arial"/>
                <w:sz w:val="12"/>
                <w:szCs w:val="12"/>
                <w:color w:val="auto"/>
              </w:rPr>
              <w:t>Legal fees</w:t>
            </w: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3,400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3,400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160" w:type="dxa"/>
            <w:vAlign w:val="bottom"/>
            <w:gridSpan w:val="2"/>
          </w:tcPr>
          <w:p>
            <w:pPr>
              <w:spacing w:after="0"/>
              <w:rPr>
                <w:sz w:val="20"/>
                <w:szCs w:val="20"/>
                <w:color w:val="auto"/>
              </w:rPr>
            </w:pPr>
            <w:r>
              <w:rPr>
                <w:rFonts w:ascii="Arial" w:cs="Arial" w:eastAsia="Arial" w:hAnsi="Arial"/>
                <w:sz w:val="12"/>
                <w:szCs w:val="12"/>
                <w:color w:val="auto"/>
              </w:rPr>
              <w:t>Interest receivable on note receivable from sale of common stock</w:t>
            </w: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2,800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Technology license fees and all other</w:t>
            </w: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12,500</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5520" w:type="dxa"/>
            <w:vAlign w:val="bottom"/>
            <w:tcBorders>
              <w:top w:val="single" w:sz="8" w:color="CCEE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65"/>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40,500</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spacing w:after="0"/>
              <w:rPr>
                <w:sz w:val="14"/>
                <w:szCs w:val="14"/>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2"/>
              </w:rPr>
              <w:t>33,700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6180" w:type="dxa"/>
            <w:vAlign w:val="bottom"/>
            <w:gridSpan w:val="3"/>
          </w:tcPr>
          <w:p>
            <w:pPr>
              <w:spacing w:after="0"/>
              <w:rPr>
                <w:sz w:val="20"/>
                <w:szCs w:val="20"/>
                <w:color w:val="auto"/>
              </w:rPr>
            </w:pPr>
            <w:r>
              <w:rPr>
                <w:rFonts w:ascii="Arial" w:cs="Arial" w:eastAsia="Arial" w:hAnsi="Arial"/>
                <w:sz w:val="12"/>
                <w:szCs w:val="12"/>
                <w:b w:val="1"/>
                <w:bCs w:val="1"/>
                <w:color w:val="auto"/>
              </w:rPr>
              <w:t>6. Property and Equipment</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160" w:type="dxa"/>
            <w:vAlign w:val="bottom"/>
            <w:gridSpan w:val="2"/>
          </w:tcPr>
          <w:p>
            <w:pPr>
              <w:ind w:left="400"/>
              <w:spacing w:after="0"/>
              <w:rPr>
                <w:sz w:val="20"/>
                <w:szCs w:val="20"/>
                <w:color w:val="auto"/>
              </w:rPr>
            </w:pPr>
            <w:r>
              <w:rPr>
                <w:rFonts w:ascii="Arial" w:cs="Arial" w:eastAsia="Arial" w:hAnsi="Arial"/>
                <w:sz w:val="12"/>
                <w:szCs w:val="12"/>
                <w:color w:val="auto"/>
              </w:rPr>
              <w:t>Property and equipment consists of the following:</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2"/>
                <w:szCs w:val="12"/>
                <w:color w:val="auto"/>
              </w:rPr>
              <w:t>March 31,</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2"/>
                <w:szCs w:val="12"/>
                <w:color w:val="auto"/>
                <w:w w:val="89"/>
              </w:rPr>
              <w:t>2013</w:t>
            </w:r>
          </w:p>
        </w:tc>
        <w:tc>
          <w:tcPr>
            <w:tcW w:w="5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Laboratory equipment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653,600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649,500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60" w:type="dxa"/>
            <w:vAlign w:val="bottom"/>
            <w:gridSpan w:val="2"/>
          </w:tcPr>
          <w:p>
            <w:pPr>
              <w:spacing w:after="0"/>
              <w:rPr>
                <w:sz w:val="20"/>
                <w:szCs w:val="20"/>
                <w:color w:val="auto"/>
              </w:rPr>
            </w:pPr>
            <w:r>
              <w:rPr>
                <w:rFonts w:ascii="Arial" w:cs="Arial" w:eastAsia="Arial" w:hAnsi="Arial"/>
                <w:sz w:val="12"/>
                <w:szCs w:val="12"/>
                <w:color w:val="auto"/>
              </w:rPr>
              <w:t>Tenant improvements</w:t>
            </w: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27,000</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Computers and network equipment</w:t>
            </w: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32,100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60" w:type="dxa"/>
            <w:vAlign w:val="bottom"/>
            <w:gridSpan w:val="2"/>
          </w:tcPr>
          <w:p>
            <w:pPr>
              <w:spacing w:after="0"/>
              <w:rPr>
                <w:sz w:val="20"/>
                <w:szCs w:val="20"/>
                <w:color w:val="auto"/>
              </w:rPr>
            </w:pPr>
            <w:r>
              <w:rPr>
                <w:rFonts w:ascii="Arial" w:cs="Arial" w:eastAsia="Arial" w:hAnsi="Arial"/>
                <w:sz w:val="12"/>
                <w:szCs w:val="12"/>
                <w:color w:val="auto"/>
              </w:rPr>
              <w:t>Office furniture and equipment</w:t>
            </w: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69,600</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69,600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782,300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732,000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Accumulated depreciation and amortization</w:t>
            </w: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(606,000</w:t>
            </w:r>
          </w:p>
        </w:tc>
        <w:tc>
          <w:tcPr>
            <w:tcW w:w="840" w:type="dxa"/>
            <w:vAlign w:val="bottom"/>
            <w:gridSpan w:val="2"/>
            <w:shd w:val="clear" w:color="auto" w:fill="CCEEFF"/>
          </w:tcPr>
          <w:p>
            <w:pPr>
              <w:jc w:val="right"/>
              <w:ind w:right="42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(551,300</w:t>
            </w:r>
          </w:p>
        </w:tc>
        <w:tc>
          <w:tcPr>
            <w:tcW w:w="4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5520" w:type="dxa"/>
            <w:vAlign w:val="bottom"/>
            <w:tcBorders>
              <w:top w:val="single" w:sz="8" w:color="CCEE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176,300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180,700</w:t>
            </w:r>
          </w:p>
        </w:tc>
        <w:tc>
          <w:tcPr>
            <w:tcW w:w="3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160" w:type="dxa"/>
            <w:vAlign w:val="bottom"/>
            <w:gridSpan w:val="2"/>
          </w:tcPr>
          <w:p>
            <w:pPr>
              <w:ind w:left="400"/>
              <w:spacing w:after="0"/>
              <w:rPr>
                <w:sz w:val="20"/>
                <w:szCs w:val="20"/>
                <w:color w:val="auto"/>
              </w:rPr>
            </w:pPr>
            <w:r>
              <w:rPr>
                <w:rFonts w:ascii="Arial" w:cs="Arial" w:eastAsia="Arial" w:hAnsi="Arial"/>
                <w:sz w:val="12"/>
                <w:szCs w:val="12"/>
                <w:color w:val="auto"/>
                <w:w w:val="91"/>
              </w:rPr>
              <w:t>In connection with the issuance of Senior Secured Convertible Promissory Notes to Platinum in July and August 2012,</w:t>
            </w:r>
          </w:p>
        </w:tc>
        <w:tc>
          <w:tcPr>
            <w:tcW w:w="5300" w:type="dxa"/>
            <w:vAlign w:val="bottom"/>
            <w:gridSpan w:val="14"/>
          </w:tcPr>
          <w:p>
            <w:pPr>
              <w:jc w:val="right"/>
              <w:spacing w:after="0"/>
              <w:rPr>
                <w:sz w:val="20"/>
                <w:szCs w:val="20"/>
                <w:color w:val="auto"/>
              </w:rPr>
            </w:pPr>
            <w:r>
              <w:rPr>
                <w:rFonts w:ascii="Arial" w:cs="Arial" w:eastAsia="Arial" w:hAnsi="Arial"/>
                <w:sz w:val="12"/>
                <w:szCs w:val="12"/>
                <w:color w:val="auto"/>
                <w:w w:val="91"/>
              </w:rPr>
              <w:t>and under the October 2012 Agreement with Platinum, the Company entered into a Security Agreement with</w:t>
            </w:r>
          </w:p>
        </w:tc>
        <w:tc>
          <w:tcPr>
            <w:tcW w:w="0" w:type="dxa"/>
            <w:vAlign w:val="bottom"/>
          </w:tcPr>
          <w:p>
            <w:pPr>
              <w:spacing w:after="0"/>
              <w:rPr>
                <w:sz w:val="1"/>
                <w:szCs w:val="1"/>
                <w:color w:val="auto"/>
              </w:rPr>
            </w:pPr>
          </w:p>
        </w:tc>
      </w:tr>
    </w:tbl>
    <w:p>
      <w:pPr>
        <w:jc w:val="both"/>
        <w:spacing w:after="0" w:line="261" w:lineRule="auto"/>
        <w:rPr>
          <w:sz w:val="20"/>
          <w:szCs w:val="20"/>
          <w:color w:val="auto"/>
        </w:rPr>
      </w:pPr>
      <w:r>
        <w:rPr>
          <w:rFonts w:ascii="Arial" w:cs="Arial" w:eastAsia="Arial" w:hAnsi="Arial"/>
          <w:sz w:val="12"/>
          <w:szCs w:val="12"/>
          <w:color w:val="auto"/>
        </w:rPr>
        <w:t xml:space="preserve">Platinum under which the repayment of all amounts due under the terms of the various Senior Secured Convertible Promissory Notes is secured by the Company’s assets, including its tangible and intangible personal property, licenses, patent licenses, trademarks and trademark licenses (see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AV-101 Acquisition</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November 2003, pursuant to an Agreement and Plan of Merger (the “</w:t>
      </w:r>
      <w:r>
        <w:rPr>
          <w:rFonts w:ascii="Arial" w:cs="Arial" w:eastAsia="Arial" w:hAnsi="Arial"/>
          <w:sz w:val="12"/>
          <w:szCs w:val="12"/>
          <w:i w:val="1"/>
          <w:iCs w:val="1"/>
          <w:color w:val="auto"/>
        </w:rPr>
        <w:t>Artemis Agreement</w:t>
      </w:r>
      <w:r>
        <w:rPr>
          <w:rFonts w:ascii="Arial" w:cs="Arial" w:eastAsia="Arial" w:hAnsi="Arial"/>
          <w:sz w:val="12"/>
          <w:szCs w:val="12"/>
          <w:color w:val="auto"/>
        </w:rPr>
        <w:t>”), the Company acquired Artemis Neurosciences (“</w:t>
      </w:r>
      <w:r>
        <w:rPr>
          <w:rFonts w:ascii="Arial" w:cs="Arial" w:eastAsia="Arial" w:hAnsi="Arial"/>
          <w:sz w:val="12"/>
          <w:szCs w:val="12"/>
          <w:i w:val="1"/>
          <w:iCs w:val="1"/>
          <w:color w:val="auto"/>
        </w:rPr>
        <w:t>Artemis</w:t>
      </w:r>
      <w:r>
        <w:rPr>
          <w:rFonts w:ascii="Arial" w:cs="Arial" w:eastAsia="Arial" w:hAnsi="Arial"/>
          <w:sz w:val="12"/>
          <w:szCs w:val="12"/>
          <w:color w:val="auto"/>
        </w:rPr>
        <w:t>”), a privately-held company also in the development stage, for the purpose of acquiring exclusive licenses to patents and other intellectual property related to the use and function of AV-101, a prodrug candidate then in nonclinical development, with the potential to treat neuropathic pain, depression, and other neurological diseases and disorders, epilepsy, Huntington’s disease and Parkinson’s disease. Pursuant to the Artemis Agreement, all shares of Artemis common stock were converted into shares of VistaGen California’s Series B-1 Preferred Stock, resulting in VistaGen California’s pre-merger issuance of 1,356,750 shares of its Series B-1 Preferred Stock, valued, pre-merger, at $5.545 per share, resulting in the pre-merger purchase price of all outstanding shares of Artemis of $7,523,200. The total purchase price was allocated to AV-101 acquired in-process research and development and was expensed concurrent with the Artemis acquisition, since AV-101 required further research and development before the Company could commence clinical trials and did not have any proven alternative future uses.</w:t>
      </w:r>
    </w:p>
    <w:p>
      <w:pPr>
        <w:spacing w:after="0" w:line="12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To date, the Company has received an aggregate of $8.8 million from the NIH for non-clinical and clinical development of AV-101. The Company successfully completed a Phase 1a clinical trial of AV-101 during the fiscal year ended March 31, 2012 and successfully completed a Phase 1b clinical trial of AV-101 in the fiscal year ended March 31, 2013.</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134" w:name="page135"/>
    <w:bookmarkEnd w:id="134"/>
    <w:tbl>
      <w:tblPr>
        <w:tblLayout w:type="fixed"/>
        <w:tblInd w:w="8" w:type="dxa"/>
        <w:tblCellMar>
          <w:top w:w="0" w:type="dxa"/>
          <w:left w:w="0" w:type="dxa"/>
          <w:bottom w:w="0" w:type="dxa"/>
          <w:right w:w="0" w:type="dxa"/>
        </w:tblCellMar>
      </w:tblPr>
      <w:tr>
        <w:trPr>
          <w:trHeight w:val="115"/>
        </w:trPr>
        <w:tc>
          <w:tcPr>
            <w:tcW w:w="3160" w:type="dxa"/>
            <w:vAlign w:val="bottom"/>
            <w:gridSpan w:val="3"/>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3160" w:type="dxa"/>
            <w:vAlign w:val="bottom"/>
            <w:gridSpan w:val="3"/>
          </w:tcPr>
          <w:p>
            <w:pPr>
              <w:spacing w:after="0"/>
              <w:rPr>
                <w:sz w:val="20"/>
                <w:szCs w:val="20"/>
                <w:color w:val="auto"/>
              </w:rPr>
            </w:pPr>
            <w:r>
              <w:rPr>
                <w:rFonts w:ascii="Arial" w:cs="Arial" w:eastAsia="Arial" w:hAnsi="Arial"/>
                <w:sz w:val="12"/>
                <w:szCs w:val="12"/>
                <w:b w:val="1"/>
                <w:bCs w:val="1"/>
                <w:color w:val="auto"/>
              </w:rPr>
              <w:t>8. Accrued Expenses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140" w:type="dxa"/>
            <w:vAlign w:val="bottom"/>
            <w:gridSpan w:val="2"/>
          </w:tcPr>
          <w:p>
            <w:pPr>
              <w:ind w:left="400"/>
              <w:spacing w:after="0"/>
              <w:rPr>
                <w:sz w:val="20"/>
                <w:szCs w:val="20"/>
                <w:color w:val="auto"/>
              </w:rPr>
            </w:pPr>
            <w:r>
              <w:rPr>
                <w:rFonts w:ascii="Arial" w:cs="Arial" w:eastAsia="Arial" w:hAnsi="Arial"/>
                <w:sz w:val="12"/>
                <w:szCs w:val="12"/>
                <w:color w:val="auto"/>
              </w:rPr>
              <w:t>Accrued expenses consist of:</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2014</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professional services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135,700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color w:val="auto"/>
              </w:rPr>
              <w:t>Accrued compensation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489,900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219,300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royalties and license fees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color w:val="auto"/>
              </w:rPr>
              <w:t>All other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30,800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625,600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342,900</w:t>
            </w:r>
          </w:p>
        </w:tc>
        <w:tc>
          <w:tcPr>
            <w:tcW w:w="0" w:type="dxa"/>
            <w:vAlign w:val="bottom"/>
          </w:tcPr>
          <w:p>
            <w:pPr>
              <w:spacing w:after="0"/>
              <w:rPr>
                <w:sz w:val="1"/>
                <w:szCs w:val="1"/>
                <w:color w:val="auto"/>
              </w:rPr>
            </w:pPr>
          </w:p>
        </w:tc>
      </w:tr>
      <w:tr>
        <w:trPr>
          <w:trHeight w:val="20"/>
        </w:trPr>
        <w:tc>
          <w:tcPr>
            <w:tcW w:w="316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94"/>
              </w:rPr>
              <w:t>9. Convertible Promissory Notes and Other Notes Payable</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1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480" w:type="dxa"/>
            <w:vAlign w:val="bottom"/>
            <w:gridSpan w:val="10"/>
          </w:tcPr>
          <w:p>
            <w:pPr>
              <w:ind w:left="560"/>
              <w:spacing w:after="0"/>
              <w:rPr>
                <w:sz w:val="20"/>
                <w:szCs w:val="20"/>
                <w:color w:val="auto"/>
              </w:rPr>
            </w:pPr>
            <w:r>
              <w:rPr>
                <w:rFonts w:ascii="Arial" w:cs="Arial" w:eastAsia="Arial" w:hAnsi="Arial"/>
                <w:sz w:val="12"/>
                <w:szCs w:val="12"/>
                <w:color w:val="auto"/>
                <w:w w:val="91"/>
              </w:rPr>
              <w:t>The following table summarizes the components of the Company’s convertible promissory notes and other notes payable:</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93"/>
              </w:rPr>
              <w:t>March 31, 2014</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w w:val="95"/>
              </w:rPr>
              <w:t>March 31, 2013</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600"/>
              <w:spacing w:after="0" w:line="133" w:lineRule="exact"/>
              <w:rPr>
                <w:sz w:val="20"/>
                <w:szCs w:val="20"/>
                <w:color w:val="auto"/>
              </w:rPr>
            </w:pPr>
            <w:r>
              <w:rPr>
                <w:rFonts w:ascii="Arial" w:cs="Arial" w:eastAsia="Arial" w:hAnsi="Arial"/>
                <w:sz w:val="12"/>
                <w:szCs w:val="12"/>
                <w:color w:val="auto"/>
              </w:rPr>
              <w:t>Principal</w:t>
            </w:r>
          </w:p>
        </w:tc>
        <w:tc>
          <w:tcPr>
            <w:tcW w:w="120" w:type="dxa"/>
            <w:vAlign w:val="bottom"/>
          </w:tcPr>
          <w:p>
            <w:pPr>
              <w:spacing w:after="0"/>
              <w:rPr>
                <w:sz w:val="11"/>
                <w:szCs w:val="11"/>
                <w:color w:val="auto"/>
              </w:rPr>
            </w:pPr>
          </w:p>
        </w:tc>
        <w:tc>
          <w:tcPr>
            <w:tcW w:w="1260" w:type="dxa"/>
            <w:vAlign w:val="bottom"/>
            <w:gridSpan w:val="2"/>
          </w:tcPr>
          <w:p>
            <w:pPr>
              <w:jc w:val="center"/>
              <w:ind w:right="340"/>
              <w:spacing w:after="0" w:line="133" w:lineRule="exact"/>
              <w:rPr>
                <w:sz w:val="20"/>
                <w:szCs w:val="20"/>
                <w:color w:val="auto"/>
              </w:rPr>
            </w:pPr>
            <w:r>
              <w:rPr>
                <w:rFonts w:ascii="Arial" w:cs="Arial" w:eastAsia="Arial" w:hAnsi="Arial"/>
                <w:sz w:val="12"/>
                <w:szCs w:val="12"/>
                <w:color w:val="auto"/>
                <w:w w:val="90"/>
              </w:rPr>
              <w:t>Accrued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right"/>
              <w:ind w:right="560"/>
              <w:spacing w:after="0" w:line="133" w:lineRule="exact"/>
              <w:rPr>
                <w:sz w:val="20"/>
                <w:szCs w:val="20"/>
                <w:color w:val="auto"/>
              </w:rPr>
            </w:pPr>
            <w:r>
              <w:rPr>
                <w:rFonts w:ascii="Arial" w:cs="Arial" w:eastAsia="Arial" w:hAnsi="Arial"/>
                <w:sz w:val="12"/>
                <w:szCs w:val="12"/>
                <w:color w:val="auto"/>
              </w:rPr>
              <w:t>Principal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ind w:right="580"/>
              <w:spacing w:after="0" w:line="133" w:lineRule="exact"/>
              <w:rPr>
                <w:sz w:val="20"/>
                <w:szCs w:val="20"/>
                <w:color w:val="auto"/>
              </w:rPr>
            </w:pPr>
            <w:r>
              <w:rPr>
                <w:rFonts w:ascii="Arial" w:cs="Arial" w:eastAsia="Arial" w:hAnsi="Arial"/>
                <w:sz w:val="12"/>
                <w:szCs w:val="12"/>
                <w:color w:val="auto"/>
              </w:rPr>
              <w:t>Accrued</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2"/>
                <w:szCs w:val="12"/>
                <w:color w:val="auto"/>
              </w:rPr>
              <w:t>Balance</w:t>
            </w:r>
          </w:p>
        </w:tc>
        <w:tc>
          <w:tcPr>
            <w:tcW w:w="12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Interest</w:t>
            </w:r>
          </w:p>
        </w:tc>
        <w:tc>
          <w:tcPr>
            <w:tcW w:w="400" w:type="dxa"/>
            <w:vAlign w:val="bottom"/>
          </w:tcPr>
          <w:p>
            <w:pPr>
              <w:spacing w:after="0"/>
              <w:rPr>
                <w:sz w:val="13"/>
                <w:szCs w:val="13"/>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2"/>
                <w:szCs w:val="12"/>
                <w:color w:val="auto"/>
              </w:rPr>
              <w:t>Balance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2"/>
                <w:szCs w:val="12"/>
                <w:color w:val="auto"/>
              </w:rPr>
              <w:t>Interest</w:t>
            </w:r>
          </w:p>
        </w:tc>
        <w:tc>
          <w:tcPr>
            <w:tcW w:w="280" w:type="dxa"/>
            <w:vAlign w:val="bottom"/>
          </w:tcPr>
          <w:p>
            <w:pPr>
              <w:spacing w:after="0"/>
              <w:rPr>
                <w:sz w:val="13"/>
                <w:szCs w:val="13"/>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3"/>
        </w:trPr>
        <w:tc>
          <w:tcPr>
            <w:tcW w:w="3160" w:type="dxa"/>
            <w:vAlign w:val="bottom"/>
            <w:gridSpan w:val="3"/>
          </w:tcPr>
          <w:p>
            <w:pPr>
              <w:spacing w:after="0" w:line="133" w:lineRule="exact"/>
              <w:rPr>
                <w:sz w:val="20"/>
                <w:szCs w:val="20"/>
                <w:color w:val="auto"/>
              </w:rPr>
            </w:pPr>
            <w:r>
              <w:rPr>
                <w:rFonts w:ascii="Arial" w:cs="Arial" w:eastAsia="Arial" w:hAnsi="Arial"/>
                <w:sz w:val="12"/>
                <w:szCs w:val="12"/>
                <w:b w:val="1"/>
                <w:bCs w:val="1"/>
                <w:i w:val="1"/>
                <w:iCs w:val="1"/>
                <w:color w:val="auto"/>
                <w:w w:val="90"/>
              </w:rPr>
              <w:t>Senior Secured 10% Convertible Promissory Notes issued to</w:t>
            </w: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6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Platinum:</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Exchange Note issued on October 11, 2012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1,272,600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203,400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1,476,000</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1,272,600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61,700</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1,334,300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Investment Note issued on October 11, 2012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500,000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79,900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579,900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500,000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24,200</w:t>
            </w: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524,200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Investment Note issued on October 19, 2012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78,600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578,600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500,000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23,000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523,000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Investment Note issued on February 22, 2013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29,400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279,400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250,000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2,600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252,600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Investment Note issued on March 12, 2013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750,000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84,100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834,100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750,000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754,700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3,272,600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475,400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3,748,000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3,272,600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3,388,800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Convertible promissory note issued on July 26, 2013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17,700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267,700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Total Senior notes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3,522,600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4,015,700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3,272,600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3,388,800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Aggregate 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(2,085,900)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(2,085,900)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(1,963,100)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(1,963,100)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Net Senior notes (non-current)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1,436,700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1,929,800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1,309,500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1,425,700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25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10% Convertible Promissory Notes (Unit Notes)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2013/2014 Unit Notes, due 7/31/14</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1,007,500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1,043,200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2014 Unit Note, due 3/31/15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50,200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1,057,500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35,900</w:t>
            </w: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1,093,400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Note discounts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(697,400)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(697,400)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Net convertible notes (all current)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360,100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35,900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396,000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25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Notes Payable to unrelated parties: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7.5% Notes payable to service providers for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accounts payable converted to notes payable:</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Burr, Pilger, Mayer</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90,400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6,800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97,200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90,400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90,400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Desjardins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178,600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192,700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194,100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194,900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McCarthy Tetrault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360,900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24,800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385,700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403,100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404,800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August 2012 Morrison &amp; Foerster Note A</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918,200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87,900</w:t>
            </w: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1,006,100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937,400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937,400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line="144" w:lineRule="exact"/>
              <w:rPr>
                <w:sz w:val="20"/>
                <w:szCs w:val="20"/>
                <w:color w:val="auto"/>
              </w:rPr>
            </w:pPr>
            <w:r>
              <w:rPr>
                <w:rFonts w:ascii="Arial" w:cs="Arial" w:eastAsia="Arial" w:hAnsi="Arial"/>
                <w:sz w:val="12"/>
                <w:szCs w:val="12"/>
                <w:color w:val="auto"/>
              </w:rPr>
              <w:t xml:space="preserve">August 2012 Morrison &amp; Foerster Note B </w:t>
            </w:r>
            <w:r>
              <w:rPr>
                <w:rFonts w:ascii="Arial" w:cs="Arial" w:eastAsia="Arial" w:hAnsi="Arial"/>
                <w:sz w:val="16"/>
                <w:szCs w:val="16"/>
                <w:color w:val="auto"/>
                <w:vertAlign w:val="superscript"/>
              </w:rPr>
              <w:t>(1)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1,379,400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195,200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1,574,600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1,379,400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60,100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1,439,500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line="144" w:lineRule="exact"/>
              <w:rPr>
                <w:sz w:val="20"/>
                <w:szCs w:val="20"/>
                <w:color w:val="auto"/>
              </w:rPr>
            </w:pPr>
            <w:r>
              <w:rPr>
                <w:rFonts w:ascii="Arial" w:cs="Arial" w:eastAsia="Arial" w:hAnsi="Arial"/>
                <w:sz w:val="12"/>
                <w:szCs w:val="12"/>
                <w:color w:val="auto"/>
              </w:rPr>
              <w:t xml:space="preserve">University Health Network </w:t>
            </w:r>
            <w:r>
              <w:rPr>
                <w:rFonts w:ascii="Arial" w:cs="Arial" w:eastAsia="Arial" w:hAnsi="Arial"/>
                <w:sz w:val="16"/>
                <w:szCs w:val="16"/>
                <w:color w:val="auto"/>
                <w:vertAlign w:val="superscript"/>
              </w:rPr>
              <w:t>(1)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549,500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610,100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549,500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19,400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568,900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3,477,000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389,400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3,866,400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3,553,900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82,000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3,635,900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(848,100)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(848,100)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(1,142,600)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(1,142,600)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2,628,900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389,400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3,018,300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2,411,300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82,000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2,493,300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(1,130,100)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(133,600)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(1,263,700)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(450,300)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 and discount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1,498,800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1,754,600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1,961,000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2,040,500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80"/>
              <w:spacing w:after="0"/>
              <w:rPr>
                <w:sz w:val="20"/>
                <w:szCs w:val="20"/>
                <w:color w:val="auto"/>
              </w:rPr>
            </w:pPr>
            <w:r>
              <w:rPr>
                <w:rFonts w:ascii="Arial" w:cs="Arial" w:eastAsia="Arial" w:hAnsi="Arial"/>
                <w:sz w:val="12"/>
                <w:szCs w:val="12"/>
                <w:color w:val="auto"/>
              </w:rPr>
              <w:t>5.75% and 10.25% Notes payable to insurance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premium financing company (current)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4,900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5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10% Notes payable to vendors for accounts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400"/>
              <w:spacing w:after="0"/>
              <w:rPr>
                <w:sz w:val="20"/>
                <w:szCs w:val="20"/>
                <w:color w:val="auto"/>
              </w:rPr>
            </w:pPr>
            <w:r>
              <w:rPr>
                <w:rFonts w:ascii="Arial" w:cs="Arial" w:eastAsia="Arial" w:hAnsi="Arial"/>
                <w:sz w:val="12"/>
                <w:szCs w:val="12"/>
                <w:color w:val="auto"/>
              </w:rPr>
              <w:t>payable converted to notes payable</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119,400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34,700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154,100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128,800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23,300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152,100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(119,400)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(34,700)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(154,100)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(128,800)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(23,300)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(152,100)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7.0% Note payable (August 2012)</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58,800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62,600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59,400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59,400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(15,800)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(19,600)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7.0% Notes payable - non-current portion</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43,000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43,000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51,300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51,300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460"/>
              <w:spacing w:after="0"/>
              <w:rPr>
                <w:sz w:val="20"/>
                <w:szCs w:val="20"/>
                <w:color w:val="auto"/>
              </w:rPr>
            </w:pPr>
            <w:r>
              <w:rPr>
                <w:rFonts w:ascii="Arial" w:cs="Arial" w:eastAsia="Arial" w:hAnsi="Arial"/>
                <w:sz w:val="12"/>
                <w:szCs w:val="12"/>
                <w:color w:val="auto"/>
              </w:rPr>
              <w:t>Total notes payable to unrelated parties</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3,660,100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427,900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4,088,000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3,746,300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105,300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3,851,600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(1,270,200)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(172,100)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(1,442,300)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(591,400)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(25,800)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(617,200)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2,389,900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2,645,700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3,154,900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3,234,400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(848,100)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(848,100)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(1,142,600)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(1,142,600)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1,541,800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1,797,600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2,012,300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2,091,800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25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Notes payable to related parties: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October 2012 7.5% Note to Cato Holding Co.</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293,600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30,800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324,400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293,600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7,400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301,000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line="144" w:lineRule="exact"/>
              <w:rPr>
                <w:sz w:val="20"/>
                <w:szCs w:val="20"/>
                <w:color w:val="auto"/>
              </w:rPr>
            </w:pPr>
            <w:r>
              <w:rPr>
                <w:rFonts w:ascii="Arial" w:cs="Arial" w:eastAsia="Arial" w:hAnsi="Arial"/>
                <w:sz w:val="12"/>
                <w:szCs w:val="12"/>
                <w:color w:val="auto"/>
              </w:rPr>
              <w:t xml:space="preserve">October 2012 7.5% Note to Cato Research Ltd. </w:t>
            </w:r>
            <w:r>
              <w:rPr>
                <w:rFonts w:ascii="Arial" w:cs="Arial" w:eastAsia="Arial" w:hAnsi="Arial"/>
                <w:sz w:val="16"/>
                <w:szCs w:val="16"/>
                <w:color w:val="auto"/>
                <w:vertAlign w:val="superscript"/>
              </w:rPr>
              <w:t>(1)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1,009,000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117,300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1,126,300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1,009,000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36,200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1,045,200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1,302,600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148,100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1,450,700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1,302,600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43,600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1,346,200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(103,200)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(103,200)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(147,200)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Total notes payable to related parties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1,199,400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148,100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1,347,500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1,155,400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43,600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1,199,000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(259,600)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(30,800)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(290,400)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(85,600)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(7,400)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20"/>
              <w:spacing w:after="0"/>
              <w:rPr>
                <w:sz w:val="20"/>
                <w:szCs w:val="20"/>
                <w:color w:val="auto"/>
              </w:rPr>
            </w:pPr>
            <w:r>
              <w:rPr>
                <w:rFonts w:ascii="Arial" w:cs="Arial" w:eastAsia="Arial" w:hAnsi="Arial"/>
                <w:sz w:val="12"/>
                <w:szCs w:val="12"/>
                <w:color w:val="auto"/>
              </w:rPr>
              <w:t>non-current portion and discount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939,800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117,300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1,057,100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1,069,800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36,200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1,106,000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gridSpan w:val="3"/>
            <w:vMerge w:val="restart"/>
          </w:tcPr>
          <w:p>
            <w:pPr>
              <w:spacing w:after="0"/>
              <w:rPr>
                <w:sz w:val="20"/>
                <w:szCs w:val="20"/>
                <w:color w:val="auto"/>
              </w:rPr>
            </w:pPr>
            <w:r>
              <w:rPr>
                <w:rFonts w:ascii="Arial" w:cs="Arial" w:eastAsia="Arial" w:hAnsi="Arial"/>
                <w:sz w:val="12"/>
                <w:szCs w:val="12"/>
                <w:color w:val="auto"/>
              </w:rPr>
              <w:t>____________</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1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28" w:hanging="128"/>
        <w:spacing w:after="0" w:line="204" w:lineRule="auto"/>
        <w:tabs>
          <w:tab w:leader="none" w:pos="128" w:val="left"/>
        </w:tabs>
        <w:numPr>
          <w:ilvl w:val="0"/>
          <w:numId w:val="67"/>
        </w:numPr>
        <w:rPr>
          <w:rFonts w:ascii="Arial" w:cs="Arial" w:eastAsia="Arial" w:hAnsi="Arial"/>
          <w:sz w:val="15"/>
          <w:szCs w:val="15"/>
          <w:color w:val="auto"/>
          <w:vertAlign w:val="superscript"/>
        </w:rPr>
      </w:pPr>
      <w:r>
        <w:rPr>
          <w:rFonts w:ascii="Arial" w:cs="Arial" w:eastAsia="Arial" w:hAnsi="Arial"/>
          <w:sz w:val="11"/>
          <w:szCs w:val="11"/>
          <w:color w:val="auto"/>
        </w:rPr>
        <w:t>Note and interest payable solely in restricted shares of the Company's common stock.</w:t>
      </w:r>
    </w:p>
    <w:p>
      <w:pPr>
        <w:sectPr>
          <w:pgSz w:w="11900" w:h="16838" w:orient="portrait"/>
          <w:cols w:equalWidth="0" w:num="1">
            <w:col w:w="11488"/>
          </w:cols>
          <w:pgMar w:left="212" w:top="115" w:right="199" w:bottom="1440" w:gutter="0" w:footer="0" w:header="0"/>
        </w:sectPr>
      </w:pPr>
    </w:p>
    <w:p>
      <w:pPr>
        <w:spacing w:after="0" w:line="253"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7299325" cy="18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15" w:right="199" w:bottom="1440" w:gutter="0" w:footer="0" w:header="0"/>
          <w:type w:val="continuous"/>
        </w:sectPr>
      </w:pPr>
    </w:p>
    <w:bookmarkStart w:id="135" w:name="page136"/>
    <w:bookmarkEnd w:id="135"/>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Secured Convertible Promissory Notes issued to Platinum</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On July 2, 2012 and on August 31, 2012, the Company issued to Platinum senior secured convertible promissory notes in the principal amount of $500,000 (the </w:t>
      </w:r>
      <w:r>
        <w:rPr>
          <w:rFonts w:ascii="Arial" w:cs="Arial" w:eastAsia="Arial" w:hAnsi="Arial"/>
          <w:sz w:val="12"/>
          <w:szCs w:val="12"/>
          <w:i w:val="1"/>
          <w:iCs w:val="1"/>
          <w:color w:val="auto"/>
        </w:rPr>
        <w:t>“July 2012 Platinum Note</w:t>
      </w:r>
      <w:r>
        <w:rPr>
          <w:rFonts w:ascii="Arial" w:cs="Arial" w:eastAsia="Arial" w:hAnsi="Arial"/>
          <w:sz w:val="12"/>
          <w:szCs w:val="12"/>
          <w:color w:val="auto"/>
        </w:rPr>
        <w:t>”) and $750,000 (the "</w:t>
      </w:r>
      <w:r>
        <w:rPr>
          <w:rFonts w:ascii="Arial" w:cs="Arial" w:eastAsia="Arial" w:hAnsi="Arial"/>
          <w:sz w:val="12"/>
          <w:szCs w:val="12"/>
          <w:i w:val="1"/>
          <w:iCs w:val="1"/>
          <w:color w:val="auto"/>
        </w:rPr>
        <w:t>August 2012</w:t>
      </w:r>
      <w:r>
        <w:rPr>
          <w:rFonts w:ascii="Arial" w:cs="Arial" w:eastAsia="Arial" w:hAnsi="Arial"/>
          <w:sz w:val="12"/>
          <w:szCs w:val="12"/>
          <w:color w:val="auto"/>
        </w:rPr>
        <w:t xml:space="preserve"> </w:t>
      </w:r>
      <w:r>
        <w:rPr>
          <w:rFonts w:ascii="Arial" w:cs="Arial" w:eastAsia="Arial" w:hAnsi="Arial"/>
          <w:sz w:val="12"/>
          <w:szCs w:val="12"/>
          <w:i w:val="1"/>
          <w:iCs w:val="1"/>
          <w:color w:val="auto"/>
        </w:rPr>
        <w:t>Platinum Note</w:t>
      </w:r>
      <w:r>
        <w:rPr>
          <w:rFonts w:ascii="Arial" w:cs="Arial" w:eastAsia="Arial" w:hAnsi="Arial"/>
          <w:sz w:val="12"/>
          <w:szCs w:val="12"/>
          <w:color w:val="auto"/>
        </w:rPr>
        <w:t>"), respectively. The July 2012 Platinum Note and the August 2012 Platinum Note each accrued interest at the rate of 10% per annum and were due and payable on July 2, 2015. The July 2012 Platinum Note and the August</w:t>
      </w:r>
      <w:r>
        <w:rPr>
          <w:rFonts w:ascii="Arial" w:cs="Arial" w:eastAsia="Arial" w:hAnsi="Arial"/>
          <w:sz w:val="12"/>
          <w:szCs w:val="12"/>
          <w:i w:val="1"/>
          <w:iCs w:val="1"/>
          <w:color w:val="auto"/>
        </w:rPr>
        <w:t xml:space="preserve"> </w:t>
      </w:r>
      <w:r>
        <w:rPr>
          <w:rFonts w:ascii="Arial" w:cs="Arial" w:eastAsia="Arial" w:hAnsi="Arial"/>
          <w:sz w:val="12"/>
          <w:szCs w:val="12"/>
          <w:color w:val="auto"/>
        </w:rPr>
        <w:t>2012 Platinum Note were each mandatorily convertible into securities that the Company might have issued in an equity, equity-based, or debt financing, or series of financings, subsequent to the issuance of the note resulting in gross proceeds to the Company of at least $3,000,000, excluding any additional investment by Platinum.</w:t>
      </w:r>
    </w:p>
    <w:p>
      <w:pPr>
        <w:spacing w:after="0" w:line="14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October 11, 2012, the Company and Platinum entered into a Note Exchange and Purchase Agreement (the “</w:t>
      </w:r>
      <w:r>
        <w:rPr>
          <w:rFonts w:ascii="Arial" w:cs="Arial" w:eastAsia="Arial" w:hAnsi="Arial"/>
          <w:sz w:val="11"/>
          <w:szCs w:val="11"/>
          <w:i w:val="1"/>
          <w:iCs w:val="1"/>
          <w:color w:val="auto"/>
        </w:rPr>
        <w:t>October 2012 Agreement</w:t>
      </w:r>
      <w:r>
        <w:rPr>
          <w:rFonts w:ascii="Arial" w:cs="Arial" w:eastAsia="Arial" w:hAnsi="Arial"/>
          <w:sz w:val="11"/>
          <w:szCs w:val="11"/>
          <w:color w:val="auto"/>
        </w:rPr>
        <w:t>”) in which the July 2012 Platinum Note and the August 2012 Platinum Note (together, the “</w:t>
      </w:r>
      <w:r>
        <w:rPr>
          <w:rFonts w:ascii="Arial" w:cs="Arial" w:eastAsia="Arial" w:hAnsi="Arial"/>
          <w:sz w:val="11"/>
          <w:szCs w:val="11"/>
          <w:i w:val="1"/>
          <w:iCs w:val="1"/>
          <w:color w:val="auto"/>
        </w:rPr>
        <w:t>Existing Notes</w:t>
      </w:r>
      <w:r>
        <w:rPr>
          <w:rFonts w:ascii="Arial" w:cs="Arial" w:eastAsia="Arial" w:hAnsi="Arial"/>
          <w:sz w:val="11"/>
          <w:szCs w:val="11"/>
          <w:color w:val="auto"/>
        </w:rPr>
        <w:t>”), as well as the related accrued interest, were consolidated into and exchanged for a single senior secured convertible note in the amount of $1,272,577 (the “</w:t>
      </w:r>
      <w:r>
        <w:rPr>
          <w:rFonts w:ascii="Arial" w:cs="Arial" w:eastAsia="Arial" w:hAnsi="Arial"/>
          <w:sz w:val="11"/>
          <w:szCs w:val="11"/>
          <w:i w:val="1"/>
          <w:iCs w:val="1"/>
          <w:color w:val="auto"/>
        </w:rPr>
        <w:t>Exchange Note</w:t>
      </w:r>
      <w:r>
        <w:rPr>
          <w:rFonts w:ascii="Arial" w:cs="Arial" w:eastAsia="Arial" w:hAnsi="Arial"/>
          <w:sz w:val="11"/>
          <w:szCs w:val="11"/>
          <w:color w:val="auto"/>
        </w:rPr>
        <w:t>”) and Platinum agreed to purchase four additional 10% senior secured convertible promissory notes in the aggregate principal amount of $2.0 million (the “</w:t>
      </w:r>
      <w:r>
        <w:rPr>
          <w:rFonts w:ascii="Arial" w:cs="Arial" w:eastAsia="Arial" w:hAnsi="Arial"/>
          <w:sz w:val="11"/>
          <w:szCs w:val="11"/>
          <w:i w:val="1"/>
          <w:iCs w:val="1"/>
          <w:color w:val="auto"/>
        </w:rPr>
        <w:t>Investment Notes</w:t>
      </w:r>
      <w:r>
        <w:rPr>
          <w:rFonts w:ascii="Arial" w:cs="Arial" w:eastAsia="Arial" w:hAnsi="Arial"/>
          <w:sz w:val="11"/>
          <w:szCs w:val="11"/>
          <w:color w:val="auto"/>
        </w:rPr>
        <w:t>”), issuable over four separate $500,000 tranches between October 2012 and December 2012. The first and second $500,000 Investment Notes, in the aggregate principal amount of $1.0 million, were purchased by Platinum on October 11, 2012 and October 19, 2012, respectively. The Company and Platinum also entered into an amended and restated Security Agreement to secure repayment of all obligations due and payable under the terms of the Investment Notes and Exchange Note.</w:t>
      </w:r>
    </w:p>
    <w:p>
      <w:pPr>
        <w:spacing w:after="0" w:line="12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November 14, 2012 and January 31, 2013, the Company and Platinum entered into amendments to the October 2012 Agreement (the “</w:t>
      </w:r>
      <w:r>
        <w:rPr>
          <w:rFonts w:ascii="Arial" w:cs="Arial" w:eastAsia="Arial" w:hAnsi="Arial"/>
          <w:sz w:val="11"/>
          <w:szCs w:val="11"/>
          <w:i w:val="1"/>
          <w:iCs w:val="1"/>
          <w:color w:val="auto"/>
        </w:rPr>
        <w:t>NEPA Amendments</w:t>
      </w:r>
      <w:r>
        <w:rPr>
          <w:rFonts w:ascii="Arial" w:cs="Arial" w:eastAsia="Arial" w:hAnsi="Arial"/>
          <w:sz w:val="11"/>
          <w:szCs w:val="11"/>
          <w:color w:val="auto"/>
        </w:rPr>
        <w:t xml:space="preserve">”), pursuant to which the final two $500,000 tranches contemplated by the October 2012 Agreement were combined into a single Investment Note in the aggregate principal amount of $1.0 million (the </w:t>
      </w:r>
      <w:r>
        <w:rPr>
          <w:rFonts w:ascii="Arial" w:cs="Arial" w:eastAsia="Arial" w:hAnsi="Arial"/>
          <w:sz w:val="11"/>
          <w:szCs w:val="11"/>
          <w:i w:val="1"/>
          <w:iCs w:val="1"/>
          <w:color w:val="auto"/>
        </w:rPr>
        <w:t>“$1.0 Million Note</w:t>
      </w:r>
      <w:r>
        <w:rPr>
          <w:rFonts w:ascii="Arial" w:cs="Arial" w:eastAsia="Arial" w:hAnsi="Arial"/>
          <w:sz w:val="11"/>
          <w:szCs w:val="11"/>
          <w:color w:val="auto"/>
        </w:rPr>
        <w:t>”). Under the terms and conditions of the NEPA Amendment, Platinum agreed to purchase the $1.0 Million Note within five business days of the Company's notice to Platinum of the consummation of a debt or equity financing, or combination of financings, prior to February 15, 2013, resulting in gross proceeds to the Company of at least $1.0 million (the “</w:t>
      </w:r>
      <w:r>
        <w:rPr>
          <w:rFonts w:ascii="Arial" w:cs="Arial" w:eastAsia="Arial" w:hAnsi="Arial"/>
          <w:sz w:val="11"/>
          <w:szCs w:val="11"/>
          <w:i w:val="1"/>
          <w:iCs w:val="1"/>
          <w:color w:val="auto"/>
        </w:rPr>
        <w:t>Additional Financing Requirement</w:t>
      </w:r>
      <w:r>
        <w:rPr>
          <w:rFonts w:ascii="Arial" w:cs="Arial" w:eastAsia="Arial" w:hAnsi="Arial"/>
          <w:sz w:val="11"/>
          <w:szCs w:val="11"/>
          <w:color w:val="auto"/>
        </w:rPr>
        <w:t xml:space="preserve">”). The Company satisfied the Additional Financing Requirement on February 12, 2013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 Effective February 22, 2013, the Company and Platinum entered into an additional amendment to the October 2012 Agreement pursuant to which Platinum agreed to purchase an Investment Note in the face amount of $250,000 on February 22, 2013 and an additional Investment Note in the face amount of $750,000 on or before March 12, 2013, which Investment Note was issued by the Company and purchased by Platinum on March 12, 2013.</w:t>
      </w:r>
    </w:p>
    <w:p>
      <w:pPr>
        <w:spacing w:after="0" w:line="13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Exchange Note and each Investment Note (together, the “</w:t>
      </w:r>
      <w:r>
        <w:rPr>
          <w:rFonts w:ascii="Arial" w:cs="Arial" w:eastAsia="Arial" w:hAnsi="Arial"/>
          <w:sz w:val="11"/>
          <w:szCs w:val="11"/>
          <w:i w:val="1"/>
          <w:iCs w:val="1"/>
          <w:color w:val="auto"/>
        </w:rPr>
        <w:t>Notes</w:t>
      </w:r>
      <w:r>
        <w:rPr>
          <w:rFonts w:ascii="Arial" w:cs="Arial" w:eastAsia="Arial" w:hAnsi="Arial"/>
          <w:sz w:val="11"/>
          <w:szCs w:val="11"/>
          <w:color w:val="auto"/>
        </w:rPr>
        <w:t>”) accrue interest at a rate of 10% per annum and, subject to certain limitations and exceptions set forth in the Notes, unless converted earlier and voluntarily by Platinum, will be due and payable in restricted shares of the Company’s common stock on October 11, 2015, or three years from the date of issuance, as determined by the terms of the Investment Notes. Subject to certain terms and conditions, at maturity, all principal and accrued interest under the Notes will be paid by the Company through the issuance of restricted shares of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the Company’s common stock at a conversion price of $0.50 per share, subject to certain adjustments. The conversion feature in each of the Notes constituted a beneficial conversion feature at the date of issuance.</w:t>
      </w:r>
    </w:p>
    <w:p>
      <w:pPr>
        <w:spacing w:after="0" w:line="13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As additional consideration for the purchase of the Investment Notes, the Company issued to Platinum warrants to purchase an aggregate of 2,000,000 shares of the Company’s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Arial" w:cs="Arial" w:eastAsia="Arial" w:hAnsi="Arial"/>
          <w:sz w:val="12"/>
          <w:szCs w:val="12"/>
          <w:i w:val="1"/>
          <w:iCs w:val="1"/>
          <w:color w:val="auto"/>
        </w:rPr>
        <w:t>Investment Warrant</w:t>
      </w:r>
      <w:r>
        <w:rPr>
          <w:rFonts w:ascii="Arial" w:cs="Arial" w:eastAsia="Arial" w:hAnsi="Arial"/>
          <w:sz w:val="12"/>
          <w:szCs w:val="12"/>
          <w:color w:val="auto"/>
        </w:rPr>
        <w:t>”). In addition, the Company issued Platinum a warrant to purchase 1,272,577 shares of the Company’s common stock in connection with the issuance of the Exchange Note (the “</w:t>
      </w:r>
      <w:r>
        <w:rPr>
          <w:rFonts w:ascii="Arial" w:cs="Arial" w:eastAsia="Arial" w:hAnsi="Arial"/>
          <w:sz w:val="12"/>
          <w:szCs w:val="12"/>
          <w:i w:val="1"/>
          <w:iCs w:val="1"/>
          <w:color w:val="auto"/>
        </w:rPr>
        <w:t>Exchange Warrant</w:t>
      </w:r>
      <w:r>
        <w:rPr>
          <w:rFonts w:ascii="Arial" w:cs="Arial" w:eastAsia="Arial" w:hAnsi="Arial"/>
          <w:sz w:val="12"/>
          <w:szCs w:val="12"/>
          <w:color w:val="auto"/>
        </w:rPr>
        <w:t xml:space="preserve">”). At issuance, the Platinum Exchange Warrant and each Investment Warrant had a term of five-years and an exercise price of $1.50 per share, subject to certain adjustments. Effective on May 24, 2013, the Company and Platinum entered into an Amendment and Waiver pursuant to which the Company agreed to reduce the exercise price of the Exchange Warrant and the Investment Warrants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certain issuances and prospective issuances of Company securities, including issuances pursuant to the Autilion Financing and the 2012 Private Placement of Units (see Note 10, </w:t>
      </w:r>
      <w:r>
        <w:rPr>
          <w:rFonts w:ascii="Arial" w:cs="Arial" w:eastAsia="Arial" w:hAnsi="Arial"/>
          <w:sz w:val="12"/>
          <w:szCs w:val="12"/>
          <w:i w:val="1"/>
          <w:iCs w:val="1"/>
          <w:color w:val="auto"/>
        </w:rPr>
        <w:t>Capital Stock</w:t>
      </w:r>
      <w:r>
        <w:rPr>
          <w:rFonts w:ascii="Arial" w:cs="Arial" w:eastAsia="Arial" w:hAnsi="Arial"/>
          <w:sz w:val="12"/>
          <w:szCs w:val="12"/>
          <w:color w:val="auto"/>
        </w:rPr>
        <w:t>), at a price of less than $1.50 per share.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36" w:name="page137"/>
    <w:bookmarkEnd w:id="136"/>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right="60" w:firstLine="432"/>
        <w:spacing w:after="0" w:line="254" w:lineRule="auto"/>
        <w:rPr>
          <w:sz w:val="20"/>
          <w:szCs w:val="20"/>
          <w:color w:val="auto"/>
        </w:rPr>
      </w:pPr>
      <w:r>
        <w:rPr>
          <w:rFonts w:ascii="Arial" w:cs="Arial" w:eastAsia="Arial" w:hAnsi="Arial"/>
          <w:sz w:val="12"/>
          <w:szCs w:val="12"/>
          <w:color w:val="auto"/>
        </w:rPr>
        <w:t>On July 26, 2013, the Company issued an additional senior secured convertible promissory note in the principal amount of $250,000 to Platinum (the “</w:t>
      </w:r>
      <w:r>
        <w:rPr>
          <w:rFonts w:ascii="Arial" w:cs="Arial" w:eastAsia="Arial" w:hAnsi="Arial"/>
          <w:sz w:val="12"/>
          <w:szCs w:val="12"/>
          <w:i w:val="1"/>
          <w:iCs w:val="1"/>
          <w:color w:val="auto"/>
        </w:rPr>
        <w:t>July 2013 Note</w:t>
      </w:r>
      <w:r>
        <w:rPr>
          <w:rFonts w:ascii="Arial" w:cs="Arial" w:eastAsia="Arial" w:hAnsi="Arial"/>
          <w:sz w:val="12"/>
          <w:szCs w:val="12"/>
          <w:color w:val="auto"/>
        </w:rPr>
        <w:t>”). The July 2013 Note matures on July 26, 2016 and accrues interest at a rate of 10% per annum. Subject to certain terms and conditions, at maturity, all principal and accrued interest under the July 2013 Note will be paid by the Company through the issuance of restricted shares of common stock to Platinum. Subject to certain potential adjustments set forth in the July 2013 Note, the number of restricted shares of common stock issuable as payment in full for the July 2013 Note at maturity will be calculated by dividing the outstanding balance plus accrued interest of the July 2013 Note by $0.50 per share. In the same manner as the Exchange Note and the Investment Notes, prior to maturity, the outstanding principal and any accrued interest on the July 2013 Note is convertible, in whole or in part, at Platinum’s option into shares of the Company’s restricted common stock at a conversion price of $0.50 per share, subject to certain adjustments. The conversion feature in the July 2013 Note constituted a beneficial conversion feature at the date of issuance. As additional consideration for the purchase of the July 2013 Note, the Company issued to Platinum a five-year warrant to purchase 250,000 shares of the Company’s common stock at an exercise price of $0.50 per share (the “</w:t>
      </w:r>
      <w:r>
        <w:rPr>
          <w:rFonts w:ascii="Arial" w:cs="Arial" w:eastAsia="Arial" w:hAnsi="Arial"/>
          <w:sz w:val="12"/>
          <w:szCs w:val="12"/>
          <w:i w:val="1"/>
          <w:iCs w:val="1"/>
          <w:color w:val="auto"/>
        </w:rPr>
        <w:t>July 2013 Warrant</w:t>
      </w:r>
      <w:r>
        <w:rPr>
          <w:rFonts w:ascii="Arial" w:cs="Arial" w:eastAsia="Arial" w:hAnsi="Arial"/>
          <w:sz w:val="12"/>
          <w:szCs w:val="12"/>
          <w:color w:val="auto"/>
        </w:rPr>
        <w:t>”).</w:t>
      </w:r>
    </w:p>
    <w:p>
      <w:pPr>
        <w:spacing w:after="0" w:line="149" w:lineRule="exact"/>
        <w:rPr>
          <w:sz w:val="20"/>
          <w:szCs w:val="20"/>
          <w:color w:val="auto"/>
        </w:rPr>
      </w:pPr>
    </w:p>
    <w:p>
      <w:pPr>
        <w:jc w:val="both"/>
        <w:ind w:right="60" w:firstLine="432"/>
        <w:spacing w:after="0" w:line="254" w:lineRule="auto"/>
        <w:rPr>
          <w:sz w:val="20"/>
          <w:szCs w:val="20"/>
          <w:color w:val="auto"/>
        </w:rPr>
      </w:pPr>
      <w:r>
        <w:rPr>
          <w:rFonts w:ascii="Arial" w:cs="Arial" w:eastAsia="Arial" w:hAnsi="Arial"/>
          <w:sz w:val="12"/>
          <w:szCs w:val="12"/>
          <w:color w:val="auto"/>
        </w:rPr>
        <w:t xml:space="preserve">As a result of the beneficial conversion feature in the Exchange Note and the issuance of the Exchange Warrant, the Company determined that the cancellation of the Existing Notes and the issuance of the Exchange Note should be accounted for as an extinguishment of debt. The Company determined that the fair value of the Exchange Note, including the beneficial conversion feature, was $2,355,800 using a Monte Carlo simulation model and inception-date assumptions including market price of common stock of $0.75 per share; stock price volatility of 85%; risk-free interest rate of 0.67%; conversion price of $0.50 per share; note term of 3 years; 75% probability that conversion would occur at or immediately prior to maturity; and 25% probability that an event requiring either the repayment of the Exchange Note or its conversion into common stock would occur prior to maturity. The fair value of the Exchange Note at inception represented a substantial premium over its face value. In accordance with the provisions of ASC 470-20, </w:t>
      </w:r>
      <w:r>
        <w:rPr>
          <w:rFonts w:ascii="Arial" w:cs="Arial" w:eastAsia="Arial" w:hAnsi="Arial"/>
          <w:sz w:val="12"/>
          <w:szCs w:val="12"/>
          <w:i w:val="1"/>
          <w:iCs w:val="1"/>
          <w:color w:val="auto"/>
        </w:rPr>
        <w:t>Debt with Conversion and Other Options,</w:t>
      </w:r>
      <w:r>
        <w:rPr>
          <w:rFonts w:ascii="Arial" w:cs="Arial" w:eastAsia="Arial" w:hAnsi="Arial"/>
          <w:sz w:val="12"/>
          <w:szCs w:val="12"/>
          <w:color w:val="auto"/>
        </w:rPr>
        <w:t xml:space="preserve"> the Company recognized the premium in excess of the face value, $1,083,200, as a non-cash charge to loss on early extinguishment of debt in the accompanying Consolidated Statement of Operations and Comprehensive Income for the year ended March 31, 2013 and as a credit to additional paid-in capital and recorded the liability for the Exchange Note at its face value.</w:t>
      </w:r>
    </w:p>
    <w:p>
      <w:pPr>
        <w:spacing w:after="0" w:line="149" w:lineRule="exact"/>
        <w:rPr>
          <w:sz w:val="20"/>
          <w:szCs w:val="20"/>
          <w:color w:val="auto"/>
        </w:rPr>
      </w:pPr>
    </w:p>
    <w:p>
      <w:pPr>
        <w:jc w:val="both"/>
        <w:ind w:right="60" w:firstLine="432"/>
        <w:spacing w:after="0" w:line="257" w:lineRule="auto"/>
        <w:rPr>
          <w:sz w:val="20"/>
          <w:szCs w:val="20"/>
          <w:color w:val="auto"/>
        </w:rPr>
      </w:pPr>
      <w:r>
        <w:rPr>
          <w:rFonts w:ascii="Arial" w:cs="Arial" w:eastAsia="Arial" w:hAnsi="Arial"/>
          <w:sz w:val="12"/>
          <w:szCs w:val="12"/>
          <w:color w:val="auto"/>
        </w:rPr>
        <w:t xml:space="preserve">Subject to limited exceptions, which include issuances of common stock pursuant to the 2012 Private Placement of Units (see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the Exchange Warrant, each of the Investment Warrants and the July 2013 Warrant include certain exercise price reset and anti-dilution protection features in the event that the Company issues other shares of common stock during the five-year term of the warrants at a price less than their initial $1.50 per share, or $0.50 per share in the case of the July 2013 Warrant, exercise price. As a result of these provisions, the Exchange Warrant, the Investment Warrants and the July 2013 Warrant do not meet the criteria set forth in ASC 815, </w:t>
      </w:r>
      <w:r>
        <w:rPr>
          <w:rFonts w:ascii="Arial" w:cs="Arial" w:eastAsia="Arial" w:hAnsi="Arial"/>
          <w:sz w:val="12"/>
          <w:szCs w:val="12"/>
          <w:i w:val="1"/>
          <w:iCs w:val="1"/>
          <w:color w:val="auto"/>
        </w:rPr>
        <w:t>Derivatives</w:t>
      </w:r>
      <w:r>
        <w:rPr>
          <w:rFonts w:ascii="Arial" w:cs="Arial" w:eastAsia="Arial" w:hAnsi="Arial"/>
          <w:sz w:val="12"/>
          <w:szCs w:val="12"/>
          <w:color w:val="auto"/>
        </w:rPr>
        <w:t xml:space="preserve"> </w:t>
      </w:r>
      <w:r>
        <w:rPr>
          <w:rFonts w:ascii="Arial" w:cs="Arial" w:eastAsia="Arial" w:hAnsi="Arial"/>
          <w:sz w:val="12"/>
          <w:szCs w:val="12"/>
          <w:i w:val="1"/>
          <w:iCs w:val="1"/>
          <w:color w:val="auto"/>
        </w:rPr>
        <w:t>and Hedging</w:t>
      </w:r>
      <w:r>
        <w:rPr>
          <w:rFonts w:ascii="Arial" w:cs="Arial" w:eastAsia="Arial" w:hAnsi="Arial"/>
          <w:sz w:val="12"/>
          <w:szCs w:val="12"/>
          <w:color w:val="auto"/>
        </w:rPr>
        <w:t>, to be treated as equity instruments. Consequently, the Company recorded the Exchange Warrant, each of the Investment Warrants and the July 2013 Warrant as liabilities at their fair value, which was estimated at the issuance</w:t>
      </w:r>
      <w:r>
        <w:rPr>
          <w:rFonts w:ascii="Arial" w:cs="Arial" w:eastAsia="Arial" w:hAnsi="Arial"/>
          <w:sz w:val="12"/>
          <w:szCs w:val="12"/>
          <w:i w:val="1"/>
          <w:iCs w:val="1"/>
          <w:color w:val="auto"/>
        </w:rPr>
        <w:t xml:space="preserve"> </w:t>
      </w:r>
      <w:r>
        <w:rPr>
          <w:rFonts w:ascii="Arial" w:cs="Arial" w:eastAsia="Arial" w:hAnsi="Arial"/>
          <w:sz w:val="12"/>
          <w:szCs w:val="12"/>
          <w:color w:val="auto"/>
        </w:rPr>
        <w:t>date using a Monte Carlo simulation model and the following assumptions: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40" w:type="dxa"/>
            <w:vAlign w:val="bottom"/>
            <w:gridSpan w:val="3"/>
          </w:tcPr>
          <w:p>
            <w:pPr>
              <w:jc w:val="right"/>
              <w:ind w:right="680"/>
              <w:spacing w:after="0"/>
              <w:rPr>
                <w:sz w:val="20"/>
                <w:szCs w:val="20"/>
                <w:color w:val="auto"/>
              </w:rPr>
            </w:pPr>
            <w:r>
              <w:rPr>
                <w:rFonts w:ascii="Arial" w:cs="Arial" w:eastAsia="Arial" w:hAnsi="Arial"/>
                <w:sz w:val="12"/>
                <w:szCs w:val="12"/>
                <w:color w:val="auto"/>
              </w:rPr>
              <w:t>Exchange</w:t>
            </w:r>
          </w:p>
        </w:tc>
        <w:tc>
          <w:tcPr>
            <w:tcW w:w="8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color w:val="auto"/>
                <w:w w:val="93"/>
              </w:rPr>
              <w:t>Investment Warrants Issued on:</w:t>
            </w:r>
          </w:p>
        </w:tc>
        <w:tc>
          <w:tcPr>
            <w:tcW w:w="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2"/>
                <w:szCs w:val="12"/>
                <w:color w:val="auto"/>
                <w:w w:val="84"/>
              </w:rPr>
              <w:t>Warrant</w:t>
            </w:r>
          </w:p>
        </w:tc>
        <w:tc>
          <w:tcPr>
            <w:tcW w:w="8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10/11/2012</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10/19/2012</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w w:val="89"/>
              </w:rPr>
              <w:t>2/22/2013</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ind w:left="1200"/>
              <w:spacing w:after="0"/>
              <w:rPr>
                <w:sz w:val="20"/>
                <w:szCs w:val="20"/>
                <w:color w:val="auto"/>
              </w:rPr>
            </w:pPr>
            <w:r>
              <w:rPr>
                <w:rFonts w:ascii="Arial" w:cs="Arial" w:eastAsia="Arial" w:hAnsi="Arial"/>
                <w:sz w:val="12"/>
                <w:szCs w:val="12"/>
                <w:color w:val="auto"/>
                <w:w w:val="89"/>
              </w:rPr>
              <w:t>3/12/2013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Market</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price of</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common</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stock</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5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0.60</w:t>
            </w:r>
          </w:p>
        </w:tc>
        <w:tc>
          <w:tcPr>
            <w:tcW w:w="1700" w:type="dxa"/>
            <w:vAlign w:val="bottom"/>
            <w:gridSpan w:val="2"/>
            <w:shd w:val="clear" w:color="auto" w:fill="CCEEFF"/>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Exercise</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price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Risk-free</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interest</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rate</w:t>
            </w:r>
          </w:p>
        </w:tc>
        <w:tc>
          <w:tcPr>
            <w:tcW w:w="5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5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0.84</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Volatility</w:t>
            </w:r>
          </w:p>
        </w:tc>
        <w:tc>
          <w:tcPr>
            <w:tcW w:w="5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5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2"/>
                <w:szCs w:val="12"/>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Term</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(years)</w:t>
            </w:r>
          </w:p>
        </w:tc>
        <w:tc>
          <w:tcPr>
            <w:tcW w:w="5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Dividend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rate</w:t>
            </w:r>
          </w:p>
        </w:tc>
        <w:tc>
          <w:tcPr>
            <w:tcW w:w="5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5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Fair</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value per</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share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0.39</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Number</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of shares</w:t>
            </w: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1,272,577</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500,000</w:t>
            </w: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2"/>
              </w:rPr>
              <w:t>500,000</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250,000</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6"/>
              </w:rPr>
              <w:t>750,0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Fair</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value at</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date of</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issuance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672,000</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w w:val="87"/>
              </w:rPr>
              <w:t>264,000</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w w:val="82"/>
              </w:rPr>
              <w:t>264,000</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97,000</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w w:val="86"/>
              </w:rPr>
              <w:t>393,0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2"/>
                <w:szCs w:val="12"/>
                <w:color w:val="auto"/>
              </w:rPr>
              <w:t>F-22</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40"/>
          </w:cols>
          <w:pgMar w:left="220" w:top="128" w:right="139" w:bottom="1440" w:gutter="0" w:footer="0" w:header="0"/>
        </w:sectPr>
      </w:pPr>
    </w:p>
    <w:bookmarkStart w:id="137" w:name="page138"/>
    <w:bookmarkEnd w:id="137"/>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right="60" w:firstLine="432"/>
        <w:spacing w:after="0" w:line="283" w:lineRule="auto"/>
        <w:rPr>
          <w:sz w:val="20"/>
          <w:szCs w:val="20"/>
          <w:color w:val="auto"/>
        </w:rPr>
      </w:pPr>
      <w:r>
        <w:rPr>
          <w:rFonts w:ascii="Arial" w:cs="Arial" w:eastAsia="Arial" w:hAnsi="Arial"/>
          <w:sz w:val="11"/>
          <w:szCs w:val="11"/>
          <w:color w:val="auto"/>
        </w:rPr>
        <w:t>The fair value of the Exchange Warrant at the date of issuance was recorded as a liability and as a corresponding charge to loss on early extinguishment of debt in the accompanying Consolidated Statement of Operations and Comprehensive Income for the year ended March 31, 2013. The fair value of each Investment Warrant and the July 2013 Warrant at the date of issuance was recorded as a liability and as a corresponding discount to the related Investment Note or the July 2013 Note. Subject to limitations of the absolute amount of discount attributable to each Investment Note and the July 2013 Note, the Company treated the issuance-date intrinsic value of the beneficial conversion feature embedded in each Investment Note and the July 2013 Note as an additional component of the discount attributable to each note and recorded a discount attributable to the beneficial conversion feature for each note. The Company amortizes the aggregate discount attributable to each of the Investment Notes and the July 2013 Note using the interest method over the respective term of each note. The table below summarizes the components of the discount and the effective interest rate at inception for the Exchange Note, each of the Investment Notes and the July 2013 Note.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ind w:left="340"/>
              <w:spacing w:after="0"/>
              <w:rPr>
                <w:sz w:val="20"/>
                <w:szCs w:val="20"/>
                <w:color w:val="auto"/>
              </w:rPr>
            </w:pPr>
            <w:r>
              <w:rPr>
                <w:rFonts w:ascii="Arial" w:cs="Arial" w:eastAsia="Arial" w:hAnsi="Arial"/>
                <w:sz w:val="12"/>
                <w:szCs w:val="12"/>
                <w:color w:val="auto"/>
                <w:w w:val="95"/>
              </w:rPr>
              <w:t>Inception Date Carrying Value of</w:t>
            </w:r>
          </w:p>
        </w:tc>
        <w:tc>
          <w:tcPr>
            <w:tcW w:w="5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40" w:type="dxa"/>
            <w:vAlign w:val="bottom"/>
            <w:gridSpan w:val="3"/>
          </w:tcPr>
          <w:p>
            <w:pPr>
              <w:jc w:val="right"/>
              <w:ind w:right="700"/>
              <w:spacing w:after="0"/>
              <w:rPr>
                <w:sz w:val="20"/>
                <w:szCs w:val="20"/>
                <w:color w:val="auto"/>
              </w:rPr>
            </w:pPr>
            <w:r>
              <w:rPr>
                <w:rFonts w:ascii="Arial" w:cs="Arial" w:eastAsia="Arial" w:hAnsi="Arial"/>
                <w:sz w:val="12"/>
                <w:szCs w:val="12"/>
                <w:color w:val="auto"/>
              </w:rPr>
              <w:t>Exchange</w:t>
            </w:r>
          </w:p>
        </w:tc>
        <w:tc>
          <w:tcPr>
            <w:tcW w:w="7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ind w:left="480"/>
              <w:spacing w:after="0"/>
              <w:rPr>
                <w:sz w:val="20"/>
                <w:szCs w:val="20"/>
                <w:color w:val="auto"/>
              </w:rPr>
            </w:pPr>
            <w:r>
              <w:rPr>
                <w:rFonts w:ascii="Arial" w:cs="Arial" w:eastAsia="Arial" w:hAnsi="Arial"/>
                <w:sz w:val="12"/>
                <w:szCs w:val="12"/>
                <w:color w:val="auto"/>
                <w:w w:val="99"/>
              </w:rPr>
              <w:t>Investment Notes Issued on:</w:t>
            </w: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right"/>
              <w:ind w:right="820"/>
              <w:spacing w:after="0"/>
              <w:rPr>
                <w:sz w:val="20"/>
                <w:szCs w:val="20"/>
                <w:color w:val="auto"/>
              </w:rPr>
            </w:pPr>
            <w:r>
              <w:rPr>
                <w:rFonts w:ascii="Arial" w:cs="Arial" w:eastAsia="Arial" w:hAnsi="Arial"/>
                <w:sz w:val="12"/>
                <w:szCs w:val="12"/>
                <w:color w:val="auto"/>
              </w:rPr>
              <w:t>Note</w:t>
            </w:r>
          </w:p>
        </w:tc>
        <w:tc>
          <w:tcPr>
            <w:tcW w:w="780" w:type="dxa"/>
            <w:vAlign w:val="bottom"/>
          </w:tcPr>
          <w:p>
            <w:pPr>
              <w:spacing w:after="0"/>
              <w:rPr>
                <w:sz w:val="12"/>
                <w:szCs w:val="1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color w:val="auto"/>
              </w:rPr>
              <w:t>10/11/2012</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color w:val="auto"/>
              </w:rPr>
              <w:t>10/19/2012</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w w:val="89"/>
              </w:rPr>
              <w:t>2/22/2013</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ind w:left="440"/>
              <w:spacing w:after="0"/>
              <w:rPr>
                <w:sz w:val="20"/>
                <w:szCs w:val="20"/>
                <w:color w:val="auto"/>
              </w:rPr>
            </w:pPr>
            <w:r>
              <w:rPr>
                <w:rFonts w:ascii="Arial" w:cs="Arial" w:eastAsia="Arial" w:hAnsi="Arial"/>
                <w:sz w:val="12"/>
                <w:szCs w:val="12"/>
                <w:color w:val="auto"/>
                <w:w w:val="93"/>
              </w:rPr>
              <w:t>3/12/2013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Face value</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1,272,600</w:t>
            </w: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500,000</w:t>
            </w: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2"/>
              </w:rPr>
              <w:t>250,000</w:t>
            </w:r>
          </w:p>
        </w:tc>
        <w:tc>
          <w:tcPr>
            <w:tcW w:w="800" w:type="dxa"/>
            <w:vAlign w:val="bottom"/>
            <w:shd w:val="clear" w:color="auto" w:fill="CCEEFF"/>
          </w:tcPr>
          <w:p>
            <w:pPr>
              <w:spacing w:after="0"/>
              <w:rPr>
                <w:sz w:val="12"/>
                <w:szCs w:val="12"/>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Discount</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attributable</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to:</w:t>
            </w: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ind w:left="60"/>
              <w:spacing w:after="0" w:line="136" w:lineRule="exact"/>
              <w:rPr>
                <w:sz w:val="20"/>
                <w:szCs w:val="20"/>
                <w:color w:val="auto"/>
              </w:rPr>
            </w:pPr>
            <w:r>
              <w:rPr>
                <w:rFonts w:ascii="Arial" w:cs="Arial" w:eastAsia="Arial" w:hAnsi="Arial"/>
                <w:sz w:val="12"/>
                <w:szCs w:val="12"/>
                <w:color w:val="auto"/>
              </w:rPr>
              <w:t>Fair value</w:t>
            </w: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of warrant</w:t>
            </w:r>
          </w:p>
        </w:tc>
        <w:tc>
          <w:tcPr>
            <w:tcW w:w="5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(264,000</w:t>
            </w: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(264,000</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8"/>
              </w:rPr>
              <w:t>(97,000</w:t>
            </w: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ind w:left="60"/>
              <w:spacing w:after="0" w:line="136" w:lineRule="exact"/>
              <w:rPr>
                <w:sz w:val="20"/>
                <w:szCs w:val="20"/>
                <w:color w:val="auto"/>
              </w:rPr>
            </w:pPr>
            <w:r>
              <w:rPr>
                <w:rFonts w:ascii="Arial" w:cs="Arial" w:eastAsia="Arial" w:hAnsi="Arial"/>
                <w:sz w:val="12"/>
                <w:szCs w:val="12"/>
                <w:color w:val="auto"/>
              </w:rPr>
              <w:t>Beneficial</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conversion</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feature</w:t>
            </w:r>
          </w:p>
        </w:tc>
        <w:tc>
          <w:tcPr>
            <w:tcW w:w="5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(231,000</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(231,000</w:t>
            </w:r>
          </w:p>
        </w:tc>
        <w:tc>
          <w:tcPr>
            <w:tcW w:w="220" w:type="dxa"/>
            <w:vAlign w:val="bottom"/>
          </w:tcPr>
          <w:p>
            <w:pPr>
              <w:spacing w:after="0"/>
              <w:rPr>
                <w:sz w:val="13"/>
                <w:szCs w:val="13"/>
                <w:color w:val="auto"/>
              </w:rPr>
            </w:pPr>
          </w:p>
        </w:tc>
        <w:tc>
          <w:tcPr>
            <w:tcW w:w="780" w:type="dxa"/>
            <w:vAlign w:val="bottom"/>
          </w:tcPr>
          <w:p>
            <w:pPr>
              <w:ind w:lef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w w:val="84"/>
              </w:rPr>
              <w:t>(147,000</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Inception</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date</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carrying</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value</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1,272,600</w:t>
            </w:r>
          </w:p>
        </w:tc>
        <w:tc>
          <w:tcPr>
            <w:tcW w:w="78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5,000</w:t>
            </w:r>
          </w:p>
        </w:tc>
        <w:tc>
          <w:tcPr>
            <w:tcW w:w="800" w:type="dxa"/>
            <w:vAlign w:val="bottom"/>
          </w:tcPr>
          <w:p>
            <w:pPr>
              <w:spacing w:after="0"/>
              <w:rPr>
                <w:sz w:val="13"/>
                <w:szCs w:val="13"/>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5,000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6,000</w:t>
            </w:r>
          </w:p>
        </w:tc>
        <w:tc>
          <w:tcPr>
            <w:tcW w:w="800" w:type="dxa"/>
            <w:vAlign w:val="bottom"/>
          </w:tcPr>
          <w:p>
            <w:pPr>
              <w:spacing w:after="0"/>
              <w:rPr>
                <w:sz w:val="13"/>
                <w:szCs w:val="13"/>
                <w:color w:val="auto"/>
              </w:rPr>
            </w:pPr>
          </w:p>
        </w:tc>
        <w:tc>
          <w:tcPr>
            <w:tcW w:w="960" w:type="dxa"/>
            <w:vAlign w:val="bottom"/>
          </w:tcPr>
          <w:p>
            <w:pPr>
              <w:ind w:left="4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Effective</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Interest</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Rate</w:t>
            </w:r>
          </w:p>
        </w:tc>
        <w:tc>
          <w:tcPr>
            <w:tcW w:w="5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10.00</w:t>
            </w:r>
          </w:p>
        </w:tc>
        <w:tc>
          <w:tcPr>
            <w:tcW w:w="78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159.05</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159.05</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127.27</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2"/>
          <w:szCs w:val="12"/>
          <w:color w:val="auto"/>
        </w:rPr>
        <w:t>The fair value of the Exchange Warrant, the Investment Warrants and the July 2013 Warrant was re-measured as of March 31, 2014 and 2013 at an aggregate of $915,300 and $1,988,000; respectively. The aggregate decrease in fair value since March 31, 2013, or inception in the case of the July 2013 Warrant, of $1,219,500 and the aggregate increase in fair value of $298,000 from inception through March 31, 2013 is reflected in the Change in Warrant Liability in the accompanying Consolidated Statement of Operations and Comprehensive Income for the years ended March 31, 2014 and 2013.</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Convertible Notes Issued in Connection with 2013/2014 Unit Private Placement</w:t>
      </w:r>
    </w:p>
    <w:p>
      <w:pPr>
        <w:spacing w:after="0" w:line="172"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2"/>
          <w:szCs w:val="12"/>
          <w:color w:val="auto"/>
        </w:rPr>
        <w:t xml:space="preserve">As described more completely in the section entitled 2013/2014 Unit Private Placement in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between August 2013 and March 2014, the Company issued to accredited investors 10% convertible promissory notes (the “</w:t>
      </w:r>
      <w:r>
        <w:rPr>
          <w:rFonts w:ascii="Arial" w:cs="Arial" w:eastAsia="Arial" w:hAnsi="Arial"/>
          <w:sz w:val="12"/>
          <w:szCs w:val="12"/>
          <w:i w:val="1"/>
          <w:iCs w:val="1"/>
          <w:color w:val="auto"/>
        </w:rPr>
        <w:t>2013/2014 Unit Notes</w:t>
      </w:r>
      <w:r>
        <w:rPr>
          <w:rFonts w:ascii="Arial" w:cs="Arial" w:eastAsia="Arial" w:hAnsi="Arial"/>
          <w:sz w:val="12"/>
          <w:szCs w:val="12"/>
          <w:color w:val="auto"/>
        </w:rPr>
        <w:t>”) in an aggregate face amount of $1,007,500 in connection with its private placement of Units. The 2013/2014 Unit Notes mature on July 30, 2014 and each 2013 Unit Note and its related accrued interest is convertible into shares of the Company’s common stock at a fixed conversion price of $0.50 per share at or prior to maturity, at the option of the accredited investor. The Company has the right to prepay the 2013 Unit Notes and accrued interest in cash prior to maturity without penalty.</w:t>
      </w: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128" w:right="139" w:bottom="1440" w:gutter="0" w:footer="0" w:header="0"/>
        </w:sectPr>
      </w:pPr>
    </w:p>
    <w:bookmarkStart w:id="138" w:name="page139"/>
    <w:bookmarkEnd w:id="138"/>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Company allocated the proceeds from the sale of the units to the 2013/2014 Unit Notes, the common stock and the warrants comprising the Units based on the relative fair value of the individual securities in each Unit on the dates of the Unit sales. Based on the short-duration of the 2013/2014 Unit Notes and their other terms, the Company determined that the fair value of the 2013/2014 Unit Notes at the date of issuance was equal to their face value. Accordingly, the Company recorded an initial discount attributable to each 2013/2014 Unit Note for an amount representing the difference between the face value of the 2013/2014 Unit Note and its relative value. Additionally, the 2013/2014 Unit Notes contain an embedded conversion feature, certain of which had an intrinsic value at the issuance date, which value the Company treated as an additional discount attributable to those 2013/2014 Unit Notes, subject to limitations on the absolute amount of discount attributable to each 2013/2014 Unit Note. The Company recorded a corresponding credit to additional paid-in capital, an equity account in the Consolidated Balance Sheet, attributable to the beneficial conversion feature. The Company amortizes the aggregate discount attributable to each of the 2013/2014 Unit Notes using the interest method over the respective term of each Unit Note. Based on their respective discounts, the weighted average effective interest rate attributable to the 2013/2014 Unit Notes is 464.1%.</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Convertible Note Issued in Connection with 2014 Unit Private Placement</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As described more completely in the section entitled 2014 Unit Private Placement in Note 10, </w:t>
      </w:r>
      <w:r>
        <w:rPr>
          <w:rFonts w:ascii="Arial" w:cs="Arial" w:eastAsia="Arial" w:hAnsi="Arial"/>
          <w:sz w:val="11"/>
          <w:szCs w:val="11"/>
          <w:i w:val="1"/>
          <w:iCs w:val="1"/>
          <w:color w:val="auto"/>
        </w:rPr>
        <w:t>Capital Stock,</w:t>
      </w:r>
      <w:r>
        <w:rPr>
          <w:rFonts w:ascii="Arial" w:cs="Arial" w:eastAsia="Arial" w:hAnsi="Arial"/>
          <w:sz w:val="11"/>
          <w:szCs w:val="11"/>
          <w:color w:val="auto"/>
        </w:rPr>
        <w:t xml:space="preserve"> during March 2014, the Company issued to an accredited investor a 10% convertible note (the “</w:t>
      </w:r>
      <w:r>
        <w:rPr>
          <w:rFonts w:ascii="Arial" w:cs="Arial" w:eastAsia="Arial" w:hAnsi="Arial"/>
          <w:sz w:val="11"/>
          <w:szCs w:val="11"/>
          <w:i w:val="1"/>
          <w:iCs w:val="1"/>
          <w:color w:val="auto"/>
        </w:rPr>
        <w:t>2014 Unit Note</w:t>
      </w:r>
      <w:r>
        <w:rPr>
          <w:rFonts w:ascii="Arial" w:cs="Arial" w:eastAsia="Arial" w:hAnsi="Arial"/>
          <w:sz w:val="11"/>
          <w:szCs w:val="11"/>
          <w:color w:val="auto"/>
        </w:rPr>
        <w:t xml:space="preserve">”) in the face amount of $50,000 in connection with its private placement offering of Units. (See Note 17, </w:t>
      </w:r>
      <w:r>
        <w:rPr>
          <w:rFonts w:ascii="Arial" w:cs="Arial" w:eastAsia="Arial" w:hAnsi="Arial"/>
          <w:sz w:val="11"/>
          <w:szCs w:val="11"/>
          <w:i w:val="1"/>
          <w:iCs w:val="1"/>
          <w:color w:val="auto"/>
        </w:rPr>
        <w:t>Subsequent Events</w:t>
      </w:r>
      <w:r>
        <w:rPr>
          <w:rFonts w:ascii="Arial" w:cs="Arial" w:eastAsia="Arial" w:hAnsi="Arial"/>
          <w:sz w:val="11"/>
          <w:szCs w:val="11"/>
          <w:color w:val="auto"/>
        </w:rPr>
        <w:t>, for information regarding additional notes issued in connection with the 2014 Unit Private Placement.) The 2014 Unit Note matures on March 31, 2015 (“</w:t>
      </w:r>
      <w:r>
        <w:rPr>
          <w:rFonts w:ascii="Arial" w:cs="Arial" w:eastAsia="Arial" w:hAnsi="Arial"/>
          <w:sz w:val="11"/>
          <w:szCs w:val="11"/>
          <w:i w:val="1"/>
          <w:iCs w:val="1"/>
          <w:color w:val="auto"/>
        </w:rPr>
        <w:t>Maturity</w:t>
      </w:r>
      <w:r>
        <w:rPr>
          <w:rFonts w:ascii="Arial" w:cs="Arial" w:eastAsia="Arial" w:hAnsi="Arial"/>
          <w:sz w:val="11"/>
          <w:szCs w:val="11"/>
          <w:color w:val="auto"/>
        </w:rPr>
        <w:t>”) and the 2014 Unit Note and its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is convertible into shares of the Company’s common stock at a conversion price of $0.50 per share at or prior to maturity, at the option of the investor, or, upon the Company’s consummation of either (i) an equity or equity-based public offering registered with the U.S. Securities and Exchange Commission (“</w:t>
      </w:r>
      <w:r>
        <w:rPr>
          <w:rFonts w:ascii="Arial" w:cs="Arial" w:eastAsia="Arial" w:hAnsi="Arial"/>
          <w:sz w:val="11"/>
          <w:szCs w:val="11"/>
          <w:i w:val="1"/>
          <w:iCs w:val="1"/>
          <w:color w:val="auto"/>
        </w:rPr>
        <w:t>SEC</w:t>
      </w:r>
      <w:r>
        <w:rPr>
          <w:rFonts w:ascii="Arial" w:cs="Arial" w:eastAsia="Arial" w:hAnsi="Arial"/>
          <w:sz w:val="11"/>
          <w:szCs w:val="11"/>
          <w:color w:val="auto"/>
        </w:rPr>
        <w:t>”), or (ii) an equity or equity-based private financing, or series of such financing transactions, not registered with the SEC, in each case resulting in gross proceeds to the Company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of the 2014 Unit Note will automatically convert into the securities sold in the Qualified Financing, based on the following formula: (the Outstanding Balance as of the closing of the Qualified Financing) x 1.25 / (the per security price of the securities sold in the Qualified Financing). This automatic conversion feature results in a contingent beneficial conversion feature that will be recorded upon the consummation of a Qualified Financing.</w:t>
      </w:r>
    </w:p>
    <w:p>
      <w:pPr>
        <w:spacing w:after="0" w:line="13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Company allocated the proceeds from the sale of the 2014 unit to the 2014 Unit Notes, the common stock and the warrants comprising the units based on the relative fair value of the individual securities in the unit on the date of the unit sale. Based on the short-duration of the 2014 Unit Note and its other terms, the Company determined that the fair value of the 2014 Unit Note at the date of issuance was equal to its face value. Accordingly, the Company recorded an initial discount attributable to the 2014 Unit Note for an amount representing the difference between the face value of the 2014 Unit Note and its relative value. Additionally, the 2014 Unit Note contains an embedded conversion feature which had an intrinsic value at the issuance date. The Company treated the intrinsic value of the conversion feature as an additional discount to the 2014 Unit Note. The Company recorded a corresponding credit to additional paid-in capital, an equity account in the Consolidated Balance Sheet, attributable to the beneficial conversion feature. The Company amortizes the aggregate discount attributable to the 2014 Unit Note using the interest method over the term of the note. Based on its aggregate discount, the effective interest rate attributable to the 2014 Unit Note is 123.8%.</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 Convertible Promissory Notes</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On February 28, 2012, the Company completed a private placement of convertible promissory notes to accredited investors in the aggregate principal amount of $500,000 (the "</w:t>
      </w:r>
      <w:r>
        <w:rPr>
          <w:rFonts w:ascii="Arial" w:cs="Arial" w:eastAsia="Arial" w:hAnsi="Arial"/>
          <w:sz w:val="11"/>
          <w:szCs w:val="11"/>
          <w:i w:val="1"/>
          <w:iCs w:val="1"/>
          <w:color w:val="auto"/>
        </w:rPr>
        <w:t>2012 Notes</w:t>
      </w:r>
      <w:r>
        <w:rPr>
          <w:rFonts w:ascii="Arial" w:cs="Arial" w:eastAsia="Arial" w:hAnsi="Arial"/>
          <w:sz w:val="11"/>
          <w:szCs w:val="11"/>
          <w:color w:val="auto"/>
        </w:rPr>
        <w:t>"). Each 2012 Note accrued interest at the rate of 12% per annum and was to mature on the earlier of (i) twenty-four months from the date of issuance, or (ii) the consummation of an equity, equity-based, or series of equity-based financings resulting in gross proceeds to the Company of at least $4.0 million (the “</w:t>
      </w:r>
      <w:r>
        <w:rPr>
          <w:rFonts w:ascii="Arial" w:cs="Arial" w:eastAsia="Arial" w:hAnsi="Arial"/>
          <w:sz w:val="11"/>
          <w:szCs w:val="11"/>
          <w:i w:val="1"/>
          <w:iCs w:val="1"/>
          <w:color w:val="auto"/>
        </w:rPr>
        <w:t>Qualified Financing Threshold</w:t>
      </w:r>
      <w:r>
        <w:rPr>
          <w:rFonts w:ascii="Arial" w:cs="Arial" w:eastAsia="Arial" w:hAnsi="Arial"/>
          <w:sz w:val="11"/>
          <w:szCs w:val="11"/>
          <w:color w:val="auto"/>
        </w:rPr>
        <w:t>”). The holders of the 2012 Notes had the right to voluntarily convert the outstanding principal amount of the 2012 Notes and all accrued and unpaid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at any time prior to maturity into that number of restricted shares of the Company’s common stock equal to the Outstanding Balance, divided by $3.00 (the "</w:t>
      </w:r>
      <w:r>
        <w:rPr>
          <w:rFonts w:ascii="Arial" w:cs="Arial" w:eastAsia="Arial" w:hAnsi="Arial"/>
          <w:sz w:val="11"/>
          <w:szCs w:val="11"/>
          <w:i w:val="1"/>
          <w:iCs w:val="1"/>
          <w:color w:val="auto"/>
        </w:rPr>
        <w:t>Conversion Shares</w:t>
      </w:r>
      <w:r>
        <w:rPr>
          <w:rFonts w:ascii="Arial" w:cs="Arial" w:eastAsia="Arial" w:hAnsi="Arial"/>
          <w:sz w:val="11"/>
          <w:szCs w:val="11"/>
          <w:color w:val="auto"/>
        </w:rPr>
        <w:t>"). In addition, in the event the Company consummated a financing equal to or exceeding the Qualified Financing Threshold, and the price per unit of the securities sold, or price per share of common stock issuable in connection with such financing, was at least $2.00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would have automatically converted into such securities, including warrants, that were issued in the Qualified Financing, the amount of which would have been determined according to the following formula: (Outstanding Balance at the closing date of the Qualified Financing) x (1.25) / (the per security price of the securities sold in the Qualified Financing).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39" w:name="page140"/>
    <w:bookmarkEnd w:id="139"/>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On November 15, 2012, the holders of the 2012 Notes entered into an Exchange Agreement with the Company (the "</w:t>
      </w:r>
      <w:r>
        <w:rPr>
          <w:rFonts w:ascii="Arial" w:cs="Arial" w:eastAsia="Arial" w:hAnsi="Arial"/>
          <w:sz w:val="12"/>
          <w:szCs w:val="12"/>
          <w:i w:val="1"/>
          <w:iCs w:val="1"/>
          <w:color w:val="auto"/>
        </w:rPr>
        <w:t>Exchange Agreement</w:t>
      </w:r>
      <w:r>
        <w:rPr>
          <w:rFonts w:ascii="Arial" w:cs="Arial" w:eastAsia="Arial" w:hAnsi="Arial"/>
          <w:sz w:val="12"/>
          <w:szCs w:val="12"/>
          <w:color w:val="auto"/>
        </w:rPr>
        <w:t>"). Under the terms of the Exchange Agreement, (i) the current amount due under the terms of the 2012 Notes, $678,600, which amount included all accrued interest as well as additional consideration for the conversion, was exchanged for a total of 1,357,281 restricted shares of the Company's common stock and five-year warrants to purchase 678,641 restricted shares of the Company's common stock at an exercise price of $1.50 per share (the "</w:t>
      </w:r>
      <w:r>
        <w:rPr>
          <w:rFonts w:ascii="Arial" w:cs="Arial" w:eastAsia="Arial" w:hAnsi="Arial"/>
          <w:sz w:val="12"/>
          <w:szCs w:val="12"/>
          <w:i w:val="1"/>
          <w:iCs w:val="1"/>
          <w:color w:val="auto"/>
        </w:rPr>
        <w:t>Note Exchange Securities</w:t>
      </w:r>
      <w:r>
        <w:rPr>
          <w:rFonts w:ascii="Arial" w:cs="Arial" w:eastAsia="Arial" w:hAnsi="Arial"/>
          <w:sz w:val="12"/>
          <w:szCs w:val="12"/>
          <w:color w:val="auto"/>
        </w:rPr>
        <w:t>"). Additionally, the Company issued a five-year warrant to purchase 72,000 restricted shares of the Company’s common stock at an exercise price of $1.50 per share as partial compensation to a placement agent that had placed certain of the 2012 Notes. The Company recorded the issuance of the warrants with a charge to interest expense of $28,200 and a corresponding credit to additional paid-in capital.</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Company determined that the exchange of the 2012 Notes into restricted shares of its common stock should be accounted for as an extinguishment of debt. The Company recognized as consideration in the exchange the sum of (i) the fair value of the restricted common stock issued in the exchange at the quoted market price of $0.70 per share on the date of the exchange, or $950,100, and (ii) the fair value of the warrants, which was determined to be $0.39 per share, or $265,500, using the Black Scholes Option Pricing Model and the following assumptions: market price per share: $0.70; exercise price per share: $1.50; risk-free interest rate: 0.62%; contractual term: 5 years; volatility: 89.5%; expected dividend rate: 0%. The aggregate consideration less the net carrying value of the 2012 Notes, including accrued interest, resulted in the recognition of $1,145,100 as a non-cash loss on early extinguishment of debt in the accompanying Consolidated Statements of Operations and Comprehensive Income for the fiscal year ended March 31, 2013. The warrants issued to the placement agent were valued using the same assumptions as used for the warrants issued to the exchanging note holders.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Note Payable to Morrison &amp; Foerster</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On May 5, 2011, the Company and Morrison &amp; Foerster LLP (“</w:t>
      </w:r>
      <w:r>
        <w:rPr>
          <w:rFonts w:ascii="Arial" w:cs="Arial" w:eastAsia="Arial" w:hAnsi="Arial"/>
          <w:sz w:val="11"/>
          <w:szCs w:val="11"/>
          <w:i w:val="1"/>
          <w:iCs w:val="1"/>
          <w:color w:val="auto"/>
        </w:rPr>
        <w:t>Morrison &amp; Foerster</w:t>
      </w:r>
      <w:r>
        <w:rPr>
          <w:rFonts w:ascii="Arial" w:cs="Arial" w:eastAsia="Arial" w:hAnsi="Arial"/>
          <w:sz w:val="11"/>
          <w:szCs w:val="11"/>
          <w:color w:val="auto"/>
        </w:rPr>
        <w:t>”), then the Company’s general corporate and intellectual property counsel, amended a previously outstanding note (the “</w:t>
      </w:r>
      <w:r>
        <w:rPr>
          <w:rFonts w:ascii="Arial" w:cs="Arial" w:eastAsia="Arial" w:hAnsi="Arial"/>
          <w:sz w:val="11"/>
          <w:szCs w:val="11"/>
          <w:i w:val="1"/>
          <w:iCs w:val="1"/>
          <w:color w:val="auto"/>
        </w:rPr>
        <w:t>Original Note</w:t>
      </w:r>
      <w:r>
        <w:rPr>
          <w:rFonts w:ascii="Arial" w:cs="Arial" w:eastAsia="Arial" w:hAnsi="Arial"/>
          <w:sz w:val="11"/>
          <w:szCs w:val="11"/>
          <w:color w:val="auto"/>
        </w:rPr>
        <w:t>”) issued by the Company in payment of legal services (the “</w:t>
      </w:r>
      <w:r>
        <w:rPr>
          <w:rFonts w:ascii="Arial" w:cs="Arial" w:eastAsia="Arial" w:hAnsi="Arial"/>
          <w:sz w:val="11"/>
          <w:szCs w:val="11"/>
          <w:i w:val="1"/>
          <w:iCs w:val="1"/>
          <w:color w:val="auto"/>
        </w:rPr>
        <w:t>Amended Note</w:t>
      </w:r>
      <w:r>
        <w:rPr>
          <w:rFonts w:ascii="Arial" w:cs="Arial" w:eastAsia="Arial" w:hAnsi="Arial"/>
          <w:sz w:val="11"/>
          <w:szCs w:val="11"/>
          <w:color w:val="auto"/>
        </w:rPr>
        <w:t>”). Under the Amended Note, the principal balance of the Original Note was increased to $2,200,000, interest accrued at the rate of 7.5% per annum, and the Company was required to make an additional payment of $100,000 within three business days of the date of the Amended Note. The Company made the required $100,000 payment in a timely manner.</w:t>
      </w:r>
    </w:p>
    <w:p>
      <w:pPr>
        <w:spacing w:after="0" w:line="12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On August 31, 2012, the Company restructured the Amended Note (the “</w:t>
      </w:r>
      <w:r>
        <w:rPr>
          <w:rFonts w:ascii="Arial" w:cs="Arial" w:eastAsia="Arial" w:hAnsi="Arial"/>
          <w:sz w:val="11"/>
          <w:szCs w:val="11"/>
          <w:i w:val="1"/>
          <w:iCs w:val="1"/>
          <w:color w:val="auto"/>
        </w:rPr>
        <w:t>Restructuring Agreement</w:t>
      </w:r>
      <w:r>
        <w:rPr>
          <w:rFonts w:ascii="Arial" w:cs="Arial" w:eastAsia="Arial" w:hAnsi="Arial"/>
          <w:sz w:val="11"/>
          <w:szCs w:val="11"/>
          <w:color w:val="auto"/>
        </w:rPr>
        <w:t>”). Pursuant to the Restructuring Agreement, the Company issued to Morrison &amp; Foerster two new unsecured promissory notes to replace the Amended Note, one in the principal amount of $1,000,000 ("</w:t>
      </w:r>
      <w:r>
        <w:rPr>
          <w:rFonts w:ascii="Arial" w:cs="Arial" w:eastAsia="Arial" w:hAnsi="Arial"/>
          <w:sz w:val="11"/>
          <w:szCs w:val="11"/>
          <w:i w:val="1"/>
          <w:iCs w:val="1"/>
          <w:color w:val="auto"/>
        </w:rPr>
        <w:t>Replacement Note A</w:t>
      </w:r>
      <w:r>
        <w:rPr>
          <w:rFonts w:ascii="Arial" w:cs="Arial" w:eastAsia="Arial" w:hAnsi="Arial"/>
          <w:sz w:val="11"/>
          <w:szCs w:val="11"/>
          <w:color w:val="auto"/>
        </w:rPr>
        <w:t>") and the other in the principal amount of $1,379,400 ("</w:t>
      </w:r>
      <w:r>
        <w:rPr>
          <w:rFonts w:ascii="Arial" w:cs="Arial" w:eastAsia="Arial" w:hAnsi="Arial"/>
          <w:sz w:val="11"/>
          <w:szCs w:val="11"/>
          <w:i w:val="1"/>
          <w:iCs w:val="1"/>
          <w:color w:val="auto"/>
        </w:rPr>
        <w:t>Replacement Note B</w:t>
      </w:r>
      <w:r>
        <w:rPr>
          <w:rFonts w:ascii="Arial" w:cs="Arial" w:eastAsia="Arial" w:hAnsi="Arial"/>
          <w:sz w:val="11"/>
          <w:szCs w:val="11"/>
          <w:color w:val="auto"/>
        </w:rPr>
        <w:t>") (together, the "</w:t>
      </w:r>
      <w:r>
        <w:rPr>
          <w:rFonts w:ascii="Arial" w:cs="Arial" w:eastAsia="Arial" w:hAnsi="Arial"/>
          <w:sz w:val="11"/>
          <w:szCs w:val="11"/>
          <w:i w:val="1"/>
          <w:iCs w:val="1"/>
          <w:color w:val="auto"/>
        </w:rPr>
        <w:t>Replacement Notes</w:t>
      </w:r>
      <w:r>
        <w:rPr>
          <w:rFonts w:ascii="Arial" w:cs="Arial" w:eastAsia="Arial" w:hAnsi="Arial"/>
          <w:sz w:val="11"/>
          <w:szCs w:val="11"/>
          <w:color w:val="auto"/>
        </w:rPr>
        <w:t xml:space="preserve">"); amended an outstanding warrant to purchase restricted shares of the Company’s common stock (the </w:t>
      </w:r>
      <w:r>
        <w:rPr>
          <w:rFonts w:ascii="Arial" w:cs="Arial" w:eastAsia="Arial" w:hAnsi="Arial"/>
          <w:sz w:val="11"/>
          <w:szCs w:val="11"/>
          <w:i w:val="1"/>
          <w:iCs w:val="1"/>
          <w:color w:val="auto"/>
        </w:rPr>
        <w:t>“Amended M&amp;F Warrant”)</w:t>
      </w:r>
      <w:r>
        <w:rPr>
          <w:rFonts w:ascii="Arial" w:cs="Arial" w:eastAsia="Arial" w:hAnsi="Arial"/>
          <w:sz w:val="11"/>
          <w:szCs w:val="11"/>
          <w:color w:val="auto"/>
        </w:rPr>
        <w:t>; and issued a new warrant to purchase restricted shares of the Company’s common stock (the “</w:t>
      </w:r>
      <w:r>
        <w:rPr>
          <w:rFonts w:ascii="Arial" w:cs="Arial" w:eastAsia="Arial" w:hAnsi="Arial"/>
          <w:sz w:val="11"/>
          <w:szCs w:val="11"/>
          <w:i w:val="1"/>
          <w:iCs w:val="1"/>
          <w:color w:val="auto"/>
        </w:rPr>
        <w:t>New M&amp;F Warrant”).</w:t>
      </w:r>
      <w:r>
        <w:rPr>
          <w:rFonts w:ascii="Arial" w:cs="Arial" w:eastAsia="Arial" w:hAnsi="Arial"/>
          <w:sz w:val="11"/>
          <w:szCs w:val="11"/>
          <w:color w:val="auto"/>
        </w:rPr>
        <w:t xml:space="preserve"> Under the terms of the Restructuring Agreement, the Amended Note was cancelled and all of the Company's past due payment obligations under the Amended Note were satisfied. The Company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required monthly payments of $15,000 per month through March 31, 2013, and requires $25,000 per month thereafter until maturity. Payment of the principal and interest on Replacement Note B will be made solely in restricted shares of the Company’s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shall have the option to require payment of Replacement Note B in cash upon the occurrence of a change in control of the Company or an event of default, and only in such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40" w:name="page141"/>
    <w:bookmarkEnd w:id="140"/>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treated the aggregate of the incremental value of the Amended M&amp;F Warrant and the fair value of the New M&amp;F Warrant as a discount to the Replacement Notes. Under the terms of the Amended M&amp;F Warrant, the Company amended the warrant to purchase 425,000 restricted shares of its common stock originally issued to Morrison &amp; Foerster on March 15, 2010 to extend the expiration date of the warrant from December 31, 2014 to September 15, 2017 and to provide for exercise by paying cash or by the cancellation in whole or in part of the Company’s indebtedness under either of the Replacement Notes. The Company determined that the incremental value of the Amended M&amp;F Warrant was $121,650 at the modification date using the Black-Scholes Option Pricing Model and the following assumptions: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Expected term in years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2.33</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5.04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0.24</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0.52</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The New M&amp;F Warrant is exercisable for the number of restricted shares of the Company’s common stock equal to the principal and accrued interest due under the terms of Replacement Note B divided by the warrant exercise price of $1.00 per share. At the August 31, 2012 date of grant, the New M&amp;F Warrant was exercisable to purchase 1,379,376 restricted shares of the Company’s common stock. The New M&amp;F Warrant effectively permits exercise only by the cancellation in whole or in part of the Company’s indebtedness under either of the Replacement Notes. The New M&amp;F Warrant expires on September 15, 2017. The Company determined the fair value of the New M&amp;F Warrant to be $0.64 per share, or $876,800, at the date of grant using the Black Scholes Option Pricing Model and the following assumptions: market price per share: $0.94; exercise price per share: $1.00; risk-free interest rate: 0.61%; contractual term: 5.04 years; volatility: 88.8%; expected dividend rate: 0%. The note discounts totaling $1,197,900, including the $199,500 remaining unamortized discount recorded prior to the modification, will be amortized to interest expense using the effective interest method over the term of the Replacement Notes. The aggregate amount of the incremental fair value of the Amended M&amp;F Warrant and the fair value of the New M&amp;F Warrant, $998,450, was recognized as equity and was credited to additional paid-in capital in the accompanying Consolidated Balance Sheets. The effective interest rate on the Replacement Notes at the date of issuance was 32.3%, based on the stated interest rate, the amount of discount, and the term of the Replacement Notes. Through March 31, 2014, the Company has adjusted the New M&amp;F Warrant to increase the number of restricted shares available for purchase by 195,191 shares, based on interest accrued on Replacement Note B through that date. The Company has recorded the fair value of the additional shares as a charge to interest expense and a corresponding credit to additional paid-in capital.</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Accounts Payable to Cato Research Ltd.</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On October 10, 2012, the Company issued to Cato Research Ltd (“</w:t>
      </w:r>
      <w:r>
        <w:rPr>
          <w:rFonts w:ascii="Arial" w:cs="Arial" w:eastAsia="Arial" w:hAnsi="Arial"/>
          <w:sz w:val="11"/>
          <w:szCs w:val="11"/>
          <w:i w:val="1"/>
          <w:iCs w:val="1"/>
          <w:color w:val="auto"/>
        </w:rPr>
        <w:t>CRL”</w:t>
      </w:r>
      <w:r>
        <w:rPr>
          <w:rFonts w:ascii="Arial" w:cs="Arial" w:eastAsia="Arial" w:hAnsi="Arial"/>
          <w:sz w:val="11"/>
          <w:szCs w:val="11"/>
          <w:color w:val="auto"/>
        </w:rPr>
        <w:t>), a contract research and development partner and a related party: (i) an unsecured promissory note in the initial principal amount of $1,009,000, which is payable solely in restricted shares of the Company’s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w:t>
      </w:r>
      <w:r>
        <w:rPr>
          <w:rFonts w:ascii="Arial" w:cs="Arial" w:eastAsia="Arial" w:hAnsi="Arial"/>
          <w:sz w:val="11"/>
          <w:szCs w:val="11"/>
          <w:i w:val="1"/>
          <w:iCs w:val="1"/>
          <w:color w:val="auto"/>
        </w:rPr>
        <w:t>CRO Services</w:t>
      </w:r>
      <w:r>
        <w:rPr>
          <w:rFonts w:ascii="Arial" w:cs="Arial" w:eastAsia="Arial" w:hAnsi="Arial"/>
          <w:sz w:val="11"/>
          <w:szCs w:val="11"/>
          <w:color w:val="auto"/>
        </w:rPr>
        <w:t>”) rendered by CRL to the Company and its affiliates through December 31, 2012 with respect to the non-clinical and clinical development of AV-101, and (ii) a five-year warrant to purchase, at a price of $1.00 per share, 1,009,000 restricted shares of the Company’s common stock, the amount equal to the sum of the principal amount of the CRL Note, plus all accrued interest thereon, divided by $1.00 per share (the “</w:t>
      </w:r>
      <w:r>
        <w:rPr>
          <w:rFonts w:ascii="Arial" w:cs="Arial" w:eastAsia="Arial" w:hAnsi="Arial"/>
          <w:sz w:val="11"/>
          <w:szCs w:val="11"/>
          <w:i w:val="1"/>
          <w:iCs w:val="1"/>
          <w:color w:val="auto"/>
        </w:rPr>
        <w:t>CRL Warrant</w:t>
      </w:r>
      <w:r>
        <w:rPr>
          <w:rFonts w:ascii="Arial" w:cs="Arial" w:eastAsia="Arial" w:hAnsi="Arial"/>
          <w:sz w:val="11"/>
          <w:szCs w:val="11"/>
          <w:color w:val="auto"/>
        </w:rPr>
        <w:t>”). The principal amount of the CRL Note may, at the Company’s option, be automatically increased as a result of future CRO Services rendered by CRL to the Company and its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41" w:name="page142"/>
    <w:bookmarkEnd w:id="141"/>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0"/>
          <w:szCs w:val="10"/>
          <w:color w:val="auto"/>
        </w:rPr>
        <w:t>The Company determined that the cancellation of the accounts payable to CRL for CRO Services and the related issuance of the CRL Note should be accounted for as an extinguishment of debt. Accordingly, the Company recorded the CRL Note at its fair value of $857,900 based on the present value of its scheduled cash flows and assumptions regarding market interest rates for unsecured debt of similar quality. The Company determined the fair value of the CRL Warrant to be $0.48 per share, or $486,164,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CRL Note and the CRL Warrant less the accounts payable balance due to CRL, $335,100, as a non-cash loss on early extinguishment of debt in the accompanying Consolidated Statements of Operations and Comprehensive Income for the year ended March 31, 2013. The fair value of the warrant, $486,164, which is treated as an equity instrument, was credited to additional paid in capital at the issuance date. The difference between the face value of the CRL Note and its fair value, $151,100, has been treated as a discount to the note and is being amortized over the term of the note using the interest method, resulting in an effective interest rate of 12.1% on the CRL Note. Through March 31, 2014, the Company has adjusted the CRL Warrant to increase the number of restricted shares available for purchase by 117,329 shares, based on interest accrued on the CRL Note through that date. The Company has recorded the fair value of the additional shares as a charge to interest expense and a corresponding credit to additional paid-in capital.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Issuance and Restructuring of Long-Term Promissory Note to Cato Holding Company</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April 2011, all amounts owed by the Company to Cato Holding Company ("</w:t>
      </w:r>
      <w:r>
        <w:rPr>
          <w:rFonts w:ascii="Arial" w:cs="Arial" w:eastAsia="Arial" w:hAnsi="Arial"/>
          <w:sz w:val="12"/>
          <w:szCs w:val="12"/>
          <w:i w:val="1"/>
          <w:iCs w:val="1"/>
          <w:color w:val="auto"/>
        </w:rPr>
        <w:t>CHC</w:t>
      </w:r>
      <w:r>
        <w:rPr>
          <w:rFonts w:ascii="Arial" w:cs="Arial" w:eastAsia="Arial" w:hAnsi="Arial"/>
          <w:sz w:val="12"/>
          <w:szCs w:val="12"/>
          <w:color w:val="auto"/>
        </w:rPr>
        <w:t>") and its affiliates, were consolidated into a single note, in the principal amount of $352,300 (the “</w:t>
      </w:r>
      <w:r>
        <w:rPr>
          <w:rFonts w:ascii="Arial" w:cs="Arial" w:eastAsia="Arial" w:hAnsi="Arial"/>
          <w:sz w:val="12"/>
          <w:szCs w:val="12"/>
          <w:i w:val="1"/>
          <w:iCs w:val="1"/>
          <w:color w:val="auto"/>
        </w:rPr>
        <w:t>2011 CHC Note</w:t>
      </w:r>
      <w:r>
        <w:rPr>
          <w:rFonts w:ascii="Arial" w:cs="Arial" w:eastAsia="Arial" w:hAnsi="Arial"/>
          <w:sz w:val="12"/>
          <w:szCs w:val="12"/>
          <w:color w:val="auto"/>
        </w:rPr>
        <w:t>”). Concurrently, CHC released all of its security interests in certain of the Company’s personal property.</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October 10, 2012, the Company and CHC restructured the 2011 CHC Note. The 2011 CHC Note was cancelled and exchanged for a new unsecured promissory note in the principal amount of $310,400 (the “</w:t>
      </w:r>
      <w:r>
        <w:rPr>
          <w:rFonts w:ascii="Arial" w:cs="Arial" w:eastAsia="Arial" w:hAnsi="Arial"/>
          <w:sz w:val="12"/>
          <w:szCs w:val="12"/>
          <w:i w:val="1"/>
          <w:iCs w:val="1"/>
          <w:color w:val="auto"/>
        </w:rPr>
        <w:t>2012 CHC Note</w:t>
      </w:r>
      <w:r>
        <w:rPr>
          <w:rFonts w:ascii="Arial" w:cs="Arial" w:eastAsia="Arial" w:hAnsi="Arial"/>
          <w:sz w:val="12"/>
          <w:szCs w:val="12"/>
          <w:color w:val="auto"/>
        </w:rPr>
        <w:t>”) and a five-year warrant to purchase 250,000 restricted shares of the Company’s common stock at a price of $1.50 per share (the “</w:t>
      </w:r>
      <w:r>
        <w:rPr>
          <w:rFonts w:ascii="Arial" w:cs="Arial" w:eastAsia="Arial" w:hAnsi="Arial"/>
          <w:sz w:val="12"/>
          <w:szCs w:val="12"/>
          <w:i w:val="1"/>
          <w:iCs w:val="1"/>
          <w:color w:val="auto"/>
        </w:rPr>
        <w:t>CHC Warrant</w:t>
      </w:r>
      <w:r>
        <w:rPr>
          <w:rFonts w:ascii="Arial" w:cs="Arial" w:eastAsia="Arial" w:hAnsi="Arial"/>
          <w:sz w:val="12"/>
          <w:szCs w:val="12"/>
          <w:color w:val="auto"/>
        </w:rPr>
        <w:t>”). The 2012 CHC Note accrues interest at a rate of 7.5% per annum and is due and payable in monthly installments of $10,000, beginning November 1, 2012 and continuing until the outstanding balance is paid in full.</w:t>
      </w:r>
    </w:p>
    <w:p>
      <w:pPr>
        <w:spacing w:after="0" w:line="141"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Company determined that the cancellation of the 2011 CHC Note and the issuance of the 2012 CHC Note should be accounted for as an extinguishment of debt. Accordingly, the Company recorded the 2012 CHC Note at its fair value of $291,100 based on the present value of its scheduled cash flows and assumptions regarding market interest rates for unsecured debt of similar quality. The Company determined the fair value of the CHC Warrant to be $0.48 per share, or $120,500, using the Black Scholes Option Pricing Model and the following assumptions: market price per share: $0.75; exercise price per share: $1.50; risk-free interest rate: 0.66%; contractual term: 5 years; volatility: 89.9%; expected dividend rate: 0%. The Company recognized the difference between the sum of the fair values of the 2012 CHC Note and the CHC Warrant less the carrying value of the 2011 CHC Note, $119,100, as a non-cash loss on early extinguishment of debt in the accompanying Consolidated Statements of Operations and Comprehensive Income for the year ended March 31, 2013. The fair value of the warrant, $120,500, which is treated as an equity instrument, was credited to additional paid in capital at the issuance date. The difference between the face value of the 2012 CHC Note and its fair value, $19,300, has been treated as a discount to the note and is being amortized over the term of the note using the interest method, resulting in an effective interest rate of 11.9% on the CHC 2012 Note.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Accounts Payable to University Health Network</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October 10, 2012, the Company issued to the University Health Network (“</w:t>
      </w:r>
      <w:r>
        <w:rPr>
          <w:rFonts w:ascii="Arial" w:cs="Arial" w:eastAsia="Arial" w:hAnsi="Arial"/>
          <w:sz w:val="12"/>
          <w:szCs w:val="12"/>
          <w:i w:val="1"/>
          <w:iCs w:val="1"/>
          <w:color w:val="auto"/>
        </w:rPr>
        <w:t>UHN”</w:t>
      </w:r>
      <w:r>
        <w:rPr>
          <w:rFonts w:ascii="Arial" w:cs="Arial" w:eastAsia="Arial" w:hAnsi="Arial"/>
          <w:sz w:val="12"/>
          <w:szCs w:val="12"/>
          <w:color w:val="auto"/>
        </w:rPr>
        <w:t>): (i) an unsecured promissory note in the principal amount of $549,500, which is payable solely in restricted shares of the Company’s common stock and which accrues interest at the rate of 7.5% per annum, as payment in full for all sponsored stem cell research and development activities by UHN and Gordon Keller, Ph.D. under the SCRA through September 30, 2012 (the “</w:t>
      </w:r>
      <w:r>
        <w:rPr>
          <w:rFonts w:ascii="Arial" w:cs="Arial" w:eastAsia="Arial" w:hAnsi="Arial"/>
          <w:sz w:val="12"/>
          <w:szCs w:val="12"/>
          <w:i w:val="1"/>
          <w:iCs w:val="1"/>
          <w:color w:val="auto"/>
        </w:rPr>
        <w:t>UHN</w:t>
      </w:r>
      <w:r>
        <w:rPr>
          <w:rFonts w:ascii="Arial" w:cs="Arial" w:eastAsia="Arial" w:hAnsi="Arial"/>
          <w:sz w:val="12"/>
          <w:szCs w:val="12"/>
          <w:color w:val="auto"/>
        </w:rPr>
        <w:t xml:space="preserve"> </w:t>
      </w:r>
      <w:r>
        <w:rPr>
          <w:rFonts w:ascii="Arial" w:cs="Arial" w:eastAsia="Arial" w:hAnsi="Arial"/>
          <w:sz w:val="12"/>
          <w:szCs w:val="12"/>
          <w:i w:val="1"/>
          <w:iCs w:val="1"/>
          <w:color w:val="auto"/>
        </w:rPr>
        <w:t>Note</w:t>
      </w:r>
      <w:r>
        <w:rPr>
          <w:rFonts w:ascii="Arial" w:cs="Arial" w:eastAsia="Arial" w:hAnsi="Arial"/>
          <w:sz w:val="12"/>
          <w:szCs w:val="12"/>
          <w:color w:val="auto"/>
        </w:rPr>
        <w:t>”), and (ii) a five-year warrant to purchase, at a price of $1.00 per share, 549,500 restricted shares of the Company’s common stock, the amount equal to the sum of the principal amount of the UHN Note, plus all accrued interest</w:t>
      </w:r>
      <w:r>
        <w:rPr>
          <w:rFonts w:ascii="Arial" w:cs="Arial" w:eastAsia="Arial" w:hAnsi="Arial"/>
          <w:sz w:val="12"/>
          <w:szCs w:val="12"/>
          <w:i w:val="1"/>
          <w:iCs w:val="1"/>
          <w:color w:val="auto"/>
        </w:rPr>
        <w:t xml:space="preserve"> </w:t>
      </w:r>
      <w:r>
        <w:rPr>
          <w:rFonts w:ascii="Arial" w:cs="Arial" w:eastAsia="Arial" w:hAnsi="Arial"/>
          <w:sz w:val="12"/>
          <w:szCs w:val="12"/>
          <w:color w:val="auto"/>
        </w:rPr>
        <w:t>thereon, divided by $1.00 per share (the “</w:t>
      </w:r>
      <w:r>
        <w:rPr>
          <w:rFonts w:ascii="Arial" w:cs="Arial" w:eastAsia="Arial" w:hAnsi="Arial"/>
          <w:sz w:val="12"/>
          <w:szCs w:val="12"/>
          <w:i w:val="1"/>
          <w:iCs w:val="1"/>
          <w:color w:val="auto"/>
        </w:rPr>
        <w:t>UHN Warrant</w:t>
      </w:r>
      <w:r>
        <w:rPr>
          <w:rFonts w:ascii="Arial" w:cs="Arial" w:eastAsia="Arial" w:hAnsi="Arial"/>
          <w:sz w:val="12"/>
          <w:szCs w:val="12"/>
          <w:color w:val="auto"/>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42" w:name="page143"/>
    <w:bookmarkEnd w:id="142"/>
    <w:p>
      <w:pPr>
        <w:ind w:left="8"/>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left="8" w:firstLine="432"/>
        <w:spacing w:after="0" w:line="253" w:lineRule="auto"/>
        <w:rPr>
          <w:sz w:val="20"/>
          <w:szCs w:val="20"/>
          <w:color w:val="auto"/>
        </w:rPr>
      </w:pPr>
      <w:r>
        <w:rPr>
          <w:rFonts w:ascii="Arial" w:cs="Arial" w:eastAsia="Arial" w:hAnsi="Arial"/>
          <w:sz w:val="12"/>
          <w:szCs w:val="12"/>
          <w:color w:val="auto"/>
        </w:rPr>
        <w:t>The Company determined that the restructuring of the accounts payable to UHN under the SRCA, defined below, and the related issuance of the UHN Note should be accounted for as an extinguishment of debt. Accordingly, the Company recorded the UHN Note at its fair value of $467,211 based on the present value of its scheduled cash flows and assumptions regarding market interest rates for unsecured debt of similar quality. The Company determined the fair value of the UHN Warrant to be $0.48 per share, or $264,775,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UHN Note and the UHN Warrant less the accounts payable balance due to UHN, $182,500, as a non-cash loss on early extinguishment of debt in the accompanying Consolidated Statements of Operations and Comprehensive Income for the year ended March 31, 2013. The fair value of the warrant, $264,775, which is treated as an equity instrument, was credited to additional paid in capital at the issuance date. The difference between the face value of the UHN Note and its fair value has been treated as a discount to the note and is being amortized over the term of the note using the interest method, resulting in an effective interest rate of 11.3% on the UHN Note. Through March 31, 2014, the Company has adjusted the UHN Warrant to increase the number of restricted shares available for purchase by 60,633 shares, based on interest accrued on the UHN Note through that date. The Company has recorded the fair value of the additional shares as a charge to interest expense and a corresponding credit to additional paid-in capital.</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Issuance of Long-Term Notes and Cancellation of Amounts Payable</w:t>
      </w:r>
    </w:p>
    <w:p>
      <w:pPr>
        <w:spacing w:after="0" w:line="17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On February 25, 2011, the Company issued to Burr, Pilger, and Mayer, LLC (“</w:t>
      </w:r>
      <w:r>
        <w:rPr>
          <w:rFonts w:ascii="Arial" w:cs="Arial" w:eastAsia="Arial" w:hAnsi="Arial"/>
          <w:sz w:val="12"/>
          <w:szCs w:val="12"/>
          <w:i w:val="1"/>
          <w:iCs w:val="1"/>
          <w:color w:val="auto"/>
        </w:rPr>
        <w:t>BPM</w:t>
      </w:r>
      <w:r>
        <w:rPr>
          <w:rFonts w:ascii="Arial" w:cs="Arial" w:eastAsia="Arial" w:hAnsi="Arial"/>
          <w:sz w:val="12"/>
          <w:szCs w:val="12"/>
          <w:color w:val="auto"/>
        </w:rPr>
        <w:t>”)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during any three-month period, with the payment increasing to $50,000 (or the amount then owed under the note, if less) upon the Company completing a financing of over $10.0 million.</w:t>
      </w:r>
    </w:p>
    <w:p>
      <w:pPr>
        <w:spacing w:after="0" w:line="125"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On April 29, 2011, the Company issued to Desjardins Securities, Inc. (“</w:t>
      </w:r>
      <w:r>
        <w:rPr>
          <w:rFonts w:ascii="Arial" w:cs="Arial" w:eastAsia="Arial" w:hAnsi="Arial"/>
          <w:sz w:val="12"/>
          <w:szCs w:val="12"/>
          <w:i w:val="1"/>
          <w:iCs w:val="1"/>
          <w:color w:val="auto"/>
        </w:rPr>
        <w:t>Desjardins</w:t>
      </w:r>
      <w:r>
        <w:rPr>
          <w:rFonts w:ascii="Arial" w:cs="Arial" w:eastAsia="Arial" w:hAnsi="Arial"/>
          <w:sz w:val="12"/>
          <w:szCs w:val="12"/>
          <w:color w:val="auto"/>
        </w:rPr>
        <w:t>”)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was required to make payments of CDN $4,000 per month beginning May 31, 2011, increasing to CDN $6,000 per month on January 31, 2012. Beginning on January 1, 2012, the Company is also required to make payments equal to one-half of one percent (0.5%) of the net proceeds of all private or public equity financings closed during the term of the note. The note payable to Desjardins is due on June 30, 2014.</w:t>
      </w:r>
    </w:p>
    <w:p>
      <w:pPr>
        <w:spacing w:after="0" w:line="126" w:lineRule="exact"/>
        <w:rPr>
          <w:sz w:val="20"/>
          <w:szCs w:val="20"/>
          <w:color w:val="auto"/>
        </w:rPr>
      </w:pPr>
    </w:p>
    <w:p>
      <w:pPr>
        <w:jc w:val="both"/>
        <w:ind w:left="8" w:firstLine="432"/>
        <w:spacing w:after="0" w:line="310" w:lineRule="auto"/>
        <w:rPr>
          <w:sz w:val="20"/>
          <w:szCs w:val="20"/>
          <w:color w:val="auto"/>
        </w:rPr>
      </w:pPr>
      <w:r>
        <w:rPr>
          <w:rFonts w:ascii="Arial" w:cs="Arial" w:eastAsia="Arial" w:hAnsi="Arial"/>
          <w:sz w:val="10"/>
          <w:szCs w:val="10"/>
          <w:color w:val="auto"/>
        </w:rPr>
        <w:t>On May 5, 2011, the Company issued to McCarthy Tetrault LLP (“</w:t>
      </w:r>
      <w:r>
        <w:rPr>
          <w:rFonts w:ascii="Arial" w:cs="Arial" w:eastAsia="Arial" w:hAnsi="Arial"/>
          <w:sz w:val="10"/>
          <w:szCs w:val="10"/>
          <w:i w:val="1"/>
          <w:iCs w:val="1"/>
          <w:color w:val="auto"/>
        </w:rPr>
        <w:t>McCarthy</w:t>
      </w:r>
      <w:r>
        <w:rPr>
          <w:rFonts w:ascii="Arial" w:cs="Arial" w:eastAsia="Arial" w:hAnsi="Arial"/>
          <w:sz w:val="10"/>
          <w:szCs w:val="10"/>
          <w:color w:val="auto"/>
        </w:rPr>
        <w:t>”) an unsecured promissory note in the principal amount of CDN $502,797 for the amounts payable in connection with Canadian legal services provided to the Company. The McCarthy note bears interest at 7.5% and will be due, along with all accrued but unpaid interest on the earliest of (i) June 30, 2014, (ii) the consummation of a Change of Control, as defined in the McCarthy note, and</w:t>
      </w:r>
    </w:p>
    <w:p>
      <w:pPr>
        <w:jc w:val="both"/>
        <w:ind w:left="8" w:hanging="8"/>
        <w:spacing w:after="0" w:line="255" w:lineRule="auto"/>
        <w:tabs>
          <w:tab w:leader="none" w:pos="226" w:val="left"/>
        </w:tabs>
        <w:numPr>
          <w:ilvl w:val="0"/>
          <w:numId w:val="68"/>
        </w:numPr>
        <w:rPr>
          <w:rFonts w:ascii="Arial" w:cs="Arial" w:eastAsia="Arial" w:hAnsi="Arial"/>
          <w:sz w:val="12"/>
          <w:szCs w:val="12"/>
          <w:color w:val="auto"/>
        </w:rPr>
      </w:pPr>
      <w:r>
        <w:rPr>
          <w:rFonts w:ascii="Arial" w:cs="Arial" w:eastAsia="Arial" w:hAnsi="Arial"/>
          <w:sz w:val="12"/>
          <w:szCs w:val="12"/>
          <w:color w:val="auto"/>
        </w:rPr>
        <w:t xml:space="preserve">any failure to pay principal or interest when due. The Company was required to make payments of CDN $10,000 per month beginning May 31, 2011, which payment amounts increased to CDN $15,000 per month on January 31, 2012. Beginning on January 1, 2012, the Company is also required to make payments equal to one percent (1%) of the net proceeds of all private or public equity financings closed during the term of the note. The note payable to McCarthy is due on June 14, 2014. However, see Note 17, </w:t>
      </w:r>
      <w:r>
        <w:rPr>
          <w:rFonts w:ascii="Arial" w:cs="Arial" w:eastAsia="Arial" w:hAnsi="Arial"/>
          <w:sz w:val="12"/>
          <w:szCs w:val="12"/>
          <w:i w:val="1"/>
          <w:iCs w:val="1"/>
          <w:color w:val="auto"/>
        </w:rPr>
        <w:t>Subsequent Events,</w:t>
      </w:r>
      <w:r>
        <w:rPr>
          <w:rFonts w:ascii="Arial" w:cs="Arial" w:eastAsia="Arial" w:hAnsi="Arial"/>
          <w:sz w:val="12"/>
          <w:szCs w:val="12"/>
          <w:color w:val="auto"/>
        </w:rPr>
        <w:t xml:space="preserve"> regarding an amendment extending the maturity date of the McCarthy note and modifying other terms.</w:t>
      </w:r>
    </w:p>
    <w:p>
      <w:pPr>
        <w:spacing w:after="0" w:line="128"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On August 30, 2012, the Company issued a promissory note in the principal amount of $60,000 and 15,000 restricted shares of its common stock valued at a market price of $0.94 per share to Progressive Medical Research in settlement of past due obligations for clinical research services in the amount of $79,900. Under the terms of the settlement, the Company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the Company’s assets or upon the Company completing a financing transaction, or series of transactions, resulting in gross proceeds to the Company of at least $4.0 million in any three-month period, excluding proceeds from stock option or warrant exercises. The Company charged the loss on the settlement to interest expense.</w:t>
      </w:r>
    </w:p>
    <w:p>
      <w:pPr>
        <w:spacing w:after="0" w:line="24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143" w:name="page144"/>
    <w:bookmarkEnd w:id="143"/>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On October 12, 2009, the Company issued a promissory note payable to the Regents of the University of California (“</w:t>
      </w:r>
      <w:r>
        <w:rPr>
          <w:rFonts w:ascii="Arial" w:cs="Arial" w:eastAsia="Arial" w:hAnsi="Arial"/>
          <w:sz w:val="11"/>
          <w:szCs w:val="11"/>
          <w:i w:val="1"/>
          <w:iCs w:val="1"/>
          <w:color w:val="auto"/>
        </w:rPr>
        <w:t>UC</w:t>
      </w:r>
      <w:r>
        <w:rPr>
          <w:rFonts w:ascii="Arial" w:cs="Arial" w:eastAsia="Arial" w:hAnsi="Arial"/>
          <w:sz w:val="11"/>
          <w:szCs w:val="11"/>
          <w:color w:val="auto"/>
        </w:rPr>
        <w:t>”) with a principal balance of $90,000 in exchange for the cancellation of certain amounts payable under a research collaboration agreement (the “</w:t>
      </w:r>
      <w:r>
        <w:rPr>
          <w:rFonts w:ascii="Arial" w:cs="Arial" w:eastAsia="Arial" w:hAnsi="Arial"/>
          <w:sz w:val="11"/>
          <w:szCs w:val="11"/>
          <w:i w:val="1"/>
          <w:iCs w:val="1"/>
          <w:color w:val="auto"/>
        </w:rPr>
        <w:t>UC Note 1</w:t>
      </w:r>
      <w:r>
        <w:rPr>
          <w:rFonts w:ascii="Arial" w:cs="Arial" w:eastAsia="Arial" w:hAnsi="Arial"/>
          <w:sz w:val="11"/>
          <w:szCs w:val="11"/>
          <w:color w:val="auto"/>
        </w:rPr>
        <w:t>”). UC Note 1 was payable in monthly principal installments of $15,000 through May 30, 2010. Interest on UC Note 1 at 10% per annum was payable on May 30, 2010. If the Company had completed an initial public offering of its stock prior to May 30, 2010, the remaining balance of UC Note 1 would have been payable within 10 business days after the initial public offering was consummated. The Company made the first two monthly installments totaling an aggregate of $30,000. On February 25, 2010, the Company issued a promissory note payable to UC having a principal balance of $170,000 in exchange for the cancellation of the remaining $60,000 principal balance of UC Note 1 and certain amounts payable under a research collaboration agreement (“</w:t>
      </w:r>
      <w:r>
        <w:rPr>
          <w:rFonts w:ascii="Arial" w:cs="Arial" w:eastAsia="Arial" w:hAnsi="Arial"/>
          <w:sz w:val="11"/>
          <w:szCs w:val="11"/>
          <w:i w:val="1"/>
          <w:iCs w:val="1"/>
          <w:color w:val="auto"/>
        </w:rPr>
        <w:t>UC Note 2</w:t>
      </w:r>
      <w:r>
        <w:rPr>
          <w:rFonts w:ascii="Arial" w:cs="Arial" w:eastAsia="Arial" w:hAnsi="Arial"/>
          <w:sz w:val="11"/>
          <w:szCs w:val="11"/>
          <w:color w:val="auto"/>
        </w:rPr>
        <w:t>”). UC Note 2 was payable in monthly principal installments of $15,000 through May 31, 2010, with the remaining $125,000 plus all accrued and unpaid interest due on or before June 30, 2010. If the Company had completed an initial public offering of its stock prior to June 30, 2010, the remaining balance of the Note would have been payable within 10 business days after the initial public offering was consummated. On June 28, 2010, the Company amended UC Note 2 to extend the payment terms as follows: monthly installments of $15,000 payable through May 31, 2010, $10,000 due on June 30, 2010 and $115,000 plus all accrued and unpaid interest due and payable on or before August 30, 2010. On August 25, 2010 and again on October 30, 2010, the Company amended UC Note 2 to extend the date of the final installment payment to be made under UC Note 2 to December 31, 2010 while adding a strategic premium to preserve license rights under the research collaboration agreement in exchange for an increase in the then-outstanding principal amount of UC Note 2 by $15,000 to $125,000. On December 22, 2010, the Company amended UC Note 2 a fourth time and decreased the monthly payment amount to $5,000 with payments continuing until the outstanding balance of principal and interest is paid in full. The provision requiring the payment of the outstanding balance within 10 business days following the closing of an initial public offering remains unchanged.</w:t>
      </w:r>
    </w:p>
    <w:p>
      <w:pPr>
        <w:spacing w:after="0" w:line="11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March 1, 2010, the Company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Arial" w:cs="Arial" w:eastAsia="Arial" w:hAnsi="Arial"/>
          <w:sz w:val="12"/>
          <w:szCs w:val="12"/>
          <w:i w:val="1"/>
          <w:iCs w:val="1"/>
          <w:color w:val="auto"/>
        </w:rPr>
        <w:t>March 2010 Note</w:t>
      </w:r>
      <w:r>
        <w:rPr>
          <w:rFonts w:ascii="Arial" w:cs="Arial" w:eastAsia="Arial" w:hAnsi="Arial"/>
          <w:sz w:val="12"/>
          <w:szCs w:val="12"/>
          <w:color w:val="auto"/>
        </w:rPr>
        <w:t>”). If the Company had completed an initial public offering of its stock prior to any installment dates, $25,000 of the remaining balance of the March 2010 Note would have been due on June 30, 2010, and any remaining principal balance and all accrued and unpaid interest would have been payable within 90 business days after the initial public offering was consummated. On December 28, 2010, the Company amended the March 2010 Note and extended its maturity date to the first to occur of April 30, 2011 or 30 days following the closing of a financing with gross proceeds of $5,000,000 or more. The Company has been in extended discussions with the holder of the March 2010 Note and anticipates that the Note will be cancelled in favor of certain amounts payable to the Company equal to or greater than the outstanding balance of the Note.</w:t>
      </w:r>
    </w:p>
    <w:p>
      <w:pPr>
        <w:spacing w:after="0" w:line="14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August 13, 2010, the Company issued a 10% promissory note with a principal balance of $40,962 to MicroConstants, Inc. in exchange for the cancellation of certain amounts payable for services rendered. Under the terms of this note, the Company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the Company’s stock or assets.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Capital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Series A Preferred Stock</w:t>
      </w:r>
    </w:p>
    <w:p>
      <w:pPr>
        <w:spacing w:after="0" w:line="172"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In December 2011, the Company’s Board of Directors authorized the creation of a series of up to 500,000 shares of Series A Preferred Stock, par value $0.001 (“</w:t>
      </w:r>
      <w:r>
        <w:rPr>
          <w:rFonts w:ascii="Arial" w:cs="Arial" w:eastAsia="Arial" w:hAnsi="Arial"/>
          <w:sz w:val="11"/>
          <w:szCs w:val="11"/>
          <w:i w:val="1"/>
          <w:iCs w:val="1"/>
          <w:color w:val="auto"/>
        </w:rPr>
        <w:t>Series A Preferred</w:t>
      </w:r>
      <w:r>
        <w:rPr>
          <w:rFonts w:ascii="Arial" w:cs="Arial" w:eastAsia="Arial" w:hAnsi="Arial"/>
          <w:sz w:val="11"/>
          <w:szCs w:val="11"/>
          <w:color w:val="auto"/>
        </w:rPr>
        <w:t>”). Each restricted share of Series A Preferred was initially convertible at the option of the holder into ten restricted shares of the Company's common stock. The Series A Preferred ranks prior to the common stock for purposes of liquidation preference.</w:t>
      </w:r>
    </w:p>
    <w:p>
      <w:pPr>
        <w:spacing w:after="0" w:line="11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44" w:name="page145"/>
    <w:bookmarkEnd w:id="144"/>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the Company’s common stock.</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the event of the liquidation, dissolution or winding up of the affairs of the Company, after payment or provision for payment of the debts and other liabilities of the Company, the holders of Series A Preferred then outstanding shall be entitled to receive an amount per share of Series A Preferred calculated by taking the total amount available for distribution to holders of all the Company's outstanding common stock before deduction of any preference payments for the Series A Preferred, divided by the total of (x), all of the then outstanding shares of the Company's common stock, plus (y) all of the shares of the Company's common stock into which all of the outstanding shares of the Series A Preferred can be converted before any payment shall be made or any assets distributed to the holders of the common stock or any other junior stock.</w:t>
      </w:r>
    </w:p>
    <w:p>
      <w:pPr>
        <w:spacing w:after="0" w:line="14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At March 31, 2014 and 2013, there were 500,000 restricted shares of Series A Preferred outstanding, all issued to Platinum. Platinum acquired the Series A Preferred pursuant to the transactions described below. In October 2012, Platinum’s exchange rights with respect to the Series A Preferred were modified as described in the section entitled Modification of Series A Preferred Exchange Rights and Deemed Dividend, below.</w:t>
      </w:r>
    </w:p>
    <w:p>
      <w:pPr>
        <w:spacing w:after="0" w:line="110" w:lineRule="exact"/>
        <w:rPr>
          <w:sz w:val="20"/>
          <w:szCs w:val="20"/>
          <w:color w:val="auto"/>
        </w:rPr>
      </w:pPr>
    </w:p>
    <w:p>
      <w:pPr>
        <w:ind w:left="860" w:hanging="451"/>
        <w:spacing w:after="0"/>
        <w:tabs>
          <w:tab w:leader="none" w:pos="860" w:val="left"/>
        </w:tabs>
        <w:numPr>
          <w:ilvl w:val="0"/>
          <w:numId w:val="69"/>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December 2011 Common Stock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On December 22, 2011, the Company entered into a Common Stock Exchange Agreement (the "</w:t>
      </w:r>
      <w:r>
        <w:rPr>
          <w:rFonts w:ascii="Arial" w:cs="Arial" w:eastAsia="Arial" w:hAnsi="Arial"/>
          <w:sz w:val="12"/>
          <w:szCs w:val="12"/>
          <w:i w:val="1"/>
          <w:iCs w:val="1"/>
          <w:color w:val="auto"/>
        </w:rPr>
        <w:t>Exchange Agreement</w:t>
      </w:r>
      <w:r>
        <w:rPr>
          <w:rFonts w:ascii="Arial" w:cs="Arial" w:eastAsia="Arial" w:hAnsi="Arial"/>
          <w:sz w:val="12"/>
          <w:szCs w:val="12"/>
          <w:color w:val="auto"/>
        </w:rPr>
        <w:t>") with Platinum, pursuant to which Platinum converted 484,000 restricted shares of the Company’s common stock into 45,980 restricted shares of Series A Preferred (the "</w:t>
      </w:r>
      <w:r>
        <w:rPr>
          <w:rFonts w:ascii="Arial" w:cs="Arial" w:eastAsia="Arial" w:hAnsi="Arial"/>
          <w:sz w:val="12"/>
          <w:szCs w:val="12"/>
          <w:i w:val="1"/>
          <w:iCs w:val="1"/>
          <w:color w:val="auto"/>
        </w:rPr>
        <w:t>Exchange</w:t>
      </w:r>
      <w:r>
        <w:rPr>
          <w:rFonts w:ascii="Arial" w:cs="Arial" w:eastAsia="Arial" w:hAnsi="Arial"/>
          <w:sz w:val="12"/>
          <w:szCs w:val="12"/>
          <w:color w:val="auto"/>
        </w:rPr>
        <w:t>"). Each restricted share of Series A Preferred issued to Platinum was initially convertible into ten restricted shares of the Company’s common stock. At the time of the Exchange, the Company determined the fair value of the common stock subject to the Exchange to be $1.55 per share and has reflected the 484,000 restricted common shares as treasury stock on that basis in the accompanying Consolidated Balance Sheet at March 31, 2014 and 2013.</w:t>
      </w:r>
    </w:p>
    <w:p>
      <w:pPr>
        <w:spacing w:after="0" w:line="142" w:lineRule="exact"/>
        <w:rPr>
          <w:rFonts w:ascii="Arial" w:cs="Arial" w:eastAsia="Arial" w:hAnsi="Arial"/>
          <w:sz w:val="12"/>
          <w:szCs w:val="12"/>
          <w:b w:val="1"/>
          <w:bCs w:val="1"/>
          <w:color w:val="auto"/>
        </w:rPr>
      </w:pPr>
    </w:p>
    <w:p>
      <w:pPr>
        <w:ind w:left="860" w:hanging="451"/>
        <w:spacing w:after="0"/>
        <w:tabs>
          <w:tab w:leader="none" w:pos="860" w:val="left"/>
        </w:tabs>
        <w:numPr>
          <w:ilvl w:val="0"/>
          <w:numId w:val="69"/>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December 2011 Note and Warrant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83" w:lineRule="auto"/>
        <w:rPr>
          <w:rFonts w:ascii="Arial" w:cs="Arial" w:eastAsia="Arial" w:hAnsi="Arial"/>
          <w:sz w:val="12"/>
          <w:szCs w:val="12"/>
          <w:b w:val="1"/>
          <w:bCs w:val="1"/>
          <w:color w:val="auto"/>
        </w:rPr>
      </w:pPr>
      <w:r>
        <w:rPr>
          <w:rFonts w:ascii="Arial" w:cs="Arial" w:eastAsia="Arial" w:hAnsi="Arial"/>
          <w:sz w:val="11"/>
          <w:szCs w:val="11"/>
          <w:color w:val="auto"/>
        </w:rPr>
        <w:t>On December 29, 2011, the Company and Platinum entered into a Note and Warrant Exchange Agreement pursuant to which a promissory note in the face amount of $4,000,000 plus accrued interest and all outstanding warrants issued to Platinum to purchase an aggregate of 1,599,858 restricted shares of the Company’s common stock were cancelled in exchange for 391,075 restricted shares of Series A Preferred. Each share of Series A Preferred was initially convertible into ten shares of the Company’s common stock. The Company issued 231,090 restricted shares of Series A Preferred to Platinum in connection with the note cancellation based on the sum of the $4,000,000 principal balance of the note plus accrued but unpaid interest through May 11, 2011 adjusted for a 125% conversion premium, net of the $1,719,800 aggregate exercise price of the 1,599,858 outstanding warrants held by Platinum, and a contractual conversion basis of $1.75 per common share, all adjusted for the initial 1:10 Series A Preferred to common exchange ratio. An additional 159,985 restricted shares of Series A Preferred were issued to Platinum in connection with the warrant exercise and exchange to acquire the common shares issued upon the warrant exercise.</w:t>
      </w:r>
    </w:p>
    <w:p>
      <w:pPr>
        <w:spacing w:after="0" w:line="131" w:lineRule="exact"/>
        <w:rPr>
          <w:rFonts w:ascii="Arial" w:cs="Arial" w:eastAsia="Arial" w:hAnsi="Arial"/>
          <w:sz w:val="12"/>
          <w:szCs w:val="12"/>
          <w:b w:val="1"/>
          <w:bCs w:val="1"/>
          <w:color w:val="auto"/>
        </w:rPr>
      </w:pPr>
    </w:p>
    <w:p>
      <w:pPr>
        <w:ind w:left="860" w:hanging="451"/>
        <w:spacing w:after="0"/>
        <w:tabs>
          <w:tab w:leader="none" w:pos="860" w:val="left"/>
        </w:tabs>
        <w:numPr>
          <w:ilvl w:val="0"/>
          <w:numId w:val="69"/>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2012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57" w:lineRule="auto"/>
        <w:rPr>
          <w:rFonts w:ascii="Arial" w:cs="Arial" w:eastAsia="Arial" w:hAnsi="Arial"/>
          <w:sz w:val="12"/>
          <w:szCs w:val="12"/>
          <w:b w:val="1"/>
          <w:bCs w:val="1"/>
          <w:color w:val="auto"/>
        </w:rPr>
      </w:pPr>
      <w:r>
        <w:rPr>
          <w:rFonts w:ascii="Arial" w:cs="Arial" w:eastAsia="Arial" w:hAnsi="Arial"/>
          <w:sz w:val="12"/>
          <w:szCs w:val="12"/>
          <w:color w:val="auto"/>
        </w:rPr>
        <w:t>On June 29, 2012, the Company and Platinum entered into an Exchange Agreement (the “</w:t>
      </w:r>
      <w:r>
        <w:rPr>
          <w:rFonts w:ascii="Arial" w:cs="Arial" w:eastAsia="Arial" w:hAnsi="Arial"/>
          <w:sz w:val="12"/>
          <w:szCs w:val="12"/>
          <w:i w:val="1"/>
          <w:iCs w:val="1"/>
          <w:color w:val="auto"/>
        </w:rPr>
        <w:t>2012 Platinum Exchange Agreement</w:t>
      </w:r>
      <w:r>
        <w:rPr>
          <w:rFonts w:ascii="Arial" w:cs="Arial" w:eastAsia="Arial" w:hAnsi="Arial"/>
          <w:sz w:val="12"/>
          <w:szCs w:val="12"/>
          <w:color w:val="auto"/>
        </w:rPr>
        <w:t xml:space="preserve">”) pursuant to which the Company issued Platinum 62,945 restricted shares of Series A Preferred in exchange for 629,450 restricted shares of common stock then owned by Platinum, in consideration for Platinum’s agreement to purchase from the Company the July 2012 Platinum Note, as described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The Company estimated the fair value of the Series A Preferred shares tendered to Platinum under the terms of the 2012 Platinum Exchange Agreement at $736,400 ($1.17 per share on a common share equivalent basis). The common shares exchanged for shares of Series A Preferred are treated as treasury stock on that basis in the accompanying Consolidated Balance Sheet at March 31, 2014 and 2013.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45" w:name="page146"/>
    <w:bookmarkEnd w:id="145"/>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Series A Preferred Exchange Right and Deemed Dividends</w:t>
      </w:r>
    </w:p>
    <w:p>
      <w:pPr>
        <w:spacing w:after="0" w:line="172"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 xml:space="preserve">Pursuant to the October 2012 Agreement described more completely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Platinum’s exchange rights in the Series A Preferred were modified such that Platinum now has the right and option to exchange the 500,000 restricted shares of the Company’s Series A Preferred that it holds for (i) a total of 15,000,000 restricted shares of the Company’s common stock, and (ii) a five-year warrant to purchase 7,500,000 restricted shares of the Company’s common stock at an initial exercise price of $1.50 per share (the “</w:t>
      </w:r>
      <w:r>
        <w:rPr>
          <w:rFonts w:ascii="Arial" w:cs="Arial" w:eastAsia="Arial" w:hAnsi="Arial"/>
          <w:sz w:val="11"/>
          <w:szCs w:val="11"/>
          <w:i w:val="1"/>
          <w:iCs w:val="1"/>
          <w:color w:val="auto"/>
        </w:rPr>
        <w:t>Series A Exchange Warrant</w:t>
      </w:r>
      <w:r>
        <w:rPr>
          <w:rFonts w:ascii="Arial" w:cs="Arial" w:eastAsia="Arial" w:hAnsi="Arial"/>
          <w:sz w:val="11"/>
          <w:szCs w:val="11"/>
          <w:color w:val="auto"/>
        </w:rPr>
        <w:t>”). See the section entitled Modification of Platinum Warrants, later in this note, for a description of the subsequent modification of the exercise price of the Series A Preferred Exchange Warrant. The modification of the exchange ratio resulted in a deemed dividend of $7,125,000 to Platinum for accounting purposes, which has been reflected in the accompanying Consolidated Statement of Operations and Comprehensive Loss for the fiscal year ended March 31, 2013. The amount of the deemed dividend in the accompanying Consolidated Statement of Operations and Comprehensive Loss for the fiscal year ended March 31, 2013 was determined as the sum of (i) the value of the 10 million incremental shares to which Platinum is entitled pursuant to the October 2012 Agreement valued at the $0.75 per share quoted market price for the Company’s common stock on the date of the agreement, an aggregate of $7.5 million, adjusted for an expected 95% probability of exercise of the exchange rights by Platinum, or $7,125,000; and (ii) .the fair value of the Series A Exchange Warrant at the date of the October 2012 Agreement, determined to be $0.43 per share, or $3,228,700, on the date of the agreement using the Black Scholes Option Pricing Model and the following assumptions: market price per share: $0.75; exercise price per share: $1.50; risk-free interest rate: 0.67%; contractual term: 5 years; volatility: 89.9%; expected dividend rate: 0%; and adjusted for an expected 95% probability of exercise of the exchange rights by Platinum. The adjusted fair value of the warrant, $3,068,200 was recognized as a component of the Warrant Liability in the in the accompanying Consolidated Balance Sheet at March 31, 2013, with a corresponding charge to Additional paid-in capital.</w:t>
      </w:r>
    </w:p>
    <w:p>
      <w:pPr>
        <w:spacing w:after="0" w:line="13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fair value of the Series A Exchange Warrant was re-measured as of March 31, 2013 at $4,406,000 and the $1,337,800 increase in fair value since the inception of the October 2012 Agreement is reflected as a component of the Change in Warrant Liability in the accompanying Consolidated Statement of Operations and Comprehensive Loss for the fiscal year ended March 31, 2013. The fair value of the Series A Exchange Warrant was re-measured as of March 31, 2014 at $2,058,600 and the $2,347,400 decrease in fair value since March 31, 2013 is reflected as a component of the Change in Warrant Liability in the accompanying Consolidated Statement of Operations and Comprehensive Loss for the fiscal year ended March 31, 2014.</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Conversion of Pre-Merger Preferred Stock</w:t>
      </w:r>
    </w:p>
    <w:p>
      <w:pPr>
        <w:spacing w:after="0" w:line="17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On May 11, 2011, concurrent with the Merger, all holders of VistaGen California's then-outstanding preferred stock converted all of their preferred shares into 2,884,655 restricted shares of VistaGen California common stock so that, at the completion of the Merger, VistaGen California had no preferred stock outstanding. All shares of VistaGen California common stock were then acquired by the Company in connection with the Merger.</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Autilion AG Securities Purchase Agreement</w:t>
      </w:r>
    </w:p>
    <w:p>
      <w:pPr>
        <w:spacing w:after="0" w:line="172" w:lineRule="exact"/>
        <w:rPr>
          <w:sz w:val="20"/>
          <w:szCs w:val="20"/>
          <w:color w:val="auto"/>
        </w:rPr>
      </w:pPr>
    </w:p>
    <w:p>
      <w:pPr>
        <w:jc w:val="both"/>
        <w:ind w:firstLine="540"/>
        <w:spacing w:after="0" w:line="253" w:lineRule="auto"/>
        <w:rPr>
          <w:sz w:val="20"/>
          <w:szCs w:val="20"/>
          <w:color w:val="auto"/>
        </w:rPr>
      </w:pPr>
      <w:r>
        <w:rPr>
          <w:rFonts w:ascii="Arial" w:cs="Arial" w:eastAsia="Arial" w:hAnsi="Arial"/>
          <w:sz w:val="12"/>
          <w:szCs w:val="12"/>
          <w:color w:val="auto"/>
        </w:rPr>
        <w:t>On April 8, 2013, the Company entered into a Securities Purchase Agreement (as amended, the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 company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On April 12, 2013, Autilion assigned the Securities Purchase Agreement to its affiliate, Bergamo Acquisition Corp. PTE LTD, a corporation organized and existing under the laws of Singapore (“</w:t>
      </w:r>
      <w:r>
        <w:rPr>
          <w:rFonts w:ascii="Arial" w:cs="Arial" w:eastAsia="Arial" w:hAnsi="Arial"/>
          <w:sz w:val="12"/>
          <w:szCs w:val="12"/>
          <w:i w:val="1"/>
          <w:iCs w:val="1"/>
          <w:color w:val="auto"/>
        </w:rPr>
        <w:t>Bergamo Singapore</w:t>
      </w:r>
      <w:r>
        <w:rPr>
          <w:rFonts w:ascii="Arial" w:cs="Arial" w:eastAsia="Arial" w:hAnsi="Arial"/>
          <w:sz w:val="12"/>
          <w:szCs w:val="12"/>
          <w:color w:val="auto"/>
        </w:rPr>
        <w:t>”). On April 30, 2013, the Company and Bergamo Singapore amended the Securities Purchase Agreement to modify the investment dates. On June 27, 2013, the Company, Autilion and Bergamo Singapore further amended the Securities Purchase Agreement to vacate Autilion’s April 2013 assignment of the Securities Purchase Agreement to Bergamo Singapore, provide for an initial closing under the Securities Purchase Agreement, and amend certain of the investment dates under the Securities Purchase Agreement. Under the terms of the Securities Purchase Agreement, Autilion is contractually obligated to purchase an aggregate of 72.0 million restricted shares of the Company’s common stock at a purchase price of $0.50 per share for aggregate cash consideration of $36.0 million, in a series of closings scheduled to have occurred by September 30, 2013 (the “</w:t>
      </w:r>
      <w:r>
        <w:rPr>
          <w:rFonts w:ascii="Arial" w:cs="Arial" w:eastAsia="Arial" w:hAnsi="Arial"/>
          <w:sz w:val="12"/>
          <w:szCs w:val="12"/>
          <w:i w:val="1"/>
          <w:iCs w:val="1"/>
          <w:color w:val="auto"/>
        </w:rPr>
        <w:t>Autilion Financing</w:t>
      </w:r>
      <w:r>
        <w:rPr>
          <w:rFonts w:ascii="Arial" w:cs="Arial" w:eastAsia="Arial" w:hAnsi="Arial"/>
          <w:sz w:val="12"/>
          <w:szCs w:val="12"/>
          <w:color w:val="auto"/>
        </w:rPr>
        <w:t>”). Through March 31, 2014, Autilion had completed only a nominal initial closing under the Securities Purchase Agreement, in the amount of $25,000, and the Company had issued 50,000 restricted shares of its common stock. As of the date of this report, Autilion has not completed a subsequent closing of the Autilion Financing. Therefore, Autilion is in default under the Securities Purchase Agreement, and the Company can provide no assurance that Autilion will complete a material closing under the Securities Purchase Agreement.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46" w:name="page147"/>
    <w:bookmarkEnd w:id="146"/>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2013/2014 Unit Private Placement</w:t>
      </w:r>
    </w:p>
    <w:p>
      <w:pPr>
        <w:spacing w:after="0" w:line="17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Between August 2013 and March 2014, the Company entered into securities purchase agreements with accredited investors pursuant to which it sold to such investors Units each consisting of (i) a 10% convertible promissory note in the face amount of $5,000 maturing on July 30, 2014 (the “</w:t>
      </w:r>
      <w:r>
        <w:rPr>
          <w:rFonts w:ascii="Arial" w:cs="Arial" w:eastAsia="Arial" w:hAnsi="Arial"/>
          <w:sz w:val="11"/>
          <w:szCs w:val="11"/>
          <w:i w:val="1"/>
          <w:iCs w:val="1"/>
          <w:color w:val="auto"/>
        </w:rPr>
        <w:t>2013/2014 Unit Note</w:t>
      </w:r>
      <w:r>
        <w:rPr>
          <w:rFonts w:ascii="Arial" w:cs="Arial" w:eastAsia="Arial" w:hAnsi="Arial"/>
          <w:sz w:val="11"/>
          <w:szCs w:val="11"/>
          <w:color w:val="auto"/>
        </w:rPr>
        <w:t>”); (ii) 10,000 restricted shares of the Company’s common stock (the “</w:t>
      </w:r>
      <w:r>
        <w:rPr>
          <w:rFonts w:ascii="Arial" w:cs="Arial" w:eastAsia="Arial" w:hAnsi="Arial"/>
          <w:sz w:val="11"/>
          <w:szCs w:val="11"/>
          <w:i w:val="1"/>
          <w:iCs w:val="1"/>
          <w:color w:val="auto"/>
        </w:rPr>
        <w:t>2013/2014 Unit Stock</w:t>
      </w:r>
      <w:r>
        <w:rPr>
          <w:rFonts w:ascii="Arial" w:cs="Arial" w:eastAsia="Arial" w:hAnsi="Arial"/>
          <w:sz w:val="11"/>
          <w:szCs w:val="11"/>
          <w:color w:val="auto"/>
        </w:rPr>
        <w:t>”); and (iii) a warrant exercisable through July 30, 2016 to purchase 10,000 restricted shares of the Company’s common stock at an exercise price of $1.00 per share (the “</w:t>
      </w:r>
      <w:r>
        <w:rPr>
          <w:rFonts w:ascii="Arial" w:cs="Arial" w:eastAsia="Arial" w:hAnsi="Arial"/>
          <w:sz w:val="11"/>
          <w:szCs w:val="11"/>
          <w:i w:val="1"/>
          <w:iCs w:val="1"/>
          <w:color w:val="auto"/>
        </w:rPr>
        <w:t>2013/2014 Unit Warrant</w:t>
      </w:r>
      <w:r>
        <w:rPr>
          <w:rFonts w:ascii="Arial" w:cs="Arial" w:eastAsia="Arial" w:hAnsi="Arial"/>
          <w:sz w:val="11"/>
          <w:szCs w:val="11"/>
          <w:color w:val="auto"/>
        </w:rPr>
        <w:t>”). The Company issued 2013/2014 Unit Notes in the aggregate face amount of $1,007,500; an aggregate of 2,015,000 restricted shares of 2013/2014 Unit Stock, and warrants to purchase an aggregate of 2,015,000 restricted shares of the Company’s common stock pursuant to the 2013/2014 Unit Warrants, and received cash proceeds of $1,007,500, including $50,000 in lieu of repayment of previous advances to the Company made by one of its executive officers. The 2013/2014 Unit Notes and related accrued interest are convertible into restricted shares of the Company’s common stock at a conversion price of $0.50 per share at or prior to maturity, at the option of each investor.</w:t>
      </w:r>
    </w:p>
    <w:p>
      <w:pPr>
        <w:spacing w:after="0" w:line="13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The Company allocated the proceeds from the sale of the Units to the various securities in each Unit based on their relative fair value on the dates of the sales. As described in Note 8, </w:t>
      </w:r>
      <w:r>
        <w:rPr>
          <w:rFonts w:ascii="Arial" w:cs="Arial" w:eastAsia="Arial" w:hAnsi="Arial"/>
          <w:sz w:val="12"/>
          <w:szCs w:val="12"/>
          <w:i w:val="1"/>
          <w:iCs w:val="1"/>
          <w:color w:val="auto"/>
        </w:rPr>
        <w:t>Convertible Promissory Notes and Other</w:t>
      </w:r>
      <w:r>
        <w:rPr>
          <w:rFonts w:ascii="Arial" w:cs="Arial" w:eastAsia="Arial" w:hAnsi="Arial"/>
          <w:sz w:val="12"/>
          <w:szCs w:val="12"/>
          <w:color w:val="auto"/>
        </w:rPr>
        <w:t xml:space="preserve"> </w:t>
      </w:r>
      <w:r>
        <w:rPr>
          <w:rFonts w:ascii="Arial" w:cs="Arial" w:eastAsia="Arial" w:hAnsi="Arial"/>
          <w:sz w:val="12"/>
          <w:szCs w:val="12"/>
          <w:i w:val="1"/>
          <w:iCs w:val="1"/>
          <w:color w:val="auto"/>
        </w:rPr>
        <w:t>Notes Payable</w:t>
      </w:r>
      <w:r>
        <w:rPr>
          <w:rFonts w:ascii="Arial" w:cs="Arial" w:eastAsia="Arial" w:hAnsi="Arial"/>
          <w:sz w:val="12"/>
          <w:szCs w:val="12"/>
          <w:color w:val="auto"/>
        </w:rPr>
        <w:t>, based on the short-term nature of the 2013/2014 Unit Notes, the Company determined that fair value of the 2013/2014 Unit Notes was equal to their face value. The Company determined the fair value of the 2013/2014 Unit</w:t>
      </w:r>
      <w:r>
        <w:rPr>
          <w:rFonts w:ascii="Arial" w:cs="Arial" w:eastAsia="Arial" w:hAnsi="Arial"/>
          <w:sz w:val="12"/>
          <w:szCs w:val="12"/>
          <w:i w:val="1"/>
          <w:iCs w:val="1"/>
          <w:color w:val="auto"/>
        </w:rPr>
        <w:t xml:space="preserve"> </w:t>
      </w:r>
      <w:r>
        <w:rPr>
          <w:rFonts w:ascii="Arial" w:cs="Arial" w:eastAsia="Arial" w:hAnsi="Arial"/>
          <w:sz w:val="12"/>
          <w:szCs w:val="12"/>
          <w:color w:val="auto"/>
        </w:rPr>
        <w:t>Stock based on the quoted market price of its stock on the date of the Unit sale. The Company calculated the fair value of the 2013/2014 Unit Warrants using the Black Scholes Option Pricing Model and the weighted average assumptions indicated in the table below. The table below also presents the aggregate allocation of the Unit sales proceeds based on the relative fair values of the 2013/2014 Unit Stock, 2013/2014 Unit Warrants and 2013/2014 Unit Notes at the Unit sales date.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2"/>
                <w:szCs w:val="12"/>
                <w:color w:val="auto"/>
              </w:rPr>
              <w:t>2013/2014 Unit Warrants</w:t>
            </w: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40" w:type="dxa"/>
            <w:vAlign w:val="bottom"/>
            <w:gridSpan w:val="4"/>
          </w:tcPr>
          <w:p>
            <w:pPr>
              <w:jc w:val="right"/>
              <w:ind w:right="160"/>
              <w:spacing w:after="0"/>
              <w:rPr>
                <w:sz w:val="20"/>
                <w:szCs w:val="20"/>
                <w:color w:val="auto"/>
              </w:rPr>
            </w:pPr>
            <w:r>
              <w:rPr>
                <w:rFonts w:ascii="Arial" w:cs="Arial" w:eastAsia="Arial" w:hAnsi="Arial"/>
                <w:sz w:val="12"/>
                <w:szCs w:val="12"/>
                <w:color w:val="auto"/>
                <w:w w:val="92"/>
              </w:rPr>
              <w:t>Weighted Average Issuance Date Valuation Assumptions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restart"/>
          </w:tcPr>
          <w:p>
            <w:pPr>
              <w:jc w:val="center"/>
              <w:ind w:left="100"/>
              <w:spacing w:after="0"/>
              <w:rPr>
                <w:sz w:val="20"/>
                <w:szCs w:val="20"/>
                <w:color w:val="auto"/>
              </w:rPr>
            </w:pPr>
            <w:r>
              <w:rPr>
                <w:rFonts w:ascii="Arial" w:cs="Arial" w:eastAsia="Arial" w:hAnsi="Arial"/>
                <w:sz w:val="12"/>
                <w:szCs w:val="12"/>
                <w:color w:val="auto"/>
                <w:w w:val="85"/>
              </w:rPr>
              <w:t>Per Share</w:t>
            </w:r>
          </w:p>
        </w:tc>
        <w:tc>
          <w:tcPr>
            <w:tcW w:w="220" w:type="dxa"/>
            <w:vAlign w:val="bottom"/>
          </w:tcPr>
          <w:p>
            <w:pPr>
              <w:spacing w:after="0"/>
              <w:rPr>
                <w:sz w:val="13"/>
                <w:szCs w:val="13"/>
                <w:color w:val="auto"/>
              </w:rPr>
            </w:pPr>
          </w:p>
        </w:tc>
        <w:tc>
          <w:tcPr>
            <w:tcW w:w="1020" w:type="dxa"/>
            <w:vAlign w:val="bottom"/>
            <w:gridSpan w:val="2"/>
            <w:vMerge w:val="restart"/>
          </w:tcPr>
          <w:p>
            <w:pPr>
              <w:spacing w:after="0"/>
              <w:rPr>
                <w:sz w:val="20"/>
                <w:szCs w:val="20"/>
                <w:color w:val="auto"/>
              </w:rPr>
            </w:pPr>
            <w:r>
              <w:rPr>
                <w:rFonts w:ascii="Arial" w:cs="Arial" w:eastAsia="Arial" w:hAnsi="Arial"/>
                <w:sz w:val="12"/>
                <w:szCs w:val="12"/>
                <w:color w:val="auto"/>
              </w:rPr>
              <w:t>Aggregate</w:t>
            </w:r>
          </w:p>
        </w:tc>
        <w:tc>
          <w:tcPr>
            <w:tcW w:w="920" w:type="dxa"/>
            <w:vAlign w:val="bottom"/>
            <w:vMerge w:val="restart"/>
          </w:tcPr>
          <w:p>
            <w:pPr>
              <w:jc w:val="center"/>
              <w:ind w:right="80"/>
              <w:spacing w:after="0"/>
              <w:rPr>
                <w:sz w:val="20"/>
                <w:szCs w:val="20"/>
                <w:color w:val="auto"/>
              </w:rPr>
            </w:pPr>
            <w:r>
              <w:rPr>
                <w:rFonts w:ascii="Arial" w:cs="Arial" w:eastAsia="Arial" w:hAnsi="Arial"/>
                <w:sz w:val="12"/>
                <w:szCs w:val="12"/>
                <w:color w:val="auto"/>
                <w:w w:val="90"/>
              </w:rPr>
              <w:t>Aggregate</w:t>
            </w:r>
          </w:p>
        </w:tc>
        <w:tc>
          <w:tcPr>
            <w:tcW w:w="2560" w:type="dxa"/>
            <w:vAlign w:val="bottom"/>
            <w:gridSpan w:val="3"/>
            <w:vMerge w:val="restart"/>
          </w:tcPr>
          <w:p>
            <w:pPr>
              <w:jc w:val="center"/>
              <w:ind w:left="420"/>
              <w:spacing w:after="0"/>
              <w:rPr>
                <w:sz w:val="20"/>
                <w:szCs w:val="20"/>
                <w:color w:val="auto"/>
              </w:rPr>
            </w:pPr>
            <w:r>
              <w:rPr>
                <w:rFonts w:ascii="Arial" w:cs="Arial" w:eastAsia="Arial" w:hAnsi="Arial"/>
                <w:sz w:val="12"/>
                <w:szCs w:val="12"/>
                <w:color w:val="auto"/>
                <w:w w:val="92"/>
              </w:rPr>
              <w:t>Aggregate Allocation of Proceeds</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56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0" w:type="dxa"/>
            <w:vAlign w:val="bottom"/>
          </w:tcPr>
          <w:p>
            <w:pPr>
              <w:jc w:val="center"/>
              <w:spacing w:after="0"/>
              <w:rPr>
                <w:sz w:val="20"/>
                <w:szCs w:val="20"/>
                <w:color w:val="auto"/>
              </w:rPr>
            </w:pPr>
            <w:r>
              <w:rPr>
                <w:rFonts w:ascii="Arial" w:cs="Arial" w:eastAsia="Arial" w:hAnsi="Arial"/>
                <w:sz w:val="12"/>
                <w:szCs w:val="12"/>
                <w:color w:val="auto"/>
                <w:w w:val="88"/>
              </w:rPr>
              <w:t>Warrant</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jc w:val="center"/>
              <w:ind w:right="100"/>
              <w:spacing w:after="0"/>
              <w:rPr>
                <w:sz w:val="20"/>
                <w:szCs w:val="20"/>
                <w:color w:val="auto"/>
              </w:rPr>
            </w:pPr>
            <w:r>
              <w:rPr>
                <w:rFonts w:ascii="Arial" w:cs="Arial" w:eastAsia="Arial" w:hAnsi="Arial"/>
                <w:sz w:val="12"/>
                <w:szCs w:val="12"/>
                <w:color w:val="auto"/>
                <w:w w:val="92"/>
              </w:rPr>
              <w:t>Risk free</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left="120"/>
              <w:spacing w:after="0"/>
              <w:rPr>
                <w:sz w:val="20"/>
                <w:szCs w:val="20"/>
                <w:color w:val="auto"/>
              </w:rPr>
            </w:pPr>
            <w:r>
              <w:rPr>
                <w:rFonts w:ascii="Arial" w:cs="Arial" w:eastAsia="Arial" w:hAnsi="Arial"/>
                <w:sz w:val="12"/>
                <w:szCs w:val="12"/>
                <w:color w:val="auto"/>
                <w:w w:val="96"/>
              </w:rPr>
              <w:t>Fair</w:t>
            </w:r>
          </w:p>
        </w:tc>
        <w:tc>
          <w:tcPr>
            <w:tcW w:w="22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Fair Value</w:t>
            </w:r>
          </w:p>
        </w:tc>
        <w:tc>
          <w:tcPr>
            <w:tcW w:w="920" w:type="dxa"/>
            <w:vAlign w:val="bottom"/>
          </w:tcPr>
          <w:p>
            <w:pPr>
              <w:jc w:val="center"/>
              <w:ind w:right="60"/>
              <w:spacing w:after="0"/>
              <w:rPr>
                <w:sz w:val="20"/>
                <w:szCs w:val="20"/>
                <w:color w:val="auto"/>
              </w:rPr>
            </w:pPr>
            <w:r>
              <w:rPr>
                <w:rFonts w:ascii="Arial" w:cs="Arial" w:eastAsia="Arial" w:hAnsi="Arial"/>
                <w:sz w:val="12"/>
                <w:szCs w:val="12"/>
                <w:color w:val="auto"/>
                <w:w w:val="86"/>
              </w:rPr>
              <w:t>Proceeds</w:t>
            </w:r>
          </w:p>
        </w:tc>
        <w:tc>
          <w:tcPr>
            <w:tcW w:w="256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2"/>
                <w:szCs w:val="12"/>
                <w:color w:val="auto"/>
                <w:w w:val="90"/>
              </w:rPr>
              <w:t>Based on Relative Fair Value of:</w:t>
            </w: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84"/>
              </w:rPr>
              <w:t>Shares</w:t>
            </w:r>
          </w:p>
        </w:tc>
        <w:tc>
          <w:tcPr>
            <w:tcW w:w="82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92"/>
              </w:rPr>
              <w:t>Market</w:t>
            </w:r>
          </w:p>
        </w:tc>
        <w:tc>
          <w:tcPr>
            <w:tcW w:w="780" w:type="dxa"/>
            <w:vAlign w:val="bottom"/>
          </w:tcPr>
          <w:p>
            <w:pPr>
              <w:jc w:val="center"/>
              <w:ind w:right="100"/>
              <w:spacing w:after="0" w:line="133" w:lineRule="exact"/>
              <w:rPr>
                <w:sz w:val="20"/>
                <w:szCs w:val="20"/>
                <w:color w:val="auto"/>
              </w:rPr>
            </w:pPr>
            <w:r>
              <w:rPr>
                <w:rFonts w:ascii="Arial" w:cs="Arial" w:eastAsia="Arial" w:hAnsi="Arial"/>
                <w:sz w:val="12"/>
                <w:szCs w:val="12"/>
                <w:color w:val="auto"/>
                <w:w w:val="91"/>
              </w:rPr>
              <w:t>Exercise</w:t>
            </w:r>
          </w:p>
        </w:tc>
        <w:tc>
          <w:tcPr>
            <w:tcW w:w="740" w:type="dxa"/>
            <w:vAlign w:val="bottom"/>
          </w:tcPr>
          <w:p>
            <w:pPr>
              <w:jc w:val="center"/>
              <w:ind w:right="120"/>
              <w:spacing w:after="0" w:line="133" w:lineRule="exact"/>
              <w:rPr>
                <w:sz w:val="20"/>
                <w:szCs w:val="20"/>
                <w:color w:val="auto"/>
              </w:rPr>
            </w:pPr>
            <w:r>
              <w:rPr>
                <w:rFonts w:ascii="Arial" w:cs="Arial" w:eastAsia="Arial" w:hAnsi="Arial"/>
                <w:sz w:val="12"/>
                <w:szCs w:val="12"/>
                <w:color w:val="auto"/>
                <w:w w:val="85"/>
              </w:rPr>
              <w:t>Term</w:t>
            </w:r>
          </w:p>
        </w:tc>
        <w:tc>
          <w:tcPr>
            <w:tcW w:w="760" w:type="dxa"/>
            <w:vAlign w:val="bottom"/>
          </w:tcPr>
          <w:p>
            <w:pPr>
              <w:jc w:val="center"/>
              <w:ind w:right="100"/>
              <w:spacing w:after="0" w:line="133" w:lineRule="exact"/>
              <w:rPr>
                <w:sz w:val="20"/>
                <w:szCs w:val="20"/>
                <w:color w:val="auto"/>
              </w:rPr>
            </w:pPr>
            <w:r>
              <w:rPr>
                <w:rFonts w:ascii="Arial" w:cs="Arial" w:eastAsia="Arial" w:hAnsi="Arial"/>
                <w:sz w:val="12"/>
                <w:szCs w:val="12"/>
                <w:color w:val="auto"/>
                <w:w w:val="89"/>
              </w:rPr>
              <w:t>Interest</w:t>
            </w:r>
          </w:p>
        </w:tc>
        <w:tc>
          <w:tcPr>
            <w:tcW w:w="760" w:type="dxa"/>
            <w:vAlign w:val="bottom"/>
          </w:tcPr>
          <w:p>
            <w:pPr>
              <w:spacing w:after="0"/>
              <w:rPr>
                <w:sz w:val="11"/>
                <w:szCs w:val="11"/>
                <w:color w:val="auto"/>
              </w:rPr>
            </w:pPr>
          </w:p>
        </w:tc>
        <w:tc>
          <w:tcPr>
            <w:tcW w:w="720" w:type="dxa"/>
            <w:vAlign w:val="bottom"/>
            <w:gridSpan w:val="2"/>
          </w:tcPr>
          <w:p>
            <w:pPr>
              <w:jc w:val="center"/>
              <w:ind w:right="140"/>
              <w:spacing w:after="0" w:line="133" w:lineRule="exact"/>
              <w:rPr>
                <w:sz w:val="20"/>
                <w:szCs w:val="20"/>
                <w:color w:val="auto"/>
              </w:rPr>
            </w:pPr>
            <w:r>
              <w:rPr>
                <w:rFonts w:ascii="Arial" w:cs="Arial" w:eastAsia="Arial" w:hAnsi="Arial"/>
                <w:sz w:val="12"/>
                <w:szCs w:val="12"/>
                <w:color w:val="auto"/>
                <w:w w:val="98"/>
              </w:rPr>
              <w:t>Dividend</w:t>
            </w:r>
          </w:p>
        </w:tc>
        <w:tc>
          <w:tcPr>
            <w:tcW w:w="700" w:type="dxa"/>
            <w:vAlign w:val="bottom"/>
          </w:tcPr>
          <w:p>
            <w:pPr>
              <w:jc w:val="center"/>
              <w:ind w:left="120"/>
              <w:spacing w:after="0" w:line="133" w:lineRule="exact"/>
              <w:rPr>
                <w:sz w:val="20"/>
                <w:szCs w:val="20"/>
                <w:color w:val="auto"/>
              </w:rPr>
            </w:pPr>
            <w:r>
              <w:rPr>
                <w:rFonts w:ascii="Arial" w:cs="Arial" w:eastAsia="Arial" w:hAnsi="Arial"/>
                <w:sz w:val="12"/>
                <w:szCs w:val="12"/>
                <w:color w:val="auto"/>
                <w:w w:val="90"/>
              </w:rPr>
              <w:t>Value of</w:t>
            </w:r>
          </w:p>
        </w:tc>
        <w:tc>
          <w:tcPr>
            <w:tcW w:w="220" w:type="dxa"/>
            <w:vAlign w:val="bottom"/>
          </w:tcPr>
          <w:p>
            <w:pPr>
              <w:spacing w:after="0"/>
              <w:rPr>
                <w:sz w:val="11"/>
                <w:szCs w:val="11"/>
                <w:color w:val="auto"/>
              </w:rPr>
            </w:pPr>
          </w:p>
        </w:tc>
        <w:tc>
          <w:tcPr>
            <w:tcW w:w="1020" w:type="dxa"/>
            <w:vAlign w:val="bottom"/>
            <w:gridSpan w:val="2"/>
          </w:tcPr>
          <w:p>
            <w:pPr>
              <w:jc w:val="center"/>
              <w:ind w:right="140"/>
              <w:spacing w:after="0" w:line="133" w:lineRule="exact"/>
              <w:rPr>
                <w:sz w:val="20"/>
                <w:szCs w:val="20"/>
                <w:color w:val="auto"/>
              </w:rPr>
            </w:pPr>
            <w:r>
              <w:rPr>
                <w:rFonts w:ascii="Arial" w:cs="Arial" w:eastAsia="Arial" w:hAnsi="Arial"/>
                <w:sz w:val="12"/>
                <w:szCs w:val="12"/>
                <w:color w:val="auto"/>
              </w:rPr>
              <w:t>of Unit</w:t>
            </w:r>
          </w:p>
        </w:tc>
        <w:tc>
          <w:tcPr>
            <w:tcW w:w="920" w:type="dxa"/>
            <w:vAlign w:val="bottom"/>
          </w:tcPr>
          <w:p>
            <w:pPr>
              <w:jc w:val="center"/>
              <w:ind w:right="80"/>
              <w:spacing w:after="0" w:line="133" w:lineRule="exact"/>
              <w:rPr>
                <w:sz w:val="20"/>
                <w:szCs w:val="20"/>
                <w:color w:val="auto"/>
              </w:rPr>
            </w:pPr>
            <w:r>
              <w:rPr>
                <w:rFonts w:ascii="Arial" w:cs="Arial" w:eastAsia="Arial" w:hAnsi="Arial"/>
                <w:sz w:val="12"/>
                <w:szCs w:val="12"/>
                <w:color w:val="auto"/>
                <w:w w:val="97"/>
              </w:rPr>
              <w:t>of Unit</w:t>
            </w:r>
          </w:p>
        </w:tc>
        <w:tc>
          <w:tcPr>
            <w:tcW w:w="1120" w:type="dxa"/>
            <w:vAlign w:val="bottom"/>
          </w:tcPr>
          <w:p>
            <w:pPr>
              <w:spacing w:after="0"/>
              <w:rPr>
                <w:sz w:val="11"/>
                <w:szCs w:val="11"/>
                <w:color w:val="auto"/>
              </w:rPr>
            </w:pPr>
          </w:p>
        </w:tc>
        <w:tc>
          <w:tcPr>
            <w:tcW w:w="980" w:type="dxa"/>
            <w:vAlign w:val="bottom"/>
          </w:tcPr>
          <w:p>
            <w:pPr>
              <w:jc w:val="center"/>
              <w:ind w:right="220"/>
              <w:spacing w:after="0" w:line="133" w:lineRule="exact"/>
              <w:rPr>
                <w:sz w:val="20"/>
                <w:szCs w:val="20"/>
                <w:color w:val="auto"/>
              </w:rPr>
            </w:pPr>
            <w:r>
              <w:rPr>
                <w:rFonts w:ascii="Arial" w:cs="Arial" w:eastAsia="Arial" w:hAnsi="Arial"/>
                <w:sz w:val="12"/>
                <w:szCs w:val="12"/>
                <w:color w:val="auto"/>
              </w:rPr>
              <w:t>Unit</w:t>
            </w: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tcPr>
          <w:p>
            <w:pPr>
              <w:jc w:val="center"/>
              <w:spacing w:after="0"/>
              <w:rPr>
                <w:sz w:val="20"/>
                <w:szCs w:val="20"/>
                <w:color w:val="auto"/>
              </w:rPr>
            </w:pPr>
            <w:r>
              <w:rPr>
                <w:rFonts w:ascii="Arial" w:cs="Arial" w:eastAsia="Arial" w:hAnsi="Arial"/>
                <w:sz w:val="12"/>
                <w:szCs w:val="12"/>
                <w:color w:val="auto"/>
                <w:w w:val="84"/>
              </w:rPr>
              <w:t>Issued</w:t>
            </w:r>
          </w:p>
        </w:tc>
        <w:tc>
          <w:tcPr>
            <w:tcW w:w="820" w:type="dxa"/>
            <w:vAlign w:val="bottom"/>
          </w:tcPr>
          <w:p>
            <w:pPr>
              <w:jc w:val="center"/>
              <w:spacing w:after="0"/>
              <w:rPr>
                <w:sz w:val="20"/>
                <w:szCs w:val="20"/>
                <w:color w:val="auto"/>
              </w:rPr>
            </w:pPr>
            <w:r>
              <w:rPr>
                <w:rFonts w:ascii="Arial" w:cs="Arial" w:eastAsia="Arial" w:hAnsi="Arial"/>
                <w:sz w:val="12"/>
                <w:szCs w:val="12"/>
                <w:color w:val="auto"/>
                <w:w w:val="87"/>
              </w:rPr>
              <w:t>Price</w:t>
            </w:r>
          </w:p>
        </w:tc>
        <w:tc>
          <w:tcPr>
            <w:tcW w:w="780" w:type="dxa"/>
            <w:vAlign w:val="bottom"/>
          </w:tcPr>
          <w:p>
            <w:pPr>
              <w:jc w:val="center"/>
              <w:ind w:right="100"/>
              <w:spacing w:after="0"/>
              <w:rPr>
                <w:sz w:val="20"/>
                <w:szCs w:val="20"/>
                <w:color w:val="auto"/>
              </w:rPr>
            </w:pPr>
            <w:r>
              <w:rPr>
                <w:rFonts w:ascii="Arial" w:cs="Arial" w:eastAsia="Arial" w:hAnsi="Arial"/>
                <w:sz w:val="12"/>
                <w:szCs w:val="12"/>
                <w:color w:val="auto"/>
                <w:w w:val="94"/>
              </w:rPr>
              <w:t>Price</w:t>
            </w:r>
          </w:p>
        </w:tc>
        <w:tc>
          <w:tcPr>
            <w:tcW w:w="740" w:type="dxa"/>
            <w:vAlign w:val="bottom"/>
          </w:tcPr>
          <w:p>
            <w:pPr>
              <w:jc w:val="center"/>
              <w:ind w:right="120"/>
              <w:spacing w:after="0"/>
              <w:rPr>
                <w:sz w:val="20"/>
                <w:szCs w:val="20"/>
                <w:color w:val="auto"/>
              </w:rPr>
            </w:pPr>
            <w:r>
              <w:rPr>
                <w:rFonts w:ascii="Arial" w:cs="Arial" w:eastAsia="Arial" w:hAnsi="Arial"/>
                <w:sz w:val="12"/>
                <w:szCs w:val="12"/>
                <w:color w:val="auto"/>
                <w:w w:val="91"/>
              </w:rPr>
              <w:t>(Years)</w:t>
            </w:r>
          </w:p>
        </w:tc>
        <w:tc>
          <w:tcPr>
            <w:tcW w:w="760" w:type="dxa"/>
            <w:vAlign w:val="bottom"/>
          </w:tcPr>
          <w:p>
            <w:pPr>
              <w:jc w:val="center"/>
              <w:ind w:right="120"/>
              <w:spacing w:after="0"/>
              <w:rPr>
                <w:sz w:val="20"/>
                <w:szCs w:val="20"/>
                <w:color w:val="auto"/>
              </w:rPr>
            </w:pPr>
            <w:r>
              <w:rPr>
                <w:rFonts w:ascii="Arial" w:cs="Arial" w:eastAsia="Arial" w:hAnsi="Arial"/>
                <w:sz w:val="12"/>
                <w:szCs w:val="12"/>
                <w:color w:val="auto"/>
                <w:w w:val="86"/>
              </w:rPr>
              <w:t>Rate</w:t>
            </w:r>
          </w:p>
        </w:tc>
        <w:tc>
          <w:tcPr>
            <w:tcW w:w="760" w:type="dxa"/>
            <w:vAlign w:val="bottom"/>
          </w:tcPr>
          <w:p>
            <w:pPr>
              <w:jc w:val="right"/>
              <w:ind w:right="180"/>
              <w:spacing w:after="0"/>
              <w:rPr>
                <w:sz w:val="20"/>
                <w:szCs w:val="20"/>
                <w:color w:val="auto"/>
              </w:rPr>
            </w:pPr>
            <w:r>
              <w:rPr>
                <w:rFonts w:ascii="Arial" w:cs="Arial" w:eastAsia="Arial" w:hAnsi="Arial"/>
                <w:sz w:val="12"/>
                <w:szCs w:val="12"/>
                <w:color w:val="auto"/>
              </w:rPr>
              <w:t>Volatility</w:t>
            </w:r>
          </w:p>
        </w:tc>
        <w:tc>
          <w:tcPr>
            <w:tcW w:w="72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Rate</w:t>
            </w:r>
          </w:p>
        </w:tc>
        <w:tc>
          <w:tcPr>
            <w:tcW w:w="700" w:type="dxa"/>
            <w:vAlign w:val="bottom"/>
          </w:tcPr>
          <w:p>
            <w:pPr>
              <w:jc w:val="center"/>
              <w:ind w:left="100"/>
              <w:spacing w:after="0"/>
              <w:rPr>
                <w:sz w:val="20"/>
                <w:szCs w:val="20"/>
                <w:color w:val="auto"/>
              </w:rPr>
            </w:pPr>
            <w:r>
              <w:rPr>
                <w:rFonts w:ascii="Arial" w:cs="Arial" w:eastAsia="Arial" w:hAnsi="Arial"/>
                <w:sz w:val="12"/>
                <w:szCs w:val="12"/>
                <w:color w:val="auto"/>
                <w:w w:val="88"/>
              </w:rPr>
              <w:t>Warrant</w:t>
            </w:r>
          </w:p>
        </w:tc>
        <w:tc>
          <w:tcPr>
            <w:tcW w:w="22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Warrants</w:t>
            </w:r>
          </w:p>
        </w:tc>
        <w:tc>
          <w:tcPr>
            <w:tcW w:w="920" w:type="dxa"/>
            <w:vAlign w:val="bottom"/>
          </w:tcPr>
          <w:p>
            <w:pPr>
              <w:jc w:val="center"/>
              <w:ind w:right="80"/>
              <w:spacing w:after="0"/>
              <w:rPr>
                <w:sz w:val="20"/>
                <w:szCs w:val="20"/>
                <w:color w:val="auto"/>
              </w:rPr>
            </w:pPr>
            <w:r>
              <w:rPr>
                <w:rFonts w:ascii="Arial" w:cs="Arial" w:eastAsia="Arial" w:hAnsi="Arial"/>
                <w:sz w:val="12"/>
                <w:szCs w:val="12"/>
                <w:color w:val="auto"/>
                <w:w w:val="86"/>
              </w:rPr>
              <w:t>Sales</w:t>
            </w:r>
          </w:p>
        </w:tc>
        <w:tc>
          <w:tcPr>
            <w:tcW w:w="1120" w:type="dxa"/>
            <w:vAlign w:val="bottom"/>
          </w:tcPr>
          <w:p>
            <w:pPr>
              <w:jc w:val="right"/>
              <w:ind w:right="300"/>
              <w:spacing w:after="0"/>
              <w:rPr>
                <w:sz w:val="20"/>
                <w:szCs w:val="20"/>
                <w:color w:val="auto"/>
              </w:rPr>
            </w:pPr>
            <w:r>
              <w:rPr>
                <w:rFonts w:ascii="Arial" w:cs="Arial" w:eastAsia="Arial" w:hAnsi="Arial"/>
                <w:sz w:val="12"/>
                <w:szCs w:val="12"/>
                <w:color w:val="auto"/>
              </w:rPr>
              <w:t>Unit Stock</w:t>
            </w:r>
          </w:p>
        </w:tc>
        <w:tc>
          <w:tcPr>
            <w:tcW w:w="980" w:type="dxa"/>
            <w:vAlign w:val="bottom"/>
          </w:tcPr>
          <w:p>
            <w:pPr>
              <w:jc w:val="center"/>
              <w:ind w:right="220"/>
              <w:spacing w:after="0"/>
              <w:rPr>
                <w:sz w:val="20"/>
                <w:szCs w:val="20"/>
                <w:color w:val="auto"/>
              </w:rPr>
            </w:pPr>
            <w:r>
              <w:rPr>
                <w:rFonts w:ascii="Arial" w:cs="Arial" w:eastAsia="Arial" w:hAnsi="Arial"/>
                <w:sz w:val="12"/>
                <w:szCs w:val="12"/>
                <w:color w:val="auto"/>
                <w:w w:val="88"/>
              </w:rPr>
              <w:t>Warrant</w:t>
            </w:r>
          </w:p>
        </w:tc>
        <w:tc>
          <w:tcPr>
            <w:tcW w:w="960" w:type="dxa"/>
            <w:vAlign w:val="bottom"/>
            <w:gridSpan w:val="3"/>
          </w:tcPr>
          <w:p>
            <w:pPr>
              <w:ind w:left="160"/>
              <w:spacing w:after="0"/>
              <w:rPr>
                <w:sz w:val="20"/>
                <w:szCs w:val="20"/>
                <w:color w:val="auto"/>
              </w:rPr>
            </w:pPr>
            <w:r>
              <w:rPr>
                <w:rFonts w:ascii="Arial" w:cs="Arial" w:eastAsia="Arial" w:hAnsi="Arial"/>
                <w:sz w:val="12"/>
                <w:szCs w:val="12"/>
                <w:color w:val="auto"/>
              </w:rPr>
              <w:t>Unit Note</w:t>
            </w:r>
          </w:p>
        </w:tc>
        <w:tc>
          <w:tcPr>
            <w:tcW w:w="0" w:type="dxa"/>
            <w:vAlign w:val="bottom"/>
          </w:tcPr>
          <w:p>
            <w:pPr>
              <w:spacing w:after="0"/>
              <w:rPr>
                <w:sz w:val="1"/>
                <w:szCs w:val="1"/>
                <w:color w:val="auto"/>
              </w:rPr>
            </w:pPr>
          </w:p>
        </w:tc>
      </w:tr>
      <w:tr>
        <w:trPr>
          <w:trHeight w:val="142"/>
        </w:trPr>
        <w:tc>
          <w:tcPr>
            <w:tcW w:w="10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2,015,000</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   0.45</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   1.00</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2.68</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0.58%</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76.29%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0.0%</w:t>
            </w:r>
          </w:p>
        </w:tc>
        <w:tc>
          <w:tcPr>
            <w:tcW w:w="7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0.13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$ 254,700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1,007,500</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  415,000</w:t>
            </w: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  111,400</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481,100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jc w:val="right"/>
              <w:ind w:right="380"/>
              <w:spacing w:after="0"/>
              <w:rPr>
                <w:sz w:val="20"/>
                <w:szCs w:val="20"/>
                <w:color w:val="auto"/>
              </w:rPr>
            </w:pPr>
            <w:r>
              <w:rPr>
                <w:rFonts w:ascii="Arial" w:cs="Arial" w:eastAsia="Arial" w:hAnsi="Arial"/>
                <w:sz w:val="12"/>
                <w:szCs w:val="12"/>
                <w:color w:val="auto"/>
                <w:w w:val="97"/>
              </w:rPr>
              <w:t>F-32</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47" w:name="page148"/>
    <w:bookmarkEnd w:id="147"/>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Unit Private Placement</w:t>
      </w:r>
    </w:p>
    <w:p>
      <w:pPr>
        <w:spacing w:after="0" w:line="154"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During March 2014, the Company entered into a securities purchase agreement with an accredited investor pursuant to which it sold to the investor Units consisting of (i) a 10% subordinated convertible promissory note in the aggregate face amount of $50,000 maturing on March 31, 2015 (the “</w:t>
      </w:r>
      <w:r>
        <w:rPr>
          <w:rFonts w:ascii="Arial" w:cs="Arial" w:eastAsia="Arial" w:hAnsi="Arial"/>
          <w:sz w:val="11"/>
          <w:szCs w:val="11"/>
          <w:i w:val="1"/>
          <w:iCs w:val="1"/>
          <w:color w:val="auto"/>
        </w:rPr>
        <w:t>Spring 2014 Unit Note</w:t>
      </w:r>
      <w:r>
        <w:rPr>
          <w:rFonts w:ascii="Arial" w:cs="Arial" w:eastAsia="Arial" w:hAnsi="Arial"/>
          <w:sz w:val="11"/>
          <w:szCs w:val="11"/>
          <w:color w:val="auto"/>
        </w:rPr>
        <w:t>”); (ii) an aggregate of 50,000 restricted shares of the Company’s common stock (the “</w:t>
      </w:r>
      <w:r>
        <w:rPr>
          <w:rFonts w:ascii="Arial" w:cs="Arial" w:eastAsia="Arial" w:hAnsi="Arial"/>
          <w:sz w:val="11"/>
          <w:szCs w:val="11"/>
          <w:i w:val="1"/>
          <w:iCs w:val="1"/>
          <w:color w:val="auto"/>
        </w:rPr>
        <w:t>2014 Unit Stock</w:t>
      </w:r>
      <w:r>
        <w:rPr>
          <w:rFonts w:ascii="Arial" w:cs="Arial" w:eastAsia="Arial" w:hAnsi="Arial"/>
          <w:sz w:val="11"/>
          <w:szCs w:val="11"/>
          <w:color w:val="auto"/>
        </w:rPr>
        <w:t>”); and (iii) a warrant exercisable through December 31, 2015 to purchase an aggregate of 50,000 restricted shares of the Company’s common stock at an exercise price of $0.50 per share (the “</w:t>
      </w:r>
      <w:r>
        <w:rPr>
          <w:rFonts w:ascii="Arial" w:cs="Arial" w:eastAsia="Arial" w:hAnsi="Arial"/>
          <w:sz w:val="11"/>
          <w:szCs w:val="11"/>
          <w:i w:val="1"/>
          <w:iCs w:val="1"/>
          <w:color w:val="auto"/>
        </w:rPr>
        <w:t>2014 Unit Warrant</w:t>
      </w:r>
      <w:r>
        <w:rPr>
          <w:rFonts w:ascii="Arial" w:cs="Arial" w:eastAsia="Arial" w:hAnsi="Arial"/>
          <w:sz w:val="11"/>
          <w:szCs w:val="11"/>
          <w:color w:val="auto"/>
        </w:rPr>
        <w:t xml:space="preserve">”). (See Note 17, </w:t>
      </w:r>
      <w:r>
        <w:rPr>
          <w:rFonts w:ascii="Arial" w:cs="Arial" w:eastAsia="Arial" w:hAnsi="Arial"/>
          <w:sz w:val="11"/>
          <w:szCs w:val="11"/>
          <w:i w:val="1"/>
          <w:iCs w:val="1"/>
          <w:color w:val="auto"/>
        </w:rPr>
        <w:t>Subsequent Events</w:t>
      </w:r>
      <w:r>
        <w:rPr>
          <w:rFonts w:ascii="Arial" w:cs="Arial" w:eastAsia="Arial" w:hAnsi="Arial"/>
          <w:sz w:val="11"/>
          <w:szCs w:val="11"/>
          <w:color w:val="auto"/>
        </w:rPr>
        <w:t>, for information regarding additional Units issued in connection with the 2014 Unit Private Placement.) The 2014 Unit Note and its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is convertible into restricted shares of the Company’s common stock at a conversion price of $0.50 per share at or prior to maturity, at the option of the investor, or, upon the Company’s consummation of either (i) an equity or equity-based public offering registered with the U.S. Securities and Exchange Commission (“</w:t>
      </w:r>
      <w:r>
        <w:rPr>
          <w:rFonts w:ascii="Arial" w:cs="Arial" w:eastAsia="Arial" w:hAnsi="Arial"/>
          <w:sz w:val="11"/>
          <w:szCs w:val="11"/>
          <w:i w:val="1"/>
          <w:iCs w:val="1"/>
          <w:color w:val="auto"/>
        </w:rPr>
        <w:t>SEC</w:t>
      </w:r>
      <w:r>
        <w:rPr>
          <w:rFonts w:ascii="Arial" w:cs="Arial" w:eastAsia="Arial" w:hAnsi="Arial"/>
          <w:sz w:val="11"/>
          <w:szCs w:val="11"/>
          <w:color w:val="auto"/>
        </w:rPr>
        <w:t>”), or (ii) an equity or equity-based private financing, or series of such financing transactions, not registered with the SEC, in each case resulting in gross proceeds to the Company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of the 2014 Unit Note will, subject to certain conditions, automatically convert into the securities sold in the Qualified Financing, based on the following formula: (the Outstanding Balance as of the closing of the Qualified Financing) x 1.25 / (the per security price of the securities sold in the Qualified Financing).</w:t>
      </w:r>
    </w:p>
    <w:p>
      <w:pPr>
        <w:spacing w:after="0" w:line="116"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The Company allocated the proceeds from the sale of the 2014 unit to the 2014 Unit Notes, the common stock and the warrants comprising the units based on the relative fair value of the individual securities in the unit on the date of the unit sale. Based on the short-duration of the 2014 Unit Note and its other terms, the Company determined that the fair value of the 2014 Unit Note at the date of issuance was equal to its face value. The Company determined the fair value of the 2014 Unit Stock based on the quoted market price of its stock on the date of the unit sale. The Company calculated the fair value of the 2014 Unit Warrant using the Black Scholes Option Pricing Model and the assumptions indicated in the table below. The table below also presents the aggregate allocation of the Unit sale proceeds based on the relative fair values of the 2014 Unit Stock, 2014 Unit Warrants and 2014 Unit Notes at the unit sale date.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2"/>
                <w:szCs w:val="12"/>
                <w:color w:val="auto"/>
                <w:w w:val="90"/>
              </w:rPr>
              <w:t>2014 Unit Warrants</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20" w:type="dxa"/>
            <w:vAlign w:val="bottom"/>
            <w:gridSpan w:val="4"/>
          </w:tcPr>
          <w:p>
            <w:pPr>
              <w:ind w:left="80"/>
              <w:spacing w:after="0"/>
              <w:rPr>
                <w:sz w:val="20"/>
                <w:szCs w:val="20"/>
                <w:color w:val="auto"/>
              </w:rPr>
            </w:pPr>
            <w:r>
              <w:rPr>
                <w:rFonts w:ascii="Arial" w:cs="Arial" w:eastAsia="Arial" w:hAnsi="Arial"/>
                <w:sz w:val="12"/>
                <w:szCs w:val="12"/>
                <w:color w:val="auto"/>
                <w:w w:val="92"/>
              </w:rPr>
              <w:t>Weighted Average Issuance Date Valuation Assumptions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center"/>
              <w:ind w:left="160"/>
              <w:spacing w:after="0"/>
              <w:rPr>
                <w:sz w:val="20"/>
                <w:szCs w:val="20"/>
                <w:color w:val="auto"/>
              </w:rPr>
            </w:pPr>
            <w:r>
              <w:rPr>
                <w:rFonts w:ascii="Arial" w:cs="Arial" w:eastAsia="Arial" w:hAnsi="Arial"/>
                <w:sz w:val="12"/>
                <w:szCs w:val="12"/>
                <w:color w:val="auto"/>
                <w:w w:val="88"/>
              </w:rPr>
              <w:t>Per Share</w:t>
            </w:r>
          </w:p>
        </w:tc>
        <w:tc>
          <w:tcPr>
            <w:tcW w:w="220" w:type="dxa"/>
            <w:vAlign w:val="bottom"/>
          </w:tcPr>
          <w:p>
            <w:pPr>
              <w:spacing w:after="0"/>
              <w:rPr>
                <w:sz w:val="13"/>
                <w:szCs w:val="13"/>
                <w:color w:val="auto"/>
              </w:rPr>
            </w:pPr>
          </w:p>
        </w:tc>
        <w:tc>
          <w:tcPr>
            <w:tcW w:w="1020" w:type="dxa"/>
            <w:vAlign w:val="bottom"/>
            <w:gridSpan w:val="2"/>
            <w:vMerge w:val="restart"/>
          </w:tcPr>
          <w:p>
            <w:pPr>
              <w:spacing w:after="0"/>
              <w:rPr>
                <w:sz w:val="20"/>
                <w:szCs w:val="20"/>
                <w:color w:val="auto"/>
              </w:rPr>
            </w:pPr>
            <w:r>
              <w:rPr>
                <w:rFonts w:ascii="Arial" w:cs="Arial" w:eastAsia="Arial" w:hAnsi="Arial"/>
                <w:sz w:val="12"/>
                <w:szCs w:val="12"/>
                <w:color w:val="auto"/>
              </w:rPr>
              <w:t>Aggregate</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2"/>
                <w:szCs w:val="12"/>
                <w:color w:val="auto"/>
                <w:w w:val="90"/>
              </w:rPr>
              <w:t>Aggregate</w:t>
            </w:r>
          </w:p>
        </w:tc>
        <w:tc>
          <w:tcPr>
            <w:tcW w:w="400" w:type="dxa"/>
            <w:vAlign w:val="bottom"/>
          </w:tcPr>
          <w:p>
            <w:pPr>
              <w:spacing w:after="0"/>
              <w:rPr>
                <w:sz w:val="13"/>
                <w:szCs w:val="13"/>
                <w:color w:val="auto"/>
              </w:rPr>
            </w:pPr>
          </w:p>
        </w:tc>
        <w:tc>
          <w:tcPr>
            <w:tcW w:w="1900" w:type="dxa"/>
            <w:vAlign w:val="bottom"/>
            <w:gridSpan w:val="4"/>
            <w:vMerge w:val="restart"/>
          </w:tcPr>
          <w:p>
            <w:pPr>
              <w:jc w:val="center"/>
              <w:spacing w:after="0"/>
              <w:rPr>
                <w:sz w:val="20"/>
                <w:szCs w:val="20"/>
                <w:color w:val="auto"/>
              </w:rPr>
            </w:pPr>
            <w:r>
              <w:rPr>
                <w:rFonts w:ascii="Arial" w:cs="Arial" w:eastAsia="Arial" w:hAnsi="Arial"/>
                <w:sz w:val="12"/>
                <w:szCs w:val="12"/>
                <w:color w:val="auto"/>
                <w:w w:val="92"/>
              </w:rPr>
              <w:t>Aggregate Allocation of Proceeds</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190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14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Warrant</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center"/>
              <w:ind w:right="60"/>
              <w:spacing w:after="0"/>
              <w:rPr>
                <w:sz w:val="20"/>
                <w:szCs w:val="20"/>
                <w:color w:val="auto"/>
              </w:rPr>
            </w:pPr>
            <w:r>
              <w:rPr>
                <w:rFonts w:ascii="Arial" w:cs="Arial" w:eastAsia="Arial" w:hAnsi="Arial"/>
                <w:sz w:val="12"/>
                <w:szCs w:val="12"/>
                <w:color w:val="auto"/>
                <w:w w:val="92"/>
              </w:rPr>
              <w:t>Risk free</w:t>
            </w: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6"/>
              </w:rPr>
              <w:t>Fair</w:t>
            </w:r>
          </w:p>
        </w:tc>
        <w:tc>
          <w:tcPr>
            <w:tcW w:w="22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Fair Value</w:t>
            </w:r>
          </w:p>
        </w:tc>
        <w:tc>
          <w:tcPr>
            <w:tcW w:w="1140" w:type="dxa"/>
            <w:vAlign w:val="bottom"/>
            <w:gridSpan w:val="3"/>
          </w:tcPr>
          <w:p>
            <w:pPr>
              <w:jc w:val="center"/>
              <w:ind w:right="100"/>
              <w:spacing w:after="0"/>
              <w:rPr>
                <w:sz w:val="20"/>
                <w:szCs w:val="20"/>
                <w:color w:val="auto"/>
              </w:rPr>
            </w:pPr>
            <w:r>
              <w:rPr>
                <w:rFonts w:ascii="Arial" w:cs="Arial" w:eastAsia="Arial" w:hAnsi="Arial"/>
                <w:sz w:val="12"/>
                <w:szCs w:val="12"/>
                <w:color w:val="auto"/>
                <w:w w:val="86"/>
              </w:rPr>
              <w:t>Proceeds</w:t>
            </w:r>
          </w:p>
        </w:tc>
        <w:tc>
          <w:tcPr>
            <w:tcW w:w="400" w:type="dxa"/>
            <w:vAlign w:val="bottom"/>
          </w:tcPr>
          <w:p>
            <w:pPr>
              <w:spacing w:after="0"/>
              <w:rPr>
                <w:sz w:val="12"/>
                <w:szCs w:val="12"/>
                <w:color w:val="auto"/>
              </w:rPr>
            </w:pPr>
          </w:p>
        </w:tc>
        <w:tc>
          <w:tcPr>
            <w:tcW w:w="1900" w:type="dxa"/>
            <w:vAlign w:val="bottom"/>
            <w:gridSpan w:val="4"/>
          </w:tcPr>
          <w:p>
            <w:pPr>
              <w:jc w:val="center"/>
              <w:spacing w:after="0"/>
              <w:rPr>
                <w:sz w:val="20"/>
                <w:szCs w:val="20"/>
                <w:color w:val="auto"/>
              </w:rPr>
            </w:pPr>
            <w:r>
              <w:rPr>
                <w:rFonts w:ascii="Arial" w:cs="Arial" w:eastAsia="Arial" w:hAnsi="Arial"/>
                <w:sz w:val="12"/>
                <w:szCs w:val="12"/>
                <w:color w:val="auto"/>
                <w:w w:val="90"/>
              </w:rPr>
              <w:t>Based on Relative Fair Value of:</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gridSpan w:val="2"/>
          </w:tcPr>
          <w:p>
            <w:pPr>
              <w:jc w:val="center"/>
              <w:ind w:right="100"/>
              <w:spacing w:after="0" w:line="133" w:lineRule="exact"/>
              <w:rPr>
                <w:sz w:val="20"/>
                <w:szCs w:val="20"/>
                <w:color w:val="auto"/>
              </w:rPr>
            </w:pPr>
            <w:r>
              <w:rPr>
                <w:rFonts w:ascii="Arial" w:cs="Arial" w:eastAsia="Arial" w:hAnsi="Arial"/>
                <w:sz w:val="12"/>
                <w:szCs w:val="12"/>
                <w:color w:val="auto"/>
                <w:w w:val="84"/>
              </w:rPr>
              <w:t>Shares</w:t>
            </w:r>
          </w:p>
        </w:tc>
        <w:tc>
          <w:tcPr>
            <w:tcW w:w="760" w:type="dxa"/>
            <w:vAlign w:val="bottom"/>
          </w:tcPr>
          <w:p>
            <w:pPr>
              <w:jc w:val="center"/>
              <w:spacing w:after="0" w:line="133" w:lineRule="exact"/>
              <w:rPr>
                <w:sz w:val="20"/>
                <w:szCs w:val="20"/>
                <w:color w:val="auto"/>
              </w:rPr>
            </w:pPr>
            <w:r>
              <w:rPr>
                <w:rFonts w:ascii="Arial" w:cs="Arial" w:eastAsia="Arial" w:hAnsi="Arial"/>
                <w:sz w:val="12"/>
                <w:szCs w:val="12"/>
                <w:color w:val="auto"/>
                <w:w w:val="92"/>
              </w:rPr>
              <w:t>Market</w:t>
            </w:r>
          </w:p>
        </w:tc>
        <w:tc>
          <w:tcPr>
            <w:tcW w:w="720" w:type="dxa"/>
            <w:vAlign w:val="bottom"/>
          </w:tcPr>
          <w:p>
            <w:pPr>
              <w:ind w:left="80"/>
              <w:spacing w:after="0" w:line="133" w:lineRule="exact"/>
              <w:rPr>
                <w:sz w:val="20"/>
                <w:szCs w:val="20"/>
                <w:color w:val="auto"/>
              </w:rPr>
            </w:pPr>
            <w:r>
              <w:rPr>
                <w:rFonts w:ascii="Arial" w:cs="Arial" w:eastAsia="Arial" w:hAnsi="Arial"/>
                <w:sz w:val="12"/>
                <w:szCs w:val="12"/>
                <w:color w:val="auto"/>
              </w:rPr>
              <w:t>Exercise</w:t>
            </w:r>
          </w:p>
        </w:tc>
        <w:tc>
          <w:tcPr>
            <w:tcW w:w="64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5"/>
              </w:rPr>
              <w:t>Term</w:t>
            </w:r>
          </w:p>
        </w:tc>
        <w:tc>
          <w:tcPr>
            <w:tcW w:w="76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9"/>
              </w:rPr>
              <w:t>Interest</w:t>
            </w:r>
          </w:p>
        </w:tc>
        <w:tc>
          <w:tcPr>
            <w:tcW w:w="800" w:type="dxa"/>
            <w:vAlign w:val="bottom"/>
          </w:tcPr>
          <w:p>
            <w:pPr>
              <w:spacing w:after="0"/>
              <w:rPr>
                <w:sz w:val="11"/>
                <w:szCs w:val="11"/>
                <w:color w:val="auto"/>
              </w:rPr>
            </w:pPr>
          </w:p>
        </w:tc>
        <w:tc>
          <w:tcPr>
            <w:tcW w:w="820" w:type="dxa"/>
            <w:vAlign w:val="bottom"/>
            <w:gridSpan w:val="2"/>
          </w:tcPr>
          <w:p>
            <w:pPr>
              <w:jc w:val="center"/>
              <w:ind w:right="200"/>
              <w:spacing w:after="0" w:line="133" w:lineRule="exact"/>
              <w:rPr>
                <w:sz w:val="20"/>
                <w:szCs w:val="20"/>
                <w:color w:val="auto"/>
              </w:rPr>
            </w:pPr>
            <w:r>
              <w:rPr>
                <w:rFonts w:ascii="Arial" w:cs="Arial" w:eastAsia="Arial" w:hAnsi="Arial"/>
                <w:sz w:val="12"/>
                <w:szCs w:val="12"/>
                <w:color w:val="auto"/>
                <w:w w:val="98"/>
              </w:rPr>
              <w:t>Dividend</w:t>
            </w:r>
          </w:p>
        </w:tc>
        <w:tc>
          <w:tcPr>
            <w:tcW w:w="700" w:type="dxa"/>
            <w:vAlign w:val="bottom"/>
          </w:tcPr>
          <w:p>
            <w:pPr>
              <w:jc w:val="center"/>
              <w:ind w:left="160"/>
              <w:spacing w:after="0" w:line="133" w:lineRule="exact"/>
              <w:rPr>
                <w:sz w:val="20"/>
                <w:szCs w:val="20"/>
                <w:color w:val="auto"/>
              </w:rPr>
            </w:pPr>
            <w:r>
              <w:rPr>
                <w:rFonts w:ascii="Arial" w:cs="Arial" w:eastAsia="Arial" w:hAnsi="Arial"/>
                <w:sz w:val="12"/>
                <w:szCs w:val="12"/>
                <w:color w:val="auto"/>
                <w:w w:val="90"/>
              </w:rPr>
              <w:t>Value of</w:t>
            </w:r>
          </w:p>
        </w:tc>
        <w:tc>
          <w:tcPr>
            <w:tcW w:w="220" w:type="dxa"/>
            <w:vAlign w:val="bottom"/>
          </w:tcPr>
          <w:p>
            <w:pPr>
              <w:spacing w:after="0"/>
              <w:rPr>
                <w:sz w:val="11"/>
                <w:szCs w:val="11"/>
                <w:color w:val="auto"/>
              </w:rPr>
            </w:pPr>
          </w:p>
        </w:tc>
        <w:tc>
          <w:tcPr>
            <w:tcW w:w="1020" w:type="dxa"/>
            <w:vAlign w:val="bottom"/>
            <w:gridSpan w:val="2"/>
          </w:tcPr>
          <w:p>
            <w:pPr>
              <w:jc w:val="center"/>
              <w:ind w:right="120"/>
              <w:spacing w:after="0" w:line="133" w:lineRule="exact"/>
              <w:rPr>
                <w:sz w:val="20"/>
                <w:szCs w:val="20"/>
                <w:color w:val="auto"/>
              </w:rPr>
            </w:pPr>
            <w:r>
              <w:rPr>
                <w:rFonts w:ascii="Arial" w:cs="Arial" w:eastAsia="Arial" w:hAnsi="Arial"/>
                <w:sz w:val="12"/>
                <w:szCs w:val="12"/>
                <w:color w:val="auto"/>
                <w:w w:val="97"/>
              </w:rPr>
              <w:t>of Unit</w:t>
            </w:r>
          </w:p>
        </w:tc>
        <w:tc>
          <w:tcPr>
            <w:tcW w:w="700" w:type="dxa"/>
            <w:vAlign w:val="bottom"/>
          </w:tcPr>
          <w:p>
            <w:pPr>
              <w:jc w:val="center"/>
              <w:ind w:left="280"/>
              <w:spacing w:after="0" w:line="133" w:lineRule="exact"/>
              <w:rPr>
                <w:sz w:val="20"/>
                <w:szCs w:val="20"/>
                <w:color w:val="auto"/>
              </w:rPr>
            </w:pPr>
            <w:r>
              <w:rPr>
                <w:rFonts w:ascii="Arial" w:cs="Arial" w:eastAsia="Arial" w:hAnsi="Arial"/>
                <w:sz w:val="12"/>
                <w:szCs w:val="12"/>
                <w:color w:val="auto"/>
              </w:rPr>
              <w:t>of Unit</w:t>
            </w: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ind w:left="220"/>
              <w:spacing w:after="0" w:line="133" w:lineRule="exact"/>
              <w:rPr>
                <w:sz w:val="20"/>
                <w:szCs w:val="20"/>
                <w:color w:val="auto"/>
              </w:rPr>
            </w:pPr>
            <w:r>
              <w:rPr>
                <w:rFonts w:ascii="Arial" w:cs="Arial" w:eastAsia="Arial" w:hAnsi="Arial"/>
                <w:sz w:val="12"/>
                <w:szCs w:val="12"/>
                <w:color w:val="auto"/>
              </w:rPr>
              <w:t>Unit</w:t>
            </w:r>
          </w:p>
        </w:tc>
        <w:tc>
          <w:tcPr>
            <w:tcW w:w="4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jc w:val="center"/>
              <w:ind w:right="120"/>
              <w:spacing w:after="0"/>
              <w:rPr>
                <w:sz w:val="20"/>
                <w:szCs w:val="20"/>
                <w:color w:val="auto"/>
              </w:rPr>
            </w:pPr>
            <w:r>
              <w:rPr>
                <w:rFonts w:ascii="Arial" w:cs="Arial" w:eastAsia="Arial" w:hAnsi="Arial"/>
                <w:sz w:val="12"/>
                <w:szCs w:val="12"/>
                <w:color w:val="auto"/>
                <w:w w:val="84"/>
              </w:rPr>
              <w:t>Issued</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Price</w:t>
            </w:r>
          </w:p>
        </w:tc>
        <w:tc>
          <w:tcPr>
            <w:tcW w:w="720" w:type="dxa"/>
            <w:vAlign w:val="bottom"/>
          </w:tcPr>
          <w:p>
            <w:pPr>
              <w:ind w:left="160"/>
              <w:spacing w:after="0"/>
              <w:rPr>
                <w:sz w:val="20"/>
                <w:szCs w:val="20"/>
                <w:color w:val="auto"/>
              </w:rPr>
            </w:pPr>
            <w:r>
              <w:rPr>
                <w:rFonts w:ascii="Arial" w:cs="Arial" w:eastAsia="Arial" w:hAnsi="Arial"/>
                <w:sz w:val="12"/>
                <w:szCs w:val="12"/>
                <w:color w:val="auto"/>
              </w:rPr>
              <w:t>Price</w:t>
            </w:r>
          </w:p>
        </w:tc>
        <w:tc>
          <w:tcPr>
            <w:tcW w:w="640" w:type="dxa"/>
            <w:vAlign w:val="bottom"/>
          </w:tcPr>
          <w:p>
            <w:pPr>
              <w:jc w:val="center"/>
              <w:ind w:right="60"/>
              <w:spacing w:after="0"/>
              <w:rPr>
                <w:sz w:val="20"/>
                <w:szCs w:val="20"/>
                <w:color w:val="auto"/>
              </w:rPr>
            </w:pPr>
            <w:r>
              <w:rPr>
                <w:rFonts w:ascii="Arial" w:cs="Arial" w:eastAsia="Arial" w:hAnsi="Arial"/>
                <w:sz w:val="12"/>
                <w:szCs w:val="12"/>
                <w:color w:val="auto"/>
                <w:w w:val="91"/>
              </w:rPr>
              <w:t>(Years)</w:t>
            </w:r>
          </w:p>
        </w:tc>
        <w:tc>
          <w:tcPr>
            <w:tcW w:w="760" w:type="dxa"/>
            <w:vAlign w:val="bottom"/>
          </w:tcPr>
          <w:p>
            <w:pPr>
              <w:jc w:val="center"/>
              <w:ind w:right="80"/>
              <w:spacing w:after="0"/>
              <w:rPr>
                <w:sz w:val="20"/>
                <w:szCs w:val="20"/>
                <w:color w:val="auto"/>
              </w:rPr>
            </w:pPr>
            <w:r>
              <w:rPr>
                <w:rFonts w:ascii="Arial" w:cs="Arial" w:eastAsia="Arial" w:hAnsi="Arial"/>
                <w:sz w:val="12"/>
                <w:szCs w:val="12"/>
                <w:color w:val="auto"/>
                <w:w w:val="86"/>
              </w:rPr>
              <w:t>Rate</w:t>
            </w:r>
          </w:p>
        </w:tc>
        <w:tc>
          <w:tcPr>
            <w:tcW w:w="800" w:type="dxa"/>
            <w:vAlign w:val="bottom"/>
          </w:tcPr>
          <w:p>
            <w:pPr>
              <w:jc w:val="right"/>
              <w:ind w:right="220"/>
              <w:spacing w:after="0"/>
              <w:rPr>
                <w:sz w:val="20"/>
                <w:szCs w:val="20"/>
                <w:color w:val="auto"/>
              </w:rPr>
            </w:pPr>
            <w:r>
              <w:rPr>
                <w:rFonts w:ascii="Arial" w:cs="Arial" w:eastAsia="Arial" w:hAnsi="Arial"/>
                <w:sz w:val="12"/>
                <w:szCs w:val="12"/>
                <w:color w:val="auto"/>
              </w:rPr>
              <w:t>Volatility</w:t>
            </w:r>
          </w:p>
        </w:tc>
        <w:tc>
          <w:tcPr>
            <w:tcW w:w="82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Rate</w:t>
            </w: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3"/>
              </w:rPr>
              <w:t>Warrant</w:t>
            </w:r>
          </w:p>
        </w:tc>
        <w:tc>
          <w:tcPr>
            <w:tcW w:w="22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Warrants</w:t>
            </w:r>
          </w:p>
        </w:tc>
        <w:tc>
          <w:tcPr>
            <w:tcW w:w="700" w:type="dxa"/>
            <w:vAlign w:val="bottom"/>
          </w:tcPr>
          <w:p>
            <w:pPr>
              <w:jc w:val="center"/>
              <w:ind w:left="280"/>
              <w:spacing w:after="0"/>
              <w:rPr>
                <w:sz w:val="20"/>
                <w:szCs w:val="20"/>
                <w:color w:val="auto"/>
              </w:rPr>
            </w:pPr>
            <w:r>
              <w:rPr>
                <w:rFonts w:ascii="Arial" w:cs="Arial" w:eastAsia="Arial" w:hAnsi="Arial"/>
                <w:sz w:val="12"/>
                <w:szCs w:val="12"/>
                <w:color w:val="auto"/>
                <w:w w:val="79"/>
              </w:rPr>
              <w:t>Sales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Unit Stock</w:t>
            </w:r>
          </w:p>
        </w:tc>
        <w:tc>
          <w:tcPr>
            <w:tcW w:w="920" w:type="dxa"/>
            <w:vAlign w:val="bottom"/>
            <w:gridSpan w:val="2"/>
          </w:tcPr>
          <w:p>
            <w:pPr>
              <w:ind w:left="140"/>
              <w:spacing w:after="0"/>
              <w:rPr>
                <w:sz w:val="20"/>
                <w:szCs w:val="20"/>
                <w:color w:val="auto"/>
              </w:rPr>
            </w:pPr>
            <w:r>
              <w:rPr>
                <w:rFonts w:ascii="Arial" w:cs="Arial" w:eastAsia="Arial" w:hAnsi="Arial"/>
                <w:sz w:val="12"/>
                <w:szCs w:val="12"/>
                <w:color w:val="auto"/>
              </w:rPr>
              <w:t>Warrant</w:t>
            </w:r>
          </w:p>
        </w:tc>
        <w:tc>
          <w:tcPr>
            <w:tcW w:w="920" w:type="dxa"/>
            <w:vAlign w:val="bottom"/>
            <w:gridSpan w:val="3"/>
          </w:tcPr>
          <w:p>
            <w:pPr>
              <w:ind w:left="140"/>
              <w:spacing w:after="0"/>
              <w:rPr>
                <w:sz w:val="20"/>
                <w:szCs w:val="20"/>
                <w:color w:val="auto"/>
              </w:rPr>
            </w:pPr>
            <w:r>
              <w:rPr>
                <w:rFonts w:ascii="Arial" w:cs="Arial" w:eastAsia="Arial" w:hAnsi="Arial"/>
                <w:sz w:val="12"/>
                <w:szCs w:val="12"/>
                <w:color w:val="auto"/>
              </w:rPr>
              <w:t>Unit Note</w:t>
            </w:r>
          </w:p>
        </w:tc>
        <w:tc>
          <w:tcPr>
            <w:tcW w:w="0" w:type="dxa"/>
            <w:vAlign w:val="bottom"/>
          </w:tcPr>
          <w:p>
            <w:pPr>
              <w:spacing w:after="0"/>
              <w:rPr>
                <w:sz w:val="1"/>
                <w:szCs w:val="1"/>
                <w:color w:val="auto"/>
              </w:rPr>
            </w:pPr>
          </w:p>
        </w:tc>
      </w:tr>
      <w:tr>
        <w:trPr>
          <w:trHeight w:val="142"/>
        </w:trPr>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0.46</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   0.50</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0.66%</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74.94%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0.0%</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0.21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  10,400</w:t>
            </w:r>
          </w:p>
        </w:tc>
        <w:tc>
          <w:tcPr>
            <w:tcW w:w="7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50,000</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13,800</w:t>
            </w:r>
          </w:p>
        </w:tc>
        <w:tc>
          <w:tcPr>
            <w:tcW w:w="4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3"/>
              </w:rPr>
              <w:t>6,200</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2012/2013 Unit Private Placement</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Between September 2012 and March 2013, the Company sold 2,366,330 Units in a private placement to accredited investors and received cash proceeds of $1,133,200 and settled outstanding amounts payable for legal fees in lieu of cash payment for services in the amount of $50,000. The Units were sold for $0.50 per Unit and each Unit consisted of one restricted share of the Company’s common stock and a five year warrant to purchase one half (1/2) of one restricted share of the Company’s common stock at an exercise price of $1.50 per share. In addition, in November 2012, pursuant to an Exchange Agreement, the holders of the 2012 Notes exchanged the aggregate amount of $678,600 due under the terms of such notes for Units consisting of 1,357,281 restricted shares of the Company's common stock and five-year warrants to purchase 678,641 restricted shares of the Company's common stock at an exercise price of $1.50 per share. The gross cash proceeds from this private placement of Units satisfied the Additional Financing Requirement under the October 2012 Agreement with Platinum, as amended, described in Note 9, </w:t>
      </w:r>
      <w:r>
        <w:rPr>
          <w:rFonts w:ascii="Arial" w:cs="Arial" w:eastAsia="Arial" w:hAnsi="Arial"/>
          <w:sz w:val="12"/>
          <w:szCs w:val="12"/>
          <w:i w:val="1"/>
          <w:iCs w:val="1"/>
          <w:color w:val="auto"/>
        </w:rPr>
        <w:t>Convertible Promissory Notes</w:t>
      </w:r>
      <w:r>
        <w:rPr>
          <w:rFonts w:ascii="Arial" w:cs="Arial" w:eastAsia="Arial" w:hAnsi="Arial"/>
          <w:sz w:val="12"/>
          <w:szCs w:val="12"/>
          <w:color w:val="auto"/>
        </w:rPr>
        <w:t xml:space="preserve"> </w:t>
      </w:r>
      <w:r>
        <w:rPr>
          <w:rFonts w:ascii="Arial" w:cs="Arial" w:eastAsia="Arial" w:hAnsi="Arial"/>
          <w:sz w:val="12"/>
          <w:szCs w:val="12"/>
          <w:i w:val="1"/>
          <w:iCs w:val="1"/>
          <w:color w:val="auto"/>
        </w:rPr>
        <w:t>and Other Notes Payable</w:t>
      </w:r>
      <w:r>
        <w:rPr>
          <w:rFonts w:ascii="Arial" w:cs="Arial" w:eastAsia="Arial" w:hAnsi="Arial"/>
          <w:sz w:val="12"/>
          <w:szCs w:val="12"/>
          <w:color w:val="auto"/>
        </w:rPr>
        <w:t>, entitling the Company to sell and requiring Platinum to purchase senior secured convertible promissory notes in the aggregate face amount of $1.0 million in February and March 2013. In connection with the</w:t>
      </w:r>
      <w:r>
        <w:rPr>
          <w:rFonts w:ascii="Arial" w:cs="Arial" w:eastAsia="Arial" w:hAnsi="Arial"/>
          <w:sz w:val="12"/>
          <w:szCs w:val="12"/>
          <w:i w:val="1"/>
          <w:iCs w:val="1"/>
          <w:color w:val="auto"/>
        </w:rPr>
        <w:t xml:space="preserve"> </w:t>
      </w:r>
      <w:r>
        <w:rPr>
          <w:rFonts w:ascii="Arial" w:cs="Arial" w:eastAsia="Arial" w:hAnsi="Arial"/>
          <w:sz w:val="12"/>
          <w:szCs w:val="12"/>
          <w:color w:val="auto"/>
        </w:rPr>
        <w:t>settlement of legal fees payable by issuing Units, the Company recorded a loss on extinguishment of debt of $30,800 based on the fair market value of the common shares and the warrant comprising the Unit on the effective date of the settlement.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48" w:name="page149"/>
    <w:bookmarkEnd w:id="148"/>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 Grants</w:t>
      </w:r>
    </w:p>
    <w:p>
      <w:pPr>
        <w:spacing w:after="0" w:line="17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April 2012, the Company entered into a contract for investor relations consulting services pursuant to which it granted three-year warrants to purchase 50,000 restricted shares of the Company’s common stock at an exercise price of $2.80 per share. The Company valued the warrant at $69,200 using the Black Scholes Option Pricing Model and the following assumptions: market price per share: $2.74; exercise price per share: $2.80; risk-free interest rate: 0.50%; contractual term: 3 years; volatility: 79.09%; expected dividend rate: 0%. The fair value of the warrant was initially recorded as a prepaid expense and was to be expensed over one year in accordance with the terms of the contract. The contract and related warrant were cancelled in October 2012 and the remaining amount attributable to the fair value of the warrant was expensed.</w:t>
      </w:r>
    </w:p>
    <w:p>
      <w:pPr>
        <w:spacing w:after="0" w:line="12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June 2012, the Company entered into a contract for investor relations and public company support services through December 31, 2012 pursuant to which it granted 280,000 restricted shares of its common stock valued at $238,000 based on the grant date quoted market price of $0.85 per share and warrants to purchase 100,000 restricted shares of its common stock at an exercise price of $3.00 per share through December 31, 2015. The Company valued the warrant at $25,800 using the Black Scholes Option Pricing Model and the following assumptions: market price per share: $0.85; exercise price per share: $3.00; risk-free interest rate: 0.46%; contractual term: 3.53 years; volatility: 84.279%; expected dividend rate: 0%. The fair value of the stock and the warrant was recorded as a prepaid expense and is being expensed over the approximately six-month term of the contract.</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June 2012, the Company entered into a contract for investor relations consulting services pursuant to which it granted 120,000 restricted shares of its common stock valued at $102,000 based on the grant date quoted market price of $0.85 per share. The fair value of the stock was recorded as a prepaid expense and is being expensed over the approximately six-month term of the contract.</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In August 2012, the Company modified an existing warrant and issued a new warrant to Morrison &amp; Foerster as additional consideration for the Restructuring Agreement, as disclosed in Note 8, </w:t>
      </w:r>
      <w:r>
        <w:rPr>
          <w:rFonts w:ascii="Arial" w:cs="Arial" w:eastAsia="Arial" w:hAnsi="Arial"/>
          <w:sz w:val="12"/>
          <w:szCs w:val="12"/>
          <w:i w:val="1"/>
          <w:iCs w:val="1"/>
          <w:color w:val="auto"/>
        </w:rPr>
        <w:t>Convertible Promissory Notes and</w:t>
      </w:r>
      <w:r>
        <w:rPr>
          <w:rFonts w:ascii="Arial" w:cs="Arial" w:eastAsia="Arial" w:hAnsi="Arial"/>
          <w:sz w:val="12"/>
          <w:szCs w:val="12"/>
          <w:color w:val="auto"/>
        </w:rPr>
        <w:t xml:space="preserve"> </w:t>
      </w:r>
      <w:r>
        <w:rPr>
          <w:rFonts w:ascii="Arial" w:cs="Arial" w:eastAsia="Arial" w:hAnsi="Arial"/>
          <w:sz w:val="12"/>
          <w:szCs w:val="12"/>
          <w:i w:val="1"/>
          <w:iCs w:val="1"/>
          <w:color w:val="auto"/>
        </w:rPr>
        <w:t>Other Notes Payable</w:t>
      </w:r>
      <w:r>
        <w:rPr>
          <w:rFonts w:ascii="Arial" w:cs="Arial" w:eastAsia="Arial" w:hAnsi="Arial"/>
          <w:sz w:val="12"/>
          <w:szCs w:val="12"/>
          <w:color w:val="auto"/>
        </w:rPr>
        <w:t>. As described in Note 8, the Company has treated the aggregate of the incremental value of the Amended M&amp;F Warrant and the fair value of the New M&amp;F Warrant as a discount to the Replacement Notes, which</w:t>
      </w:r>
      <w:r>
        <w:rPr>
          <w:rFonts w:ascii="Arial" w:cs="Arial" w:eastAsia="Arial" w:hAnsi="Arial"/>
          <w:sz w:val="12"/>
          <w:szCs w:val="12"/>
          <w:i w:val="1"/>
          <w:iCs w:val="1"/>
          <w:color w:val="auto"/>
        </w:rPr>
        <w:t xml:space="preserve"> </w:t>
      </w:r>
      <w:r>
        <w:rPr>
          <w:rFonts w:ascii="Arial" w:cs="Arial" w:eastAsia="Arial" w:hAnsi="Arial"/>
          <w:sz w:val="12"/>
          <w:szCs w:val="12"/>
          <w:color w:val="auto"/>
        </w:rPr>
        <w:t>discount is being amortized to interest expense using the effective interest rate method over the term of the Replacement Notes.</w:t>
      </w:r>
    </w:p>
    <w:p>
      <w:pPr>
        <w:spacing w:after="0" w:line="141"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 xml:space="preserve">During August 2012, the Company issued 88,235 restricted shares of its common stock valued at a market price of $1.01 per share in settlement of a past-due obligation for business development consulting services in the amount of $25,000. The Company charged the loss on the settlement to interest expense. As disclosed in Note 8,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in August 2012, the Company issued a promissory note in the principal amount of $60,000 and 15,000 restricted shares of its common stock valued at $0.94 per share in settlement of its past due obligation for AV-101 clinical development services.</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February 2013, the Company entered into a contract for various strategic consulting services pursuant to which it granted a five-year warrant to purchase 25,000 shares of the Company’s common stock at an exercise price of $1.50 per share. The Company valued the warrant at $11,200 using the Black Scholes Option Pricing Model and the following assumptions: market price per share: $0.79; exercise price per share: $1.50; risk-free interest rate: 0.84%; contractual term: 5 years; volatility: 87.14%; expected dividend rate: 0%, and expensed the fair value of the warrant during the fourth quarter of the fiscal year ended March 31, 2013.</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49" w:name="page150"/>
    <w:bookmarkEnd w:id="149"/>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Warrants to Purchase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Warrant Grants and Exercises</w:t>
      </w:r>
    </w:p>
    <w:p>
      <w:pPr>
        <w:spacing w:after="0" w:line="17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March 19, 2014, the Company granted five -year warrants to purchase an aggregate of 415,000 restricted shares of the Company’s unregistered common stock at an exercise price of $0.50 per share to the independent members of its Board of Directors and certain of its officers. The warrants become exercisable for 50% of the shares on April 1, 2014, 25% of the shares on April 1, 2015 and 25% of the shares on April 1, 2016, provided that the warrant will become fully vested upon a change in control of the Company, as defined, or the consummation by the Company and a third party of a license or sale transaction involving at least one new drug rescue variant. The Company valued the warrants at $120,800 using the Black Scholes Option Pricing Model and the following assumptions: market price per share: $0.46; exercise price per share: $0.50; risk-free interest rate: 1.75%; contractual term: 5 years; volatility: 80.57%; expected dividend rate: 0%. The Company recognized stock compensation expense of $60,400 related to the grants in the fourth quarter of the fiscal year ended March 31, 2014.</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October 2013, the Company issued new warrants to purchase an aggregate of 237,500 shares of its restricted common stock to certain former warrant holders whose warrants to purchase an equivalent number of shares of the Company’s restricted common stock at an exercise price of $1.50 per share had recently expired. The Company calculated the fair value of the new warrants as $0.03 per share, using the Black-Scholes Option Pricing Model and the following assumptions: market price per share: $0.50; exercise price per share: $1.50; risk-free interest rate: 0.20%; contractual term: 1.32 years; volatility: 73.5%; and expected dividend rate: 0%. The Company recorded the aggregate fair value of $7,400 for the new warrants in general and administrative expense in the accompanying Consolidated Statements of Operations and Comprehensive Loss for the fiscal year ended March 31, 2014, with a corresponding credit to additional paid-in capital, an equity account.</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March 3, 2013, the Company granted ten-year warrants to purchase an aggregate of 3,000,000 restricted shares of the Company’s unregistered common stock at an exercise price of $0.64 per share to the independent members of its Board of Directors and certain of its officers. The warrants become exercisable for 50% of the shares on April 1, 2013, 25% of the shares on April 1, 2014 and 25% of the shares on April 1, 2015, provided that the warrant will become fully vested upon a change in control of the Company, as defined, or the consummation by the Company and a third party of a license or sale transaction involving at least one new drug rescue variant. The Company valued the warrants at $1,604,800 using the Black Scholes Option Pricing Model and the following assumptions: market price per share: $0.64; exercise price per share: $0.64; risk-free interest rate: 1.86%; contractual term: 10 years; volatility: 84.73%; expected dividend rate: 0%. The Company recognized stock compensation expense of $802,400 related to the grants in the fourth quarter of the fiscal year ended March 31, 2013.</w:t>
      </w:r>
    </w:p>
    <w:p>
      <w:pPr>
        <w:spacing w:after="0" w:line="1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June 2013 and October 2013, the Company’s Chief Executive Officer partially exercised an outstanding warrant to purchase 50,000 and 10,000 restricted shares of the Company’s common stock at an exercise price of $0.64 per share, respectively, and the Company received cash proceeds of $32,000 and $10,000, respectively, from the exercises.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Warrants Held by Platinum</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Effective on May 24, 2013, the Company and Platinum entered into an Amendment and Waiver Agreement (the “</w:t>
      </w:r>
      <w:r>
        <w:rPr>
          <w:rFonts w:ascii="Arial" w:cs="Arial" w:eastAsia="Arial" w:hAnsi="Arial"/>
          <w:sz w:val="12"/>
          <w:szCs w:val="12"/>
          <w:i w:val="1"/>
          <w:iCs w:val="1"/>
          <w:color w:val="auto"/>
        </w:rPr>
        <w:t>Amendment and Waiver</w:t>
      </w:r>
      <w:r>
        <w:rPr>
          <w:rFonts w:ascii="Arial" w:cs="Arial" w:eastAsia="Arial" w:hAnsi="Arial"/>
          <w:sz w:val="12"/>
          <w:szCs w:val="12"/>
          <w:color w:val="auto"/>
        </w:rPr>
        <w:t>”) pursuant to which the Company agreed to reduce the exercise price of the Exchange Warrant and the Investment Warrants issued to Platinum in October 2012 and February 2013 and March 2013 (collectively, the “</w:t>
      </w:r>
      <w:r>
        <w:rPr>
          <w:rFonts w:ascii="Arial" w:cs="Arial" w:eastAsia="Arial" w:hAnsi="Arial"/>
          <w:sz w:val="12"/>
          <w:szCs w:val="12"/>
          <w:i w:val="1"/>
          <w:iCs w:val="1"/>
          <w:color w:val="auto"/>
        </w:rPr>
        <w:t>Warrants</w:t>
      </w:r>
      <w:r>
        <w:rPr>
          <w:rFonts w:ascii="Arial" w:cs="Arial" w:eastAsia="Arial" w:hAnsi="Arial"/>
          <w:sz w:val="12"/>
          <w:szCs w:val="12"/>
          <w:color w:val="auto"/>
        </w:rPr>
        <w:t>”)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(i) the Company’s sale of shares of its common stock at a price of $0.50 per share in connection with the Autilion Financing; (ii) the March 2013 grant of warrants to certain of the Company’s officers and independent directors to purchase an aggregate of 3.0 million restricted shares of common stock at an exercise price of $0.64 per share; and (iii) the Company’s issuance of restricted shares of its common stock resulting in gross proceeds not to exceed $1.5 million in connection with the exercise by warrant holders, by no later than June 30, 2013, subsequently extended to July 30, 2013, of previously outstanding warrants for which the Company may reduce the exercise price to not less than $0.50 per share. (See “</w:t>
      </w:r>
      <w:r>
        <w:rPr>
          <w:rFonts w:ascii="Arial" w:cs="Arial" w:eastAsia="Arial" w:hAnsi="Arial"/>
          <w:sz w:val="12"/>
          <w:szCs w:val="12"/>
          <w:i w:val="1"/>
          <w:iCs w:val="1"/>
          <w:color w:val="auto"/>
        </w:rPr>
        <w:t>Other Warrant Modifications</w:t>
      </w:r>
      <w:r>
        <w:rPr>
          <w:rFonts w:ascii="Arial" w:cs="Arial" w:eastAsia="Arial" w:hAnsi="Arial"/>
          <w:sz w:val="12"/>
          <w:szCs w:val="12"/>
          <w:color w:val="auto"/>
        </w:rPr>
        <w:t xml:space="preserve"> </w:t>
      </w:r>
      <w:r>
        <w:rPr>
          <w:rFonts w:ascii="Arial" w:cs="Arial" w:eastAsia="Arial" w:hAnsi="Arial"/>
          <w:sz w:val="12"/>
          <w:szCs w:val="12"/>
          <w:i w:val="1"/>
          <w:iCs w:val="1"/>
          <w:color w:val="auto"/>
        </w:rPr>
        <w:t>and Exercises</w:t>
      </w:r>
      <w:r>
        <w:rPr>
          <w:rFonts w:ascii="Arial" w:cs="Arial" w:eastAsia="Arial" w:hAnsi="Arial"/>
          <w:sz w:val="12"/>
          <w:szCs w:val="12"/>
          <w:color w:val="auto"/>
        </w:rPr>
        <w:t>”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50" w:name="page151"/>
    <w:bookmarkEnd w:id="150"/>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1"/>
          <w:szCs w:val="11"/>
          <w:color w:val="auto"/>
        </w:rPr>
        <w:t xml:space="preserve">As described in Note 4,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and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the Company re-measures the fair value of the Exchange Warrant, the Investment Warrants and the July 2013 Warrant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The Company also re-measures at the end of each reporting period the fair value of the Series A Exchange Warrant which is contingently issuable to Platinum upon the exchange of its shares of the Company’s Series A Preferred Stock into shares of the Company’s restricted common stock. At March 31, 2014 and 2013, the Company determined the fair values of the Exchange Warrant, the Investment Warrants, the July 2013 Warrant (2014 only) and the Series A Preferred Exchange Warrant to be a weighted average of $0.27 and $0.59 per share, respectively, or an aggregate of $2,973,900 and $6,394,000, which amounts are reflected as Warrant Liability in the accompanying Consolidated Balance Sheets at March 31, 2014 and 2013, respectively. The Company determined the fair value of the warrants at March 31, 2014 using a Monte Carlo simulation model assuming the exercise price of the warrants to be the lower of (i) $0.50 per share or (ii) the projected market price of the Company’s common stock as determined by the simulation model and the other assumptions indicated in the table below. The Company determined the fair value of the warrants at March 31, 2013 using the Black Scholes Option Pricing Model and the assumptions indicated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5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March 31,</w:t>
            </w:r>
          </w:p>
        </w:tc>
        <w:tc>
          <w:tcPr>
            <w:tcW w:w="7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2014</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2013</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2"/>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Market price of common stock</w:t>
            </w:r>
          </w:p>
        </w:tc>
        <w:tc>
          <w:tcPr>
            <w:tcW w:w="7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0.46</w:t>
            </w: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0.83</w:t>
            </w:r>
          </w:p>
        </w:tc>
        <w:tc>
          <w:tcPr>
            <w:tcW w:w="320" w:type="dxa"/>
            <w:vAlign w:val="bottom"/>
            <w:shd w:val="clear" w:color="auto" w:fill="CCEEFF"/>
          </w:tcPr>
          <w:p>
            <w:pPr>
              <w:spacing w:after="0"/>
              <w:rPr>
                <w:sz w:val="12"/>
                <w:szCs w:val="12"/>
                <w:color w:val="auto"/>
              </w:rPr>
            </w:pP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Exercise price per share</w:t>
            </w: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0.49 to $0.50</w:t>
            </w:r>
          </w:p>
        </w:tc>
        <w:tc>
          <w:tcPr>
            <w:tcW w:w="800" w:type="dxa"/>
            <w:vAlign w:val="bottom"/>
          </w:tcPr>
          <w:p>
            <w:pPr>
              <w:spacing w:after="0"/>
              <w:rPr>
                <w:sz w:val="12"/>
                <w:szCs w:val="12"/>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0.50</w:t>
            </w:r>
          </w:p>
        </w:tc>
        <w:tc>
          <w:tcPr>
            <w:tcW w:w="320" w:type="dxa"/>
            <w:vAlign w:val="bottom"/>
          </w:tcPr>
          <w:p>
            <w:pPr>
              <w:spacing w:after="0"/>
              <w:rPr>
                <w:sz w:val="12"/>
                <w:szCs w:val="12"/>
                <w:color w:val="auto"/>
              </w:rPr>
            </w:pP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Risk-free interest rate</w:t>
            </w:r>
          </w:p>
        </w:tc>
        <w:tc>
          <w:tcPr>
            <w:tcW w:w="7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1.73</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0.77</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Volatility</w:t>
            </w:r>
          </w:p>
        </w:tc>
        <w:tc>
          <w:tcPr>
            <w:tcW w:w="7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75</w:t>
            </w:r>
          </w:p>
        </w:tc>
        <w:tc>
          <w:tcPr>
            <w:tcW w:w="200" w:type="dxa"/>
            <w:vAlign w:val="bottom"/>
          </w:tcPr>
          <w:p>
            <w:pPr>
              <w:spacing w:after="0"/>
              <w:rPr>
                <w:sz w:val="12"/>
                <w:szCs w:val="12"/>
                <w:color w:val="auto"/>
              </w:rPr>
            </w:pP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85</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Term (years)</w:t>
            </w:r>
          </w:p>
        </w:tc>
        <w:tc>
          <w:tcPr>
            <w:tcW w:w="7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 to 5.0</w:t>
            </w: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4.5 to 5.0</w:t>
            </w:r>
          </w:p>
        </w:tc>
        <w:tc>
          <w:tcPr>
            <w:tcW w:w="320" w:type="dxa"/>
            <w:vAlign w:val="bottom"/>
            <w:shd w:val="clear" w:color="auto" w:fill="CCEEFF"/>
          </w:tcPr>
          <w:p>
            <w:pPr>
              <w:spacing w:after="0"/>
              <w:rPr>
                <w:sz w:val="12"/>
                <w:szCs w:val="12"/>
                <w:color w:val="auto"/>
              </w:rPr>
            </w:pP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Dividend rate</w:t>
            </w:r>
          </w:p>
        </w:tc>
        <w:tc>
          <w:tcPr>
            <w:tcW w:w="7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Probability of Series A Preferred exchange</w:t>
            </w: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95</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580" w:type="dxa"/>
            <w:vAlign w:val="bottom"/>
          </w:tcPr>
          <w:p>
            <w:pPr>
              <w:ind w:left="420"/>
              <w:spacing w:after="0"/>
              <w:rPr>
                <w:sz w:val="20"/>
                <w:szCs w:val="20"/>
                <w:color w:val="auto"/>
              </w:rPr>
            </w:pPr>
            <w:r>
              <w:rPr>
                <w:rFonts w:ascii="Arial" w:cs="Arial" w:eastAsia="Arial" w:hAnsi="Arial"/>
                <w:sz w:val="12"/>
                <w:szCs w:val="12"/>
                <w:color w:val="auto"/>
              </w:rPr>
              <w:t>Fair value per share</w:t>
            </w: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0.26 to $0.29</w:t>
            </w:r>
          </w:p>
        </w:tc>
        <w:tc>
          <w:tcPr>
            <w:tcW w:w="80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0.59 to $0.62</w:t>
            </w:r>
          </w:p>
        </w:tc>
        <w:tc>
          <w:tcPr>
            <w:tcW w:w="320" w:type="dxa"/>
            <w:vAlign w:val="bottom"/>
          </w:tcPr>
          <w:p>
            <w:pPr>
              <w:spacing w:after="0"/>
              <w:rPr>
                <w:sz w:val="13"/>
                <w:szCs w:val="13"/>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Warrant Modifications and Exercises</w:t>
      </w:r>
    </w:p>
    <w:p>
      <w:pPr>
        <w:spacing w:after="0" w:line="17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During the months of June and July 2013, the Company offered certain long-term warrant holders the opportunity to exercise warrants having an exercise price of $1.50 per share to purchase shares of the Company’s restricted common stock at a reduced exercise price of $0.50 per share through July 30, 2013. Warrant holders exercised warrants to purchase an aggregate of 528,370 restricted shares of the Company’s common stock and the Company received cash proceeds of $264,200. In addition, certain warrant holders exercised modified warrants to purchase 16,646 restricted shares of the Company’s common stock in lieu of payment by the Company in satisfaction of amounts due for professional services in the aggregate amount of $8,300. The Company calculated the fair value of the warrants exercised immediately before and after the modifications and determined that the fair value of the warrants exercised decreased.</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October 2013 the Company modified certain outstanding warrants held by its long-term investors and consultants to purchase an aggregate of 1,292,778 restricted shares of the Company’s common stock to reduce the exercise price of the warrants to $0.50 per share and, for warrants scheduled to expire on December 31, 2013, extend the exercise term of the warrants until January 31, 2015, generally without modifying the exercise price. The Company calculated the fair value of the warrants immediately before and after the modifications and determined that the fair value of the warrants increased by $77,800,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90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40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1.50</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0.33%</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1.40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74.4%</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Dividend rate</w:t>
            </w: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8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404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0.05</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0.11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040" w:type="dxa"/>
            <w:vAlign w:val="bottom"/>
            <w:gridSpan w:val="3"/>
          </w:tcPr>
          <w:p>
            <w:pPr>
              <w:jc w:val="right"/>
              <w:ind w:right="2100"/>
              <w:spacing w:after="0"/>
              <w:rPr>
                <w:sz w:val="20"/>
                <w:szCs w:val="20"/>
                <w:color w:val="auto"/>
              </w:rPr>
            </w:pPr>
            <w:r>
              <w:rPr>
                <w:rFonts w:ascii="Arial" w:cs="Arial" w:eastAsia="Arial" w:hAnsi="Arial"/>
                <w:sz w:val="12"/>
                <w:szCs w:val="12"/>
                <w:color w:val="auto"/>
              </w:rPr>
              <w:t>F-36</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80" w:type="dxa"/>
            <w:vAlign w:val="bottom"/>
            <w:tcBorders>
              <w:bottom w:val="single" w:sz="8" w:color="808080"/>
            </w:tcBorders>
          </w:tcPr>
          <w:p>
            <w:pPr>
              <w:spacing w:after="0"/>
              <w:rPr>
                <w:sz w:val="6"/>
                <w:szCs w:val="6"/>
                <w:color w:val="auto"/>
              </w:rPr>
            </w:pPr>
          </w:p>
        </w:tc>
        <w:tc>
          <w:tcPr>
            <w:tcW w:w="36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51" w:name="page152"/>
    <w:bookmarkEnd w:id="151"/>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December 2013, the Company modified additional outstanding warrants held by certain of its long-term investors, consultants, and members of management and its Board of Directors to purchase an aggregate of 1,260,251 restricted shares of its common stock to reduce the exercise price of the warrants to $0.50 per share and, in limited cases, extend the exercise term of the warrants. The Company calculated the fair value of the warrants immediately before and after the modifications and determined that the fair value of the warrants increased by $344,000,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1.67</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0.51%</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2.06</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73.6%</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0.05</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0.14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February 2014, the Company modified additional outstanding warrants held by certain of its long-term investors to purchase an aggregate of 574,432 restricted shares of its common stock primarily to extend the exercise term of the warrants, and, in limited cases, to reduce the exercise price from $1.50 per share to $0.50 per share. The Company calculated the fair value of the warrants immediately before and after the modifications and determined that the fair value of the warrants increased by $29,800,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0.46</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1.41</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0.07%</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0.40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68.7%</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0.01</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0.06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February 2013, the Company modified certain outstanding warrants to purchase an aggregate of 1,706,709 restricted shares of the Company’s common stock at exercise prices in excess of $1.50 per share to reduce the exercise price to $1.50 per share. The Company determined that the increase in the fair value of the warrants exercised was $67,500, which is reflected in general and administrative expense in the accompanying Consolidated Statements of Operations and Comprehensive Loss for the year ended March 31, 2013. The warrants subject to the exercise price modification were valued using the Black-Scholes Option Pricing Model and the following assumptions: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6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(weighted average)</w:t>
            </w:r>
          </w:p>
        </w:tc>
        <w:tc>
          <w:tcPr>
            <w:tcW w:w="37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0.60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40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2.51</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0.21%</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Expected term in years (weighted average)</w:t>
            </w: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1.38</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80.8%</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Dividend rate</w:t>
            </w: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40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0.03</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0.07</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080" w:type="dxa"/>
            <w:vAlign w:val="bottom"/>
            <w:gridSpan w:val="3"/>
          </w:tcPr>
          <w:p>
            <w:pPr>
              <w:jc w:val="right"/>
              <w:ind w:right="2100"/>
              <w:spacing w:after="0"/>
              <w:rPr>
                <w:sz w:val="20"/>
                <w:szCs w:val="20"/>
                <w:color w:val="auto"/>
              </w:rPr>
            </w:pPr>
            <w:r>
              <w:rPr>
                <w:rFonts w:ascii="Arial" w:cs="Arial" w:eastAsia="Arial" w:hAnsi="Arial"/>
                <w:sz w:val="12"/>
                <w:szCs w:val="12"/>
                <w:color w:val="auto"/>
              </w:rPr>
              <w:t>F-37</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40" w:type="dxa"/>
            <w:vAlign w:val="bottom"/>
            <w:tcBorders>
              <w:bottom w:val="single" w:sz="8" w:color="808080"/>
            </w:tcBorders>
          </w:tcPr>
          <w:p>
            <w:pPr>
              <w:spacing w:after="0"/>
              <w:rPr>
                <w:sz w:val="6"/>
                <w:szCs w:val="6"/>
                <w:color w:val="auto"/>
              </w:rPr>
            </w:pPr>
          </w:p>
        </w:tc>
        <w:tc>
          <w:tcPr>
            <w:tcW w:w="3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52" w:name="page153"/>
    <w:bookmarkEnd w:id="152"/>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Between May and June 30, 2012, the Company offered certain warrant holders the opportunity to exercise their warrants to purchase restricted shares of the Company’s common stock at reduced exercise prices. The Company subsequently extended the offer through August 2012. Warrant holders exercised warrants to purchase an aggregate of 524,056 restricted shares of the Company’s common stock and the Company received cash proceeds of $262,000. In addition, certain warrant holders exercised warrants to purchase 25,000 restricted shares of the Company’s common stock in lieu of payment by the Company in satisfaction of amounts due for services in the aggregate amount of $12,500. For every three discounted warrant shares exercised by the warrant holders, the Company granted a three-year warrant to purchase one restricted share of its common stock at an exercise price of $3.00 per share.</w:t>
      </w:r>
    </w:p>
    <w:p>
      <w:pPr>
        <w:spacing w:after="0" w:line="109"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The Company calculated the fair value of the warrants exercised immediately before and after the May 18, 2012 Board of Directors approval of the modification offer, and on the exercise date for the exercises occurring after June 30, 2012, and determined that the increase in the fair value of the warrants exercised was $440,700, which is reflected in general and administrative expense in the accompanying Consolidated Statements of Operations and Comprehensive Loss for the year ended March 31, 2013. The warrants subject to the exercise price modifications were valued using the Black-Scholes Option Pricing Model and the following assumptions: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(weighted average)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1.95</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2.75</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0.29%</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Expected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1.93</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78.0%</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0.64</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1.45</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connection with the foregoing exercises, the Company issued three-year warrants to purchase 183,025 restricted shares of the Company’s common stock at an exercise price of $3.00 per share. The Company valued these warrants at $35,900 using the Black Scholes Option Pricing Model and the following assumptions: weighted average market price per share: $0.89; exercise price per share: $3.00; risk-free interest rate: 0.42%; contractual term: 3.0 years; volatility: 78.04%; expected dividend rate: 0%. The fair value of the warrants was charged to interest expense.</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making its fair value determinations for both warrant modifications and new grants using the Black Scholes Option Pricing Model, the Company utilizes the following principles in selecting its input assumptions. The market price per share is based on the quoted market price of the Company’s common stock on the Over-the-Counter Bulletin Board on the date of the modification or grant. Because of its short history as a public company, the Company estimates stock price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grant or modification for the term corresponding with the contractual term or remaining term of the warrant. The dividend rate is zero as the Company has not paid and does not expect to pay dividends in the near future.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53" w:name="page154"/>
    <w:bookmarkEnd w:id="153"/>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Warrants Outstanding</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following table summarizes outstanding warrants to purchase restricted shares of the Company’s common stock as of March 31, 2014. The weighted average exercise price of outstanding warrants at March 31, 2014 was $0.87 per share.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6"/>
              </w:rPr>
              <w:t>Shares Subject to</w:t>
            </w:r>
          </w:p>
        </w:tc>
      </w:tr>
      <w:tr>
        <w:trPr>
          <w:trHeight w:val="144"/>
        </w:trPr>
        <w:tc>
          <w:tcPr>
            <w:tcW w:w="1740" w:type="dxa"/>
            <w:vAlign w:val="bottom"/>
          </w:tcPr>
          <w:p>
            <w:pPr>
              <w:jc w:val="center"/>
              <w:ind w:left="520"/>
              <w:spacing w:after="0"/>
              <w:rPr>
                <w:sz w:val="20"/>
                <w:szCs w:val="20"/>
                <w:color w:val="auto"/>
              </w:rPr>
            </w:pPr>
            <w:r>
              <w:rPr>
                <w:rFonts w:ascii="Arial" w:cs="Arial" w:eastAsia="Arial" w:hAnsi="Arial"/>
                <w:sz w:val="12"/>
                <w:szCs w:val="12"/>
                <w:b w:val="1"/>
                <w:bCs w:val="1"/>
                <w:color w:val="auto"/>
                <w:w w:val="89"/>
              </w:rPr>
              <w:t>Exercise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89"/>
              </w:rPr>
              <w:t>Weighted Average</w:t>
            </w:r>
          </w:p>
        </w:tc>
        <w:tc>
          <w:tcPr>
            <w:tcW w:w="29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8"/>
              </w:rPr>
              <w:t>Purchase at</w:t>
            </w:r>
          </w:p>
        </w:tc>
      </w:tr>
      <w:tr>
        <w:trPr>
          <w:trHeight w:val="144"/>
        </w:trPr>
        <w:tc>
          <w:tcPr>
            <w:tcW w:w="1740" w:type="dxa"/>
            <w:vAlign w:val="bottom"/>
          </w:tcPr>
          <w:p>
            <w:pPr>
              <w:jc w:val="center"/>
              <w:ind w:left="520"/>
              <w:spacing w:after="0"/>
              <w:rPr>
                <w:sz w:val="20"/>
                <w:szCs w:val="20"/>
                <w:color w:val="auto"/>
              </w:rPr>
            </w:pPr>
            <w:r>
              <w:rPr>
                <w:rFonts w:ascii="Arial" w:cs="Arial" w:eastAsia="Arial" w:hAnsi="Arial"/>
                <w:sz w:val="12"/>
                <w:szCs w:val="12"/>
                <w:b w:val="1"/>
                <w:bCs w:val="1"/>
                <w:color w:val="auto"/>
                <w:w w:val="95"/>
              </w:rPr>
              <w:t>Price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460" w:type="dxa"/>
            <w:vAlign w:val="bottom"/>
          </w:tcPr>
          <w:p>
            <w:pPr>
              <w:spacing w:after="0"/>
              <w:rPr>
                <w:sz w:val="12"/>
                <w:szCs w:val="12"/>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88"/>
              </w:rPr>
              <w:t>Years to</w:t>
            </w:r>
          </w:p>
        </w:tc>
        <w:tc>
          <w:tcPr>
            <w:tcW w:w="29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3"/>
              </w:rPr>
              <w:t>March 31,</w:t>
            </w:r>
          </w:p>
        </w:tc>
      </w:tr>
      <w:tr>
        <w:trPr>
          <w:trHeight w:val="157"/>
        </w:trPr>
        <w:tc>
          <w:tcPr>
            <w:tcW w:w="1740" w:type="dxa"/>
            <w:vAlign w:val="bottom"/>
          </w:tcPr>
          <w:p>
            <w:pPr>
              <w:jc w:val="center"/>
              <w:ind w:left="500"/>
              <w:spacing w:after="0"/>
              <w:rPr>
                <w:sz w:val="20"/>
                <w:szCs w:val="20"/>
                <w:color w:val="auto"/>
              </w:rPr>
            </w:pPr>
            <w:r>
              <w:rPr>
                <w:rFonts w:ascii="Arial" w:cs="Arial" w:eastAsia="Arial" w:hAnsi="Arial"/>
                <w:sz w:val="12"/>
                <w:szCs w:val="12"/>
                <w:b w:val="1"/>
                <w:bCs w:val="1"/>
                <w:color w:val="auto"/>
                <w:w w:val="90"/>
              </w:rPr>
              <w:t>per Share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460" w:type="dxa"/>
            <w:vAlign w:val="bottom"/>
          </w:tcPr>
          <w:p>
            <w:pPr>
              <w:spacing w:after="0"/>
              <w:rPr>
                <w:sz w:val="13"/>
                <w:szCs w:val="13"/>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91"/>
              </w:rPr>
              <w:t>Expiration</w:t>
            </w: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89"/>
              </w:rPr>
              <w:t>2014</w:t>
            </w:r>
          </w:p>
        </w:tc>
        <w:tc>
          <w:tcPr>
            <w:tcW w:w="480" w:type="dxa"/>
            <w:vAlign w:val="bottom"/>
          </w:tcPr>
          <w:p>
            <w:pPr>
              <w:spacing w:after="0"/>
              <w:rPr>
                <w:sz w:val="13"/>
                <w:szCs w:val="13"/>
                <w:color w:val="auto"/>
              </w:rPr>
            </w:pPr>
          </w:p>
        </w:tc>
      </w:tr>
      <w:tr>
        <w:trPr>
          <w:trHeight w:val="142"/>
        </w:trPr>
        <w:tc>
          <w:tcPr>
            <w:tcW w:w="17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12/31/2014 to 3/19/2019</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3.34</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5,856,983</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0.64</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3/3/2023</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8.92</w:t>
            </w:r>
          </w:p>
        </w:tc>
        <w:tc>
          <w:tcPr>
            <w:tcW w:w="2420" w:type="dxa"/>
            <w:vAlign w:val="bottom"/>
          </w:tcPr>
          <w:p>
            <w:pPr>
              <w:jc w:val="right"/>
              <w:spacing w:after="0"/>
              <w:rPr>
                <w:sz w:val="20"/>
                <w:szCs w:val="20"/>
                <w:color w:val="auto"/>
              </w:rPr>
            </w:pPr>
            <w:r>
              <w:rPr>
                <w:rFonts w:ascii="Arial" w:cs="Arial" w:eastAsia="Arial" w:hAnsi="Arial"/>
                <w:sz w:val="12"/>
                <w:szCs w:val="12"/>
                <w:color w:val="auto"/>
              </w:rPr>
              <w:t>2,940,000</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0.88</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5/31/2015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1.17</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15,428</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1.00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7/30/2016 to 9/30/2017</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3.05</w:t>
            </w:r>
          </w:p>
        </w:tc>
        <w:tc>
          <w:tcPr>
            <w:tcW w:w="2420" w:type="dxa"/>
            <w:vAlign w:val="bottom"/>
          </w:tcPr>
          <w:p>
            <w:pPr>
              <w:jc w:val="right"/>
              <w:spacing w:after="0"/>
              <w:rPr>
                <w:sz w:val="20"/>
                <w:szCs w:val="20"/>
                <w:color w:val="auto"/>
              </w:rPr>
            </w:pPr>
            <w:r>
              <w:rPr>
                <w:rFonts w:ascii="Arial" w:cs="Arial" w:eastAsia="Arial" w:hAnsi="Arial"/>
                <w:sz w:val="12"/>
                <w:szCs w:val="12"/>
                <w:color w:val="auto"/>
              </w:rPr>
              <w:t>5,326,029</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1.25</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12/31/2014 to 5/31/2015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0.8</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50,280</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1.50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11/4/2014 to 3/4/2018</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2.45</w:t>
            </w:r>
          </w:p>
        </w:tc>
        <w:tc>
          <w:tcPr>
            <w:tcW w:w="2420" w:type="dxa"/>
            <w:vAlign w:val="bottom"/>
          </w:tcPr>
          <w:p>
            <w:pPr>
              <w:jc w:val="right"/>
              <w:spacing w:after="0"/>
              <w:rPr>
                <w:sz w:val="20"/>
                <w:szCs w:val="20"/>
                <w:color w:val="auto"/>
              </w:rPr>
            </w:pPr>
            <w:r>
              <w:rPr>
                <w:rFonts w:ascii="Arial" w:cs="Arial" w:eastAsia="Arial" w:hAnsi="Arial"/>
                <w:sz w:val="12"/>
                <w:szCs w:val="12"/>
                <w:color w:val="auto"/>
              </w:rPr>
              <w:t>2,353,052</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2.00</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9/15/2017</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3.46</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425,000</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2.50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5/31/2015</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1.17</w:t>
            </w:r>
          </w:p>
        </w:tc>
        <w:tc>
          <w:tcPr>
            <w:tcW w:w="2420" w:type="dxa"/>
            <w:vAlign w:val="bottom"/>
          </w:tcPr>
          <w:p>
            <w:pPr>
              <w:jc w:val="right"/>
              <w:spacing w:after="0"/>
              <w:rPr>
                <w:sz w:val="20"/>
                <w:szCs w:val="20"/>
                <w:color w:val="auto"/>
              </w:rPr>
            </w:pPr>
            <w:r>
              <w:rPr>
                <w:rFonts w:ascii="Arial" w:cs="Arial" w:eastAsia="Arial" w:hAnsi="Arial"/>
                <w:sz w:val="12"/>
                <w:szCs w:val="12"/>
                <w:color w:val="auto"/>
              </w:rPr>
              <w:t>42,443</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2.625</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0.84</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61,418</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3.00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2/13/2016</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1.87</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25,000</w:t>
            </w:r>
          </w:p>
        </w:tc>
        <w:tc>
          <w:tcPr>
            <w:tcW w:w="480" w:type="dxa"/>
            <w:vAlign w:val="bottom"/>
          </w:tcPr>
          <w:p>
            <w:pPr>
              <w:spacing w:after="0"/>
              <w:rPr>
                <w:sz w:val="12"/>
                <w:szCs w:val="12"/>
                <w:color w:val="auto"/>
              </w:rPr>
            </w:pPr>
          </w:p>
        </w:tc>
      </w:tr>
      <w:tr>
        <w:trPr>
          <w:trHeight w:val="142"/>
        </w:trPr>
        <w:tc>
          <w:tcPr>
            <w:tcW w:w="1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4.07</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17,095,633</w:t>
            </w:r>
          </w:p>
        </w:tc>
        <w:tc>
          <w:tcPr>
            <w:tcW w:w="480" w:type="dxa"/>
            <w:vAlign w:val="bottom"/>
          </w:tcPr>
          <w:p>
            <w:pPr>
              <w:spacing w:after="0"/>
              <w:rPr>
                <w:sz w:val="12"/>
                <w:szCs w:val="12"/>
                <w:color w:val="auto"/>
              </w:rPr>
            </w:pPr>
          </w:p>
        </w:tc>
      </w:tr>
      <w:tr>
        <w:trPr>
          <w:trHeight w:val="20"/>
        </w:trPr>
        <w:tc>
          <w:tcPr>
            <w:tcW w:w="1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Receivable from Sale of Company Securities</w:t>
      </w:r>
    </w:p>
    <w:p>
      <w:pPr>
        <w:spacing w:after="0" w:line="17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May 2011, the Company accepted a $500,000 short-term note from an investor in payment for shares of the Company’s common stock sold to the investor in a private placement transaction. In October 2011, the Company restructured the note to extend the repayment term through September 1, 2012 and to increase the interest rate to 5% per annum. On November 8, 2012 the Company and the investor again amended the note to require payment of the outstanding balance of $256,000, reflecting unpaid principal and accrued interest, in twenty-four monthly payments of $11,000 beginning in December 2012 and continuing through November 2014, with a final payment of the remaining unpaid principal and interest due in December 2014. The outstanding principal balance of the note receivable at March 31, 2014 and 2013 was $198,100 and $209,100, respectively.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54" w:name="page155"/>
    <w:bookmarkEnd w:id="154"/>
    <w:p>
      <w:pPr>
        <w:ind w:left="8"/>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Reserved Shares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At March 31, 2014, the Company has reserved shares of its common stock for future issuance as follows: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Upon exchange of all shares of Series A Preferred Stock currently issued and outstanding </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92340" cy="914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84" w:lineRule="exact"/>
        <w:rPr>
          <w:sz w:val="20"/>
          <w:szCs w:val="20"/>
          <w:color w:val="auto"/>
        </w:rPr>
      </w:pPr>
    </w:p>
    <w:p>
      <w:pPr>
        <w:ind w:left="8"/>
        <w:spacing w:after="0"/>
        <w:rPr>
          <w:sz w:val="20"/>
          <w:szCs w:val="20"/>
          <w:color w:val="auto"/>
        </w:rPr>
      </w:pPr>
      <w:r>
        <w:rPr>
          <w:rFonts w:ascii="Arial" w:cs="Arial" w:eastAsia="Arial" w:hAnsi="Arial"/>
          <w:sz w:val="10"/>
          <w:szCs w:val="10"/>
          <w:color w:val="auto"/>
        </w:rPr>
        <w:t>Warrant shares issuable to Platinum upon exercise of common stock warrant upon exchange of Series A preferred stock under the terms of the October 11, 2012 Note Purchase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292340" cy="914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153" w:lineRule="exact"/>
        <w:rPr>
          <w:sz w:val="20"/>
          <w:szCs w:val="20"/>
          <w:color w:val="auto"/>
        </w:rPr>
      </w:pPr>
    </w:p>
    <w:p>
      <w:pPr>
        <w:ind w:left="8" w:right="260"/>
        <w:spacing w:after="0" w:line="291" w:lineRule="auto"/>
        <w:rPr>
          <w:sz w:val="20"/>
          <w:szCs w:val="20"/>
          <w:color w:val="auto"/>
        </w:rPr>
      </w:pPr>
      <w:r>
        <w:rPr>
          <w:rFonts w:ascii="Arial" w:cs="Arial" w:eastAsia="Arial" w:hAnsi="Arial"/>
          <w:sz w:val="12"/>
          <w:szCs w:val="12"/>
          <w:color w:val="auto"/>
        </w:rPr>
        <w:t xml:space="preserve">110% of shares issuable upon conversion of 10% convertible Exchange Note and Investment Notes issued to Platinum in October 2012, February 2013 and March 2013, including interest accrued through maturity </w:t>
      </w:r>
      <w:r>
        <w:rPr>
          <w:rFonts w:ascii="Arial" w:cs="Arial" w:eastAsia="Arial" w:hAnsi="Arial"/>
          <w:sz w:val="16"/>
          <w:szCs w:val="1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292340" cy="182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340" cy="182880"/>
                    </a:xfrm>
                    <a:prstGeom prst="rect">
                      <a:avLst/>
                    </a:prstGeom>
                    <a:noFill/>
                  </pic:spPr>
                </pic:pic>
              </a:graphicData>
            </a:graphic>
          </wp:anchor>
        </w:drawing>
      </w:r>
    </w:p>
    <w:p>
      <w:pPr>
        <w:spacing w:after="0" w:line="22"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128"/>
        <w:spacing w:after="0"/>
        <w:rPr>
          <w:sz w:val="20"/>
          <w:szCs w:val="20"/>
          <w:color w:val="auto"/>
        </w:rPr>
      </w:pPr>
      <w:r>
        <w:rPr>
          <w:rFonts w:ascii="Arial" w:cs="Arial" w:eastAsia="Arial" w:hAnsi="Arial"/>
          <w:sz w:val="12"/>
          <w:szCs w:val="12"/>
          <w:color w:val="auto"/>
        </w:rPr>
        <w:t>Subject to outstanding warrants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Issuable pursuant to accrued interest through maturity on outstanding promissory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914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248"/>
        <w:spacing w:after="0"/>
        <w:rPr>
          <w:sz w:val="20"/>
          <w:szCs w:val="20"/>
          <w:color w:val="auto"/>
        </w:rPr>
      </w:pPr>
      <w:r>
        <w:rPr>
          <w:rFonts w:ascii="Arial" w:cs="Arial" w:eastAsia="Arial" w:hAnsi="Arial"/>
          <w:sz w:val="12"/>
          <w:szCs w:val="12"/>
          <w:color w:val="auto"/>
        </w:rPr>
        <w:t>issued to Morrison &amp; Foerster, Cato Research Ltd., and University Health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292340" cy="914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283"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128"/>
        <w:spacing w:after="0"/>
        <w:rPr>
          <w:sz w:val="20"/>
          <w:szCs w:val="20"/>
          <w:color w:val="auto"/>
        </w:rPr>
      </w:pPr>
      <w:r>
        <w:rPr>
          <w:rFonts w:ascii="Arial" w:cs="Arial" w:eastAsia="Arial" w:hAnsi="Arial"/>
          <w:sz w:val="12"/>
          <w:szCs w:val="12"/>
          <w:color w:val="auto"/>
        </w:rPr>
        <w:t>Subject to outstanding options under the 2008 and 1999 Stock Incentive Plans</w:t>
      </w:r>
    </w:p>
    <w:p>
      <w:pPr>
        <w:spacing w:after="0" w:line="6" w:lineRule="exact"/>
        <w:rPr>
          <w:sz w:val="20"/>
          <w:szCs w:val="20"/>
          <w:color w:val="auto"/>
        </w:rPr>
      </w:pPr>
    </w:p>
    <w:p>
      <w:pPr>
        <w:ind w:left="108"/>
        <w:spacing w:after="0"/>
        <w:rPr>
          <w:sz w:val="20"/>
          <w:szCs w:val="20"/>
          <w:color w:val="auto"/>
        </w:rPr>
      </w:pPr>
      <w:r>
        <w:rPr>
          <w:rFonts w:ascii="Arial" w:cs="Arial" w:eastAsia="Arial" w:hAnsi="Arial"/>
          <w:sz w:val="12"/>
          <w:szCs w:val="12"/>
          <w:color w:val="auto"/>
        </w:rPr>
        <w:t>Available for future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1028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color w:val="auto"/>
        </w:rPr>
        <w:t>Upon conversion of notes and accrued interest issued pursuant to the Winter 2013/2014 Private Placement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Upon further sales of Units in the Spring 2014 Private Placement of Units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Upon further sale of shares to Autilion under the amended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1028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1143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2"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w:t>
      </w:r>
    </w:p>
    <w:p>
      <w:pPr>
        <w:ind w:left="148" w:hanging="148"/>
        <w:spacing w:after="0" w:line="195" w:lineRule="auto"/>
        <w:tabs>
          <w:tab w:leader="none" w:pos="148" w:val="left"/>
        </w:tabs>
        <w:numPr>
          <w:ilvl w:val="0"/>
          <w:numId w:val="70"/>
        </w:numPr>
        <w:rPr>
          <w:rFonts w:ascii="Arial" w:cs="Arial" w:eastAsia="Arial" w:hAnsi="Arial"/>
          <w:sz w:val="17"/>
          <w:szCs w:val="17"/>
          <w:color w:val="auto"/>
          <w:vertAlign w:val="superscript"/>
        </w:rPr>
      </w:pPr>
      <w:r>
        <w:rPr>
          <w:rFonts w:ascii="Arial" w:cs="Arial" w:eastAsia="Arial" w:hAnsi="Arial"/>
          <w:sz w:val="12"/>
          <w:szCs w:val="12"/>
          <w:color w:val="auto"/>
        </w:rPr>
        <w:t>Assumes exchange under the terms of the October 11, 2012 Note Exchange and Purchase Agreement with Platinum</w:t>
      </w:r>
    </w:p>
    <w:p>
      <w:pPr>
        <w:spacing w:after="0" w:line="1" w:lineRule="exact"/>
        <w:rPr>
          <w:rFonts w:ascii="Arial" w:cs="Arial" w:eastAsia="Arial" w:hAnsi="Arial"/>
          <w:sz w:val="17"/>
          <w:szCs w:val="17"/>
          <w:color w:val="auto"/>
          <w:vertAlign w:val="superscript"/>
        </w:rPr>
      </w:pPr>
    </w:p>
    <w:p>
      <w:pPr>
        <w:ind w:left="148" w:hanging="148"/>
        <w:spacing w:after="0" w:line="186" w:lineRule="auto"/>
        <w:tabs>
          <w:tab w:leader="none" w:pos="148" w:val="left"/>
        </w:tabs>
        <w:numPr>
          <w:ilvl w:val="0"/>
          <w:numId w:val="70"/>
        </w:numPr>
        <w:rPr>
          <w:rFonts w:ascii="Arial" w:cs="Arial" w:eastAsia="Arial" w:hAnsi="Arial"/>
          <w:sz w:val="16"/>
          <w:szCs w:val="16"/>
          <w:color w:val="auto"/>
          <w:vertAlign w:val="superscript"/>
        </w:rPr>
      </w:pPr>
      <w:r>
        <w:rPr>
          <w:rFonts w:ascii="Arial" w:cs="Arial" w:eastAsia="Arial" w:hAnsi="Arial"/>
          <w:sz w:val="11"/>
          <w:szCs w:val="11"/>
          <w:color w:val="auto"/>
        </w:rPr>
        <w:t>Assumes conversion under the terms of the October 11, 2012 Note Exchange and Purchase Agreement with Platinum and the terms of the individual notes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11. Research and Development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0"/>
          <w:szCs w:val="10"/>
          <w:color w:val="auto"/>
        </w:rPr>
        <w:t>15,000,000</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7,500,000</w:t>
      </w:r>
    </w:p>
    <w:p>
      <w:pPr>
        <w:spacing w:after="0" w:line="31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11,227,423</w:t>
      </w:r>
    </w:p>
    <w:p>
      <w:pPr>
        <w:spacing w:after="0" w:line="306"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17,095,633</w:t>
      </w:r>
    </w:p>
    <w:p>
      <w:pPr>
        <w:spacing w:after="0" w:line="162"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938,971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9525</wp:posOffset>
            </wp:positionV>
            <wp:extent cx="726440" cy="114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440" cy="11430"/>
                    </a:xfrm>
                    <a:prstGeom prst="rect">
                      <a:avLst/>
                    </a:prstGeom>
                    <a:noFill/>
                  </pic:spPr>
                </pic:pic>
              </a:graphicData>
            </a:graphic>
          </wp:anchor>
        </w:drawing>
      </w:r>
    </w:p>
    <w:p>
      <w:pPr>
        <w:spacing w:after="0" w:line="4"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18,034,604</w:t>
      </w:r>
    </w:p>
    <w:p>
      <w:pPr>
        <w:spacing w:after="0" w:line="306"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4,249,271</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735,200</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4,984,471</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2,470,000</w:t>
      </w:r>
    </w:p>
    <w:p>
      <w:pPr>
        <w:spacing w:after="0" w:line="6"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14,900,000</w:t>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71,950,000</w:t>
      </w:r>
    </w:p>
    <w:p>
      <w:pPr>
        <w:spacing w:after="0" w:line="171" w:lineRule="exact"/>
        <w:rPr>
          <w:sz w:val="20"/>
          <w:szCs w:val="20"/>
          <w:color w:val="auto"/>
        </w:rPr>
      </w:pPr>
    </w:p>
    <w:p>
      <w:pPr>
        <w:spacing w:after="0"/>
        <w:rPr>
          <w:sz w:val="20"/>
          <w:szCs w:val="20"/>
          <w:color w:val="auto"/>
        </w:rPr>
      </w:pPr>
      <w:r>
        <w:rPr>
          <w:rFonts w:ascii="Arial" w:cs="Arial" w:eastAsia="Arial" w:hAnsi="Arial"/>
          <w:sz w:val="10"/>
          <w:szCs w:val="10"/>
          <w:color w:val="auto"/>
        </w:rPr>
        <w:t>146,066,498</w:t>
      </w:r>
    </w:p>
    <w:p>
      <w:pPr>
        <w:spacing w:after="0" w:line="965" w:lineRule="exact"/>
        <w:rPr>
          <w:sz w:val="20"/>
          <w:szCs w:val="20"/>
          <w:color w:val="auto"/>
        </w:rPr>
      </w:pPr>
    </w:p>
    <w:p>
      <w:pPr>
        <w:sectPr>
          <w:pgSz w:w="11900" w:h="16838" w:orient="portrait"/>
          <w:cols w:equalWidth="0" w:num="2">
            <w:col w:w="10048" w:space="720"/>
            <w:col w:w="720"/>
          </w:cols>
          <w:pgMar w:left="212" w:top="128" w:right="199" w:bottom="1440" w:gutter="0" w:footer="0" w:header="0"/>
        </w:sectPr>
      </w:pPr>
    </w:p>
    <w:p>
      <w:pPr>
        <w:jc w:val="both"/>
        <w:ind w:left="8" w:firstLine="432"/>
        <w:spacing w:after="0" w:line="263" w:lineRule="auto"/>
        <w:rPr>
          <w:sz w:val="20"/>
          <w:szCs w:val="20"/>
          <w:color w:val="auto"/>
        </w:rPr>
      </w:pPr>
      <w:r>
        <w:rPr>
          <w:rFonts w:ascii="Arial" w:cs="Arial" w:eastAsia="Arial" w:hAnsi="Arial"/>
          <w:sz w:val="12"/>
          <w:szCs w:val="12"/>
          <w:color w:val="auto"/>
        </w:rPr>
        <w:t>The Company recorded research and development expenses of approximately $2.5 million and $3.4 million in the fiscal years ended March 31, 2014 and 2013,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12. Income Taxes</w:t>
      </w:r>
    </w:p>
    <w:p>
      <w:pPr>
        <w:spacing w:after="0" w:line="172"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provision for income taxes for the periods presented in the consolidated statements of operations represents minimum California franchise taxes. Income tax expense differed from the amounts computed by applying the</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U.S. federal income tax rate of 34% to pretax losses as a result of the following:</w:t>
      </w:r>
    </w:p>
    <w:p>
      <w:pPr>
        <w:spacing w:after="0" w:line="159" w:lineRule="exact"/>
        <w:rPr>
          <w:sz w:val="20"/>
          <w:szCs w:val="20"/>
          <w:color w:val="auto"/>
        </w:rPr>
      </w:pPr>
    </w:p>
    <w:p>
      <w:pPr>
        <w:ind w:left="9388"/>
        <w:spacing w:after="0"/>
        <w:rPr>
          <w:sz w:val="20"/>
          <w:szCs w:val="20"/>
          <w:color w:val="auto"/>
        </w:rPr>
      </w:pPr>
      <w:r>
        <w:rPr>
          <w:rFonts w:ascii="Arial" w:cs="Arial" w:eastAsia="Arial" w:hAnsi="Arial"/>
          <w:sz w:val="12"/>
          <w:szCs w:val="12"/>
          <w:color w:val="auto"/>
        </w:rPr>
        <w:t>Fiscal Years Ended March 31,</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8840" w:type="dxa"/>
            <w:vAlign w:val="bottom"/>
            <w:gridSpan w:val="2"/>
          </w:tcPr>
          <w:p>
            <w:pPr>
              <w:spacing w:after="0"/>
              <w:rPr>
                <w:sz w:val="12"/>
                <w:szCs w:val="12"/>
                <w:color w:val="auto"/>
              </w:rPr>
            </w:pP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2014</w:t>
            </w: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Computed expected tax benefit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-34.0%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tcPr>
          <w:p>
            <w:pPr>
              <w:spacing w:after="0"/>
              <w:rPr>
                <w:sz w:val="20"/>
                <w:szCs w:val="20"/>
                <w:color w:val="auto"/>
              </w:rPr>
            </w:pPr>
            <w:r>
              <w:rPr>
                <w:rFonts w:ascii="Arial" w:cs="Arial" w:eastAsia="Arial" w:hAnsi="Arial"/>
                <w:sz w:val="12"/>
                <w:szCs w:val="12"/>
                <w:color w:val="auto"/>
              </w:rPr>
              <w:t>Tax effect of Warrant Liability mark to market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41.5%</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losses not benefitted</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tcPr>
          <w:p>
            <w:pPr>
              <w:spacing w:after="0"/>
              <w:rPr>
                <w:sz w:val="20"/>
                <w:szCs w:val="20"/>
                <w:color w:val="auto"/>
              </w:rPr>
            </w:pPr>
            <w:r>
              <w:rPr>
                <w:rFonts w:ascii="Arial" w:cs="Arial" w:eastAsia="Arial" w:hAnsi="Arial"/>
                <w:sz w:val="12"/>
                <w:szCs w:val="12"/>
                <w:color w:val="auto"/>
              </w:rPr>
              <w:t>Other</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0.1%</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Income tax expense</w:t>
            </w:r>
          </w:p>
        </w:tc>
        <w:tc>
          <w:tcPr>
            <w:tcW w:w="8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0.1%</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9620" w:type="dxa"/>
            <w:vAlign w:val="bottom"/>
            <w:gridSpan w:val="2"/>
          </w:tcPr>
          <w:p>
            <w:pPr>
              <w:jc w:val="right"/>
              <w:ind w:right="3740"/>
              <w:spacing w:after="0"/>
              <w:rPr>
                <w:sz w:val="20"/>
                <w:szCs w:val="20"/>
                <w:color w:val="auto"/>
              </w:rPr>
            </w:pPr>
            <w:r>
              <w:rPr>
                <w:rFonts w:ascii="Arial" w:cs="Arial" w:eastAsia="Arial" w:hAnsi="Arial"/>
                <w:sz w:val="12"/>
                <w:szCs w:val="12"/>
                <w:color w:val="auto"/>
              </w:rPr>
              <w:t>F-40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8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type w:val="continuous"/>
        </w:sectPr>
      </w:pPr>
    </w:p>
    <w:bookmarkStart w:id="155" w:name="page156"/>
    <w:bookmarkEnd w:id="155"/>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2"/>
          <w:szCs w:val="12"/>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(in thousands):</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Deferred tax assets: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Net operating loss carryovers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19,733</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19,010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320"/>
              <w:spacing w:after="0"/>
              <w:rPr>
                <w:sz w:val="20"/>
                <w:szCs w:val="20"/>
                <w:color w:val="auto"/>
              </w:rPr>
            </w:pPr>
            <w:r>
              <w:rPr>
                <w:rFonts w:ascii="Arial" w:cs="Arial" w:eastAsia="Arial" w:hAnsi="Arial"/>
                <w:sz w:val="12"/>
                <w:szCs w:val="12"/>
                <w:color w:val="auto"/>
              </w:rPr>
              <w:t>Basis differences in fixed assets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37</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Accruals and reserves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Total deferred tax assets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19,787</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19,027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Valuation allowance</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8"/>
              </w:rPr>
              <w:t>(19,787)</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(19,027)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deferred tax assets</w:t>
            </w:r>
          </w:p>
        </w:tc>
        <w:tc>
          <w:tcPr>
            <w:tcW w:w="740" w:type="dxa"/>
            <w:vAlign w:val="bottom"/>
            <w:tcBorders>
              <w:bottom w:val="single" w:sz="8" w:color="auto"/>
            </w:tcBorders>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Realization of deferred tax assets is dependent upon future earnings, if any, the timing and amount of which are uncertain. Accordingly, the deferred tax assets have been fully offset by a valuation allowance. The valuation allowance increased by $760,000 and $2,814,000 during the fiscal years ended March 31, 2014 and 2013, respectively. When realized, deferred tax assets related to employee stock options will be credited to additional paid-in capital.</w:t>
      </w:r>
    </w:p>
    <w:p>
      <w:pPr>
        <w:spacing w:after="0" w:line="11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of March 31, 2014, the Company had U.S. federal net operating loss carryforwards of $50.3 million, which will expire in fiscal years 2019 through 2034. As of March 31, 2014, the Company had state net operating loss carryforwards of $44.7 million, which will expire in fiscal years 2014 through 2034.</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U.S. federal and state tax laws include substantial restrictions on the utilization of net operating loss carryforwards in the event of an ownership change of a corporation. The Company has not performed a change in ownership analysis since its inception in 1998 and accordingly some or all of its net operating loss carryforwards may not be available to offset future taxable income, if any. Even if the loss carryforwards are available they may be subject to substantial annual limitations resulting from past ownership changes, and ownership changes occurring after March 31, 2014, that could result in the expiration of the loss carryforwards before they are utilized.</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files income tax returns in the U.S. federal and Canadian jurisdictions and California and Maryland state jurisdictions. The Company is subject to U.S. federal and state income tax examinations by tax authorities for tax years 1999 through 2014 due to net operating losses that are being carried forward for tax purposes.</w:t>
      </w:r>
    </w:p>
    <w:p>
      <w:pPr>
        <w:spacing w:after="0" w:line="13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does not have any uncertain tax positions or unrecognized tax benefits at March 31, 2014 and 2013. The Company’s policy is to recognize interest and penalties related to income taxes as components of interest expense and other expense,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Licensing and Collaborative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University Health Network</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On September 17, 2007, the Company and UHN entered into a Sponsored Research Collaboration Agreement (“</w:t>
      </w:r>
      <w:r>
        <w:rPr>
          <w:rFonts w:ascii="Arial" w:cs="Arial" w:eastAsia="Arial" w:hAnsi="Arial"/>
          <w:sz w:val="12"/>
          <w:szCs w:val="12"/>
          <w:i w:val="1"/>
          <w:iCs w:val="1"/>
          <w:color w:val="auto"/>
        </w:rPr>
        <w:t>SRCA</w:t>
      </w:r>
      <w:r>
        <w:rPr>
          <w:rFonts w:ascii="Arial" w:cs="Arial" w:eastAsia="Arial" w:hAnsi="Arial"/>
          <w:sz w:val="12"/>
          <w:szCs w:val="12"/>
          <w:color w:val="auto"/>
        </w:rPr>
        <w:t xml:space="preserve">”) to develop certain stem cell technologies for drug discovery, development and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 On October 24, 2011, the Company and UHN amended the SRCA a fourth time to identify five key programs that will further support the Company’s core drug rescue initiatives and potential cell therapy applications. Under the terms of the fourth amendment, the Company committed to making monthly payments of $50,000 per month from October 2011 through September 2012 to fund these programs. As disclosed in Note 9, </w:t>
      </w:r>
      <w:r>
        <w:rPr>
          <w:rFonts w:ascii="Arial" w:cs="Arial" w:eastAsia="Arial" w:hAnsi="Arial"/>
          <w:sz w:val="12"/>
          <w:szCs w:val="12"/>
          <w:i w:val="1"/>
          <w:iCs w:val="1"/>
          <w:color w:val="auto"/>
        </w:rPr>
        <w:t>Convertible Notes and Other Notes Payable</w:t>
      </w:r>
      <w:r>
        <w:rPr>
          <w:rFonts w:ascii="Arial" w:cs="Arial" w:eastAsia="Arial" w:hAnsi="Arial"/>
          <w:sz w:val="12"/>
          <w:szCs w:val="12"/>
          <w:color w:val="auto"/>
        </w:rPr>
        <w:t>, in October 2012, the Company issued a promissory note in the principal amount of $549,500 and a warrant to UHN as payment in full for services rendered under the fourth amendment. Additionally, the Company and UHN entered into Amendment No. 5 to the SRCA establishing the sponsored research projects and the sponsored research budgets under the SRCA from October 1, 2012 to September 30, 2013, as well as a schedule of the Company’s sponsored research payments for such period totaling $309,000.</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56" w:name="page157"/>
    <w:bookmarkEnd w:id="156"/>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commercial milestones set forth in the License Agreement, and to pay UHN royalties based on the receipt of revenue by the Company attributable to the licensed patents.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National Institutes of Health</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During fiscal years 2006 through 2008,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awarded the Company a $4.2 million grant to support preclinical development of AV-101, the Company’s lead drug candidate for treatment of neuropathic pain and other neurodegenerative diseases such as Huntington’s and Parkinson’s diseases. In June 2009, the NIH awarded the Company a $4.2 million grant to support the Phase I clinical development of AV-101, which amount was subsequently increased to a total of $4.6 million in July 2010. The Company recognized NIH grant revenue related to AV-101 in the amount of $187,000 in the quarter ended June 30, 2012. The grant expired in the ordinary course on June 30, 2012.</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Cato Research Ltd.</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Company has built a strategic development relationship with Cato Research Ltd. (“</w:t>
      </w:r>
      <w:r>
        <w:rPr>
          <w:rFonts w:ascii="Arial" w:cs="Arial" w:eastAsia="Arial" w:hAnsi="Arial"/>
          <w:sz w:val="12"/>
          <w:szCs w:val="12"/>
          <w:i w:val="1"/>
          <w:iCs w:val="1"/>
          <w:color w:val="auto"/>
        </w:rPr>
        <w:t>CRL</w:t>
      </w:r>
      <w:r>
        <w:rPr>
          <w:rFonts w:ascii="Arial" w:cs="Arial" w:eastAsia="Arial" w:hAnsi="Arial"/>
          <w:sz w:val="12"/>
          <w:szCs w:val="12"/>
          <w:color w:val="auto"/>
        </w:rPr>
        <w:t xml:space="preserve">”), a global contract research and development organization, or CRO, and an affiliate of one of the Company’s largest institutional stockholders. CRL has provided the Company with access to essential CRO services and regulatory expertise supporting its AV-101 preclinical and clinical development programs and other projects. The Company recorded research and development expenses for CRO services provided by CRL in the amounts of $52,500 and $703,800 for the fiscal years ended March 31, 2014 and 2013, respectively. As described in Note 9, </w:t>
      </w:r>
      <w:r>
        <w:rPr>
          <w:rFonts w:ascii="Arial" w:cs="Arial" w:eastAsia="Arial" w:hAnsi="Arial"/>
          <w:sz w:val="12"/>
          <w:szCs w:val="12"/>
          <w:i w:val="1"/>
          <w:iCs w:val="1"/>
          <w:color w:val="auto"/>
        </w:rPr>
        <w:t>Convertible Promissory Notes and Other Notes</w:t>
      </w:r>
      <w:r>
        <w:rPr>
          <w:rFonts w:ascii="Arial" w:cs="Arial" w:eastAsia="Arial" w:hAnsi="Arial"/>
          <w:sz w:val="12"/>
          <w:szCs w:val="12"/>
          <w:color w:val="auto"/>
        </w:rPr>
        <w:t xml:space="preserve"> </w:t>
      </w:r>
      <w:r>
        <w:rPr>
          <w:rFonts w:ascii="Arial" w:cs="Arial" w:eastAsia="Arial" w:hAnsi="Arial"/>
          <w:sz w:val="12"/>
          <w:szCs w:val="12"/>
          <w:i w:val="1"/>
          <w:iCs w:val="1"/>
          <w:color w:val="auto"/>
        </w:rPr>
        <w:t>Payable</w:t>
      </w:r>
      <w:r>
        <w:rPr>
          <w:rFonts w:ascii="Arial" w:cs="Arial" w:eastAsia="Arial" w:hAnsi="Arial"/>
          <w:sz w:val="12"/>
          <w:szCs w:val="12"/>
          <w:color w:val="auto"/>
        </w:rPr>
        <w:t>, in October 2012, the Company issued an unsecured promissory note in the principal amount of $1,009,000, and a warrant exercisable for 1,009,000 shares of the Company’s common stock, as payment in full of all amounts owed</w:t>
      </w:r>
      <w:r>
        <w:rPr>
          <w:rFonts w:ascii="Arial" w:cs="Arial" w:eastAsia="Arial" w:hAnsi="Arial"/>
          <w:sz w:val="12"/>
          <w:szCs w:val="12"/>
          <w:i w:val="1"/>
          <w:iCs w:val="1"/>
          <w:color w:val="auto"/>
        </w:rPr>
        <w:t xml:space="preserve"> </w:t>
      </w:r>
      <w:r>
        <w:rPr>
          <w:rFonts w:ascii="Arial" w:cs="Arial" w:eastAsia="Arial" w:hAnsi="Arial"/>
          <w:sz w:val="12"/>
          <w:szCs w:val="12"/>
          <w:color w:val="auto"/>
        </w:rPr>
        <w:t>to CRL for CRO services rendered to the Company through December 31, 2012.</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 Option Plans and 401(k) Plan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the following share-based compensation plans.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2008 Stock Incentive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Company’s 2008 Stock Incentive Plan (the “</w:t>
      </w:r>
      <w:r>
        <w:rPr>
          <w:rFonts w:ascii="Arial" w:cs="Arial" w:eastAsia="Arial" w:hAnsi="Arial"/>
          <w:sz w:val="12"/>
          <w:szCs w:val="12"/>
          <w:i w:val="1"/>
          <w:iCs w:val="1"/>
          <w:color w:val="auto"/>
        </w:rPr>
        <w:t>2008 Plan</w:t>
      </w:r>
      <w:r>
        <w:rPr>
          <w:rFonts w:ascii="Arial" w:cs="Arial" w:eastAsia="Arial" w:hAnsi="Arial"/>
          <w:sz w:val="12"/>
          <w:szCs w:val="12"/>
          <w:color w:val="auto"/>
        </w:rPr>
        <w:t>”) was adopted by the shareholders of VistaGen California on December 19, 2008 and assumed by the Company in connection with the Merger. The maximum number of shares of the Company’s common stock that may be granted pursuant to the 2008 Plan is 5,000,000 shares. The maximum number of shares that may be granted under the 2008 Plan is subject to adjustments for stock splits, stock dividends or other similar changes in the common stock or capital structure.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1999 Stock Incentive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Company’s 1999 Stock Incentive Plan (“</w:t>
      </w:r>
      <w:r>
        <w:rPr>
          <w:rFonts w:ascii="Arial" w:cs="Arial" w:eastAsia="Arial" w:hAnsi="Arial"/>
          <w:sz w:val="12"/>
          <w:szCs w:val="12"/>
          <w:i w:val="1"/>
          <w:iCs w:val="1"/>
          <w:color w:val="auto"/>
        </w:rPr>
        <w:t>1999 Plan</w:t>
      </w:r>
      <w:r>
        <w:rPr>
          <w:rFonts w:ascii="Arial" w:cs="Arial" w:eastAsia="Arial" w:hAnsi="Arial"/>
          <w:sz w:val="12"/>
          <w:szCs w:val="12"/>
          <w:color w:val="auto"/>
        </w:rPr>
        <w:t>”) was adopted by the shareholders of VistaGen California on December 6, 1999 and assumed by the Company in connection with the Merger. The Company initially reserved 900,000 shares for the issuance of awards under the 1999 Plan. The 1999 Plan has terminated under its own terms and, as a result, no awards may currently be granted under the 1999 Plan. However, the unexpired options and awards that have already been granted pursuant to the 1999 Plan remain operative.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Description of the 2008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2008 Plan, the Compensation Committee of the Company’s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57" w:name="page158"/>
    <w:bookmarkEnd w:id="157"/>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Compensation Committee may grant nonstatutory stock options under the 2008 Plan at a price of not less than 100% of the fair market value of the Company’s common stock on the date the option is granted. Incentive stock options under the 2008 Plan may be granted at a price of not less than 100% of the fair market value of the Company’s common stock on the date the option is granted. Incentive stock options granted to employees who, on the date of grant, own stock representing more than 10% of the voting power of all of the Company’s classes of stock are granted at an exercise price of not less than 110% of the fair market value of the Company’s common stock. The maximum term of these incentive stock options granted to employees who own stock possessing more than 10% of the voting power of all classes of the Company’s stock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Unless terminated sooner, the 2008 Plan will automatically terminate in 2017. The Board of Directors may at any time amend, suspend or terminate the Company’s 2008 Plan.</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During the third quarter of fiscal 2013, when the quoted market price of the Company’s common stock was $0.71 per share, the Company cancelled outstanding options to purchase an aggregate of 870,550 shares of its common stock at exercise prices between $1.13 per share and $2.58 per share held by certain employees, excluding the Company’s Chief Executive Officer and President and Chief Scientific Officer, and by certain consultants and granted those persons new options to purchase an aggregate of 920,550 shares at an exercise price of $0.75 per share. Such options granted during fiscal 2013 have a contractual term of 10 years with options to purchase 604,699 shares granted as immediately vested, and the remaining option shares vesting over a period of two years. The cancellation and reissuance was accounted for as a modification of the options and resulted in a charge of $133,000. During the third quarter of fiscal 2014, when the quoted market price of the Company’s common stock was $0.40 per share, the Company reduced the exercise price of an aggregate of 3,924,245 outstanding options to purchase shares of its common stock at exercise prices between $0.75 per share and $2.99 per share held by certain employees, including the Company’s officers and directors, and by certain consultants to $0.40 per share or $0.50 per share. These reductions in exercise price were accounted for as a modification of the options and resulted in a charge of $252,000.</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The following table summarizes share-based compensation expense, including share-based expense related to the March 2014 and March 2013 grants of warrants to certain of the Company’s officers and to its independent directors as described in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included in the accompanying Consolidated Statement of Operations and Comprehensive Loss for the years ended March 31, 2014 and 2013.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44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2"/>
                <w:szCs w:val="12"/>
                <w:color w:val="auto"/>
              </w:rPr>
            </w:pPr>
          </w:p>
        </w:tc>
      </w:tr>
      <w:tr>
        <w:trPr>
          <w:trHeight w:val="286"/>
        </w:trPr>
        <w:tc>
          <w:tcPr>
            <w:tcW w:w="4460" w:type="dxa"/>
            <w:vAlign w:val="bottom"/>
          </w:tcPr>
          <w:p>
            <w:pPr>
              <w:ind w:left="20"/>
              <w:spacing w:after="0"/>
              <w:rPr>
                <w:sz w:val="20"/>
                <w:szCs w:val="20"/>
                <w:color w:val="auto"/>
              </w:rPr>
            </w:pPr>
            <w:r>
              <w:rPr>
                <w:rFonts w:ascii="Arial" w:cs="Arial" w:eastAsia="Arial" w:hAnsi="Arial"/>
                <w:sz w:val="12"/>
                <w:szCs w:val="12"/>
                <w:color w:val="auto"/>
              </w:rPr>
              <w:t>Research and development expense:</w:t>
            </w: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4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Stock option grants, including expense related to modifications</w:t>
            </w:r>
          </w:p>
        </w:tc>
        <w:tc>
          <w:tcPr>
            <w:tcW w:w="464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296,900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242,300</w:t>
            </w:r>
          </w:p>
        </w:tc>
      </w:tr>
      <w:tr>
        <w:trPr>
          <w:trHeight w:val="144"/>
        </w:trPr>
        <w:tc>
          <w:tcPr>
            <w:tcW w:w="4460" w:type="dxa"/>
            <w:vAlign w:val="bottom"/>
          </w:tcPr>
          <w:p>
            <w:pPr>
              <w:ind w:left="240"/>
              <w:spacing w:after="0"/>
              <w:rPr>
                <w:sz w:val="20"/>
                <w:szCs w:val="20"/>
                <w:color w:val="auto"/>
              </w:rPr>
            </w:pPr>
            <w:r>
              <w:rPr>
                <w:rFonts w:ascii="Arial" w:cs="Arial" w:eastAsia="Arial" w:hAnsi="Arial"/>
                <w:sz w:val="12"/>
                <w:szCs w:val="12"/>
                <w:color w:val="auto"/>
              </w:rPr>
              <w:t>Warrants granted to officer in March 2014</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22,800</w:t>
            </w: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4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Warrants granted to officer in March 2013</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133,700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267,500</w:t>
            </w:r>
          </w:p>
        </w:tc>
      </w:tr>
      <w:tr>
        <w:trPr>
          <w:trHeight w:val="142"/>
        </w:trPr>
        <w:tc>
          <w:tcPr>
            <w:tcW w:w="4460" w:type="dxa"/>
            <w:vAlign w:val="bottom"/>
            <w:tcBorders>
              <w:top w:val="single" w:sz="8" w:color="CCEEFF"/>
            </w:tcBorders>
          </w:tcPr>
          <w:p>
            <w:pPr>
              <w:spacing w:after="0"/>
              <w:rPr>
                <w:sz w:val="12"/>
                <w:szCs w:val="12"/>
                <w:color w:val="auto"/>
              </w:rPr>
            </w:pPr>
          </w:p>
        </w:tc>
        <w:tc>
          <w:tcPr>
            <w:tcW w:w="43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453,400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509,800</w:t>
            </w:r>
          </w:p>
        </w:tc>
      </w:tr>
      <w:tr>
        <w:trPr>
          <w:trHeight w:val="142"/>
        </w:trPr>
        <w:tc>
          <w:tcPr>
            <w:tcW w:w="4460" w:type="dxa"/>
            <w:vAlign w:val="bottom"/>
            <w:tcBorders>
              <w:top w:val="single" w:sz="8" w:color="CCEEFF"/>
            </w:tcBorders>
          </w:tcPr>
          <w:p>
            <w:pPr>
              <w:spacing w:after="0"/>
              <w:rPr>
                <w:sz w:val="12"/>
                <w:szCs w:val="12"/>
                <w:color w:val="auto"/>
              </w:rPr>
            </w:pPr>
          </w:p>
        </w:tc>
        <w:tc>
          <w:tcPr>
            <w:tcW w:w="43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 expense:</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60"/>
              <w:spacing w:after="0"/>
              <w:rPr>
                <w:sz w:val="20"/>
                <w:szCs w:val="20"/>
                <w:color w:val="auto"/>
              </w:rPr>
            </w:pPr>
            <w:r>
              <w:rPr>
                <w:rFonts w:ascii="Arial" w:cs="Arial" w:eastAsia="Arial" w:hAnsi="Arial"/>
                <w:sz w:val="12"/>
                <w:szCs w:val="12"/>
                <w:color w:val="auto"/>
              </w:rPr>
              <w:t>Stock option grants, including expense related to modifications</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385,100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196,600</w:t>
            </w:r>
          </w:p>
        </w:tc>
      </w:tr>
      <w:tr>
        <w:trPr>
          <w:trHeight w:val="144"/>
        </w:trPr>
        <w:tc>
          <w:tcPr>
            <w:tcW w:w="4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Warrants granted to officer and directors in March 2014</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31,300</w:t>
            </w: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40"/>
              <w:spacing w:after="0"/>
              <w:rPr>
                <w:sz w:val="20"/>
                <w:szCs w:val="20"/>
                <w:color w:val="auto"/>
              </w:rPr>
            </w:pPr>
            <w:r>
              <w:rPr>
                <w:rFonts w:ascii="Arial" w:cs="Arial" w:eastAsia="Arial" w:hAnsi="Arial"/>
                <w:sz w:val="12"/>
                <w:szCs w:val="12"/>
                <w:color w:val="auto"/>
              </w:rPr>
              <w:t>Warrants granted to officers and directors in March 2013</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267,500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534,900</w:t>
            </w:r>
          </w:p>
        </w:tc>
      </w:tr>
      <w:tr>
        <w:trPr>
          <w:trHeight w:val="142"/>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683,900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731,500</w:t>
            </w:r>
          </w:p>
        </w:tc>
      </w:tr>
      <w:tr>
        <w:trPr>
          <w:trHeight w:val="142"/>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0"/>
              <w:spacing w:after="0"/>
              <w:rPr>
                <w:sz w:val="20"/>
                <w:szCs w:val="20"/>
                <w:color w:val="auto"/>
              </w:rPr>
            </w:pPr>
            <w:r>
              <w:rPr>
                <w:rFonts w:ascii="Arial" w:cs="Arial" w:eastAsia="Arial" w:hAnsi="Arial"/>
                <w:sz w:val="12"/>
                <w:szCs w:val="12"/>
                <w:color w:val="auto"/>
              </w:rPr>
              <w:t>Total stock-based compensation expense</w:t>
            </w:r>
          </w:p>
        </w:tc>
        <w:tc>
          <w:tcPr>
            <w:tcW w:w="4380" w:type="dxa"/>
            <w:vAlign w:val="bottom"/>
          </w:tcPr>
          <w:p>
            <w:pPr>
              <w:spacing w:after="0"/>
              <w:rPr>
                <w:sz w:val="12"/>
                <w:szCs w:val="12"/>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1,137,300</w:t>
            </w:r>
          </w:p>
        </w:tc>
        <w:tc>
          <w:tcPr>
            <w:tcW w:w="240" w:type="dxa"/>
            <w:vAlign w:val="bottom"/>
          </w:tcPr>
          <w:p>
            <w:pPr>
              <w:spacing w:after="0"/>
              <w:rPr>
                <w:sz w:val="12"/>
                <w:szCs w:val="12"/>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1,241,300</w:t>
            </w:r>
          </w:p>
        </w:tc>
        <w:tc>
          <w:tcPr>
            <w:tcW w:w="120" w:type="dxa"/>
            <w:vAlign w:val="bottom"/>
          </w:tcPr>
          <w:p>
            <w:pPr>
              <w:spacing w:after="0"/>
              <w:rPr>
                <w:sz w:val="12"/>
                <w:szCs w:val="12"/>
                <w:color w:val="auto"/>
              </w:rPr>
            </w:pPr>
          </w:p>
        </w:tc>
      </w:tr>
      <w:tr>
        <w:trPr>
          <w:trHeight w:val="20"/>
        </w:trPr>
        <w:tc>
          <w:tcPr>
            <w:tcW w:w="44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1"/>
        </w:trPr>
        <w:tc>
          <w:tcPr>
            <w:tcW w:w="4460" w:type="dxa"/>
            <w:vAlign w:val="bottom"/>
          </w:tcPr>
          <w:p>
            <w:pPr>
              <w:spacing w:after="0"/>
              <w:rPr>
                <w:sz w:val="24"/>
                <w:szCs w:val="24"/>
                <w:color w:val="auto"/>
              </w:rPr>
            </w:pPr>
          </w:p>
        </w:tc>
        <w:tc>
          <w:tcPr>
            <w:tcW w:w="4640" w:type="dxa"/>
            <w:vAlign w:val="bottom"/>
            <w:gridSpan w:val="2"/>
          </w:tcPr>
          <w:p>
            <w:pPr>
              <w:jc w:val="right"/>
              <w:ind w:right="3210"/>
              <w:spacing w:after="0"/>
              <w:rPr>
                <w:sz w:val="20"/>
                <w:szCs w:val="20"/>
                <w:color w:val="auto"/>
              </w:rPr>
            </w:pPr>
            <w:r>
              <w:rPr>
                <w:rFonts w:ascii="Arial" w:cs="Arial" w:eastAsia="Arial" w:hAnsi="Arial"/>
                <w:sz w:val="12"/>
                <w:szCs w:val="12"/>
                <w:color w:val="auto"/>
              </w:rPr>
              <w:t>F-43</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
        </w:trPr>
        <w:tc>
          <w:tcPr>
            <w:tcW w:w="4460" w:type="dxa"/>
            <w:vAlign w:val="bottom"/>
            <w:tcBorders>
              <w:bottom w:val="single" w:sz="8" w:color="808080"/>
            </w:tcBorders>
          </w:tcPr>
          <w:p>
            <w:pPr>
              <w:spacing w:after="0"/>
              <w:rPr>
                <w:sz w:val="6"/>
                <w:szCs w:val="6"/>
                <w:color w:val="auto"/>
              </w:rPr>
            </w:pPr>
          </w:p>
        </w:tc>
        <w:tc>
          <w:tcPr>
            <w:tcW w:w="43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58" w:name="page159"/>
    <w:bookmarkEnd w:id="158"/>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Company used the Black-Scholes option valuation model with the following assumptions to determine share-based compensation expense related to option grants during the fiscal years ended March 31, 2014 and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100" w:type="dxa"/>
            <w:vAlign w:val="bottom"/>
            <w:tcBorders>
              <w:bottom w:val="single" w:sz="8" w:color="auto"/>
            </w:tcBorders>
          </w:tcPr>
          <w:p>
            <w:pPr>
              <w:jc w:val="center"/>
              <w:ind w:left="800"/>
              <w:spacing w:after="0"/>
              <w:rPr>
                <w:sz w:val="20"/>
                <w:szCs w:val="20"/>
                <w:color w:val="auto"/>
              </w:rPr>
            </w:pPr>
            <w:r>
              <w:rPr>
                <w:rFonts w:ascii="Arial" w:cs="Arial" w:eastAsia="Arial" w:hAnsi="Arial"/>
                <w:sz w:val="12"/>
                <w:szCs w:val="12"/>
                <w:b w:val="1"/>
                <w:bCs w:val="1"/>
                <w:color w:val="auto"/>
                <w:w w:val="89"/>
              </w:rPr>
              <w:t>2014</w:t>
            </w:r>
          </w:p>
        </w:tc>
        <w:tc>
          <w:tcPr>
            <w:tcW w:w="4080" w:type="dxa"/>
            <w:vAlign w:val="bottom"/>
            <w:tcBorders>
              <w:bottom w:val="single" w:sz="8" w:color="auto"/>
            </w:tcBorders>
          </w:tcPr>
          <w:p>
            <w:pPr>
              <w:jc w:val="center"/>
              <w:ind w:left="780"/>
              <w:spacing w:after="0"/>
              <w:rPr>
                <w:sz w:val="20"/>
                <w:szCs w:val="20"/>
                <w:color w:val="auto"/>
              </w:rPr>
            </w:pPr>
            <w:r>
              <w:rPr>
                <w:rFonts w:ascii="Arial" w:cs="Arial" w:eastAsia="Arial" w:hAnsi="Arial"/>
                <w:sz w:val="12"/>
                <w:szCs w:val="12"/>
                <w:b w:val="1"/>
                <w:bCs w:val="1"/>
                <w:color w:val="auto"/>
                <w:w w:val="89"/>
              </w:rPr>
              <w:t>2013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Exercise price</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88"/>
              </w:rPr>
              <w:t>$0.40 to $0.82</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7"/>
              </w:rPr>
              <w:t>$0.51 and $0.75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Market price on date of grant</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$0.40 to $0.82</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7"/>
              </w:rPr>
              <w:t>$0.51 and $0.71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89"/>
              </w:rPr>
              <w:t>1.08% to 2.53%</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9"/>
              </w:rPr>
              <w:t>0.90% to 1.74%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Expected term (years)</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6.25 to 10.0</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8"/>
              </w:rPr>
              <w:t>6.25 to 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91"/>
              </w:rPr>
              <w:t>87.9% to 103.2%</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9"/>
              </w:rPr>
              <w:t>82.9% to 85.4%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Expected dividend yield</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91"/>
              </w:rPr>
              <w:t>0%</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91"/>
              </w:rPr>
              <w:t>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4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Fair value per share at grant date</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$0.32 to $0.68</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8"/>
              </w:rPr>
              <w:t>$0.36 to $0.59</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expected term of options represents the period that the Company’s share-based compensation awards are expected to be outstanding. The Company has calculated the weighted-average expected term of the options using the simplified method as prescribed by Securities and Exchange Commission Staff Accounting Bulletins No. 107 and No. 110 (“SAB No. 107 and 110”). The utilization of SAB No. 107 and 110 was based on the lack of relevant historical data due to the Company’s limited historical experience as a publicly traded company as well as the lack of liquidity resulting from the limited number of freely-tradable shares of its common stock. Limited historical experience and lack of liquidity in its stock also resulted in the Company’s decision to utilize the historical volatilities of a peer group of public companies’ stock over the expected term of the option in determining its expected volatility assumptions. The risk-free interest rate for periods related to the expected life of the options is based on the U.S. Treasury yield curve in effect at the time of grant. The expected dividend yield is zero, as the Company has not paid any dividends and does not anticipate paying dividends in the near future. The Company calculated the forfeiture rate based on an analysis of historical data, as it reasonably approximates the currently anticipated rate of forfeitures for granted and outstanding options that have not vested.</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activity for the fiscal years ended March 31, 2014 and 2013 under the Company’s stock option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2"/>
                <w:szCs w:val="12"/>
                <w:color w:val="auto"/>
              </w:rPr>
              <w:t>Fiscal Years Ended March 31,</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color w:val="auto"/>
              </w:rPr>
              <w:t>2014</w:t>
            </w:r>
          </w:p>
        </w:tc>
        <w:tc>
          <w:tcPr>
            <w:tcW w:w="9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2"/>
                <w:szCs w:val="12"/>
                <w:color w:val="auto"/>
              </w:rPr>
              <w:t>2013</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77"/>
        </w:trPr>
        <w:tc>
          <w:tcPr>
            <w:tcW w:w="4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color w:val="auto"/>
                <w:w w:val="90"/>
              </w:rPr>
              <w:t>Weighted</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Weighted</w:t>
            </w:r>
          </w:p>
        </w:tc>
      </w:tr>
      <w:tr>
        <w:trPr>
          <w:trHeight w:val="144"/>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Average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Average</w:t>
            </w:r>
          </w:p>
        </w:tc>
      </w:tr>
      <w:tr>
        <w:trPr>
          <w:trHeight w:val="144"/>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2"/>
                <w:szCs w:val="12"/>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color w:val="auto"/>
                <w:w w:val="91"/>
              </w:rPr>
              <w:t>Exercise</w:t>
            </w:r>
          </w:p>
        </w:tc>
        <w:tc>
          <w:tcPr>
            <w:tcW w:w="1380" w:type="dxa"/>
            <w:vAlign w:val="bottom"/>
            <w:gridSpan w:val="2"/>
          </w:tcPr>
          <w:p>
            <w:pPr>
              <w:jc w:val="right"/>
              <w:ind w:right="540"/>
              <w:spacing w:after="0"/>
              <w:rPr>
                <w:sz w:val="20"/>
                <w:szCs w:val="20"/>
                <w:color w:val="auto"/>
              </w:rPr>
            </w:pPr>
            <w:r>
              <w:rPr>
                <w:rFonts w:ascii="Arial" w:cs="Arial" w:eastAsia="Arial" w:hAnsi="Arial"/>
                <w:sz w:val="12"/>
                <w:szCs w:val="12"/>
                <w:color w:val="auto"/>
              </w:rPr>
              <w:t>Number of</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Exercise</w:t>
            </w:r>
          </w:p>
        </w:tc>
      </w:tr>
      <w:tr>
        <w:trPr>
          <w:trHeight w:val="153"/>
        </w:trPr>
        <w:tc>
          <w:tcPr>
            <w:tcW w:w="4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2"/>
                <w:szCs w:val="12"/>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Price</w:t>
            </w:r>
          </w:p>
        </w:tc>
        <w:tc>
          <w:tcPr>
            <w:tcW w:w="1380" w:type="dxa"/>
            <w:vAlign w:val="bottom"/>
            <w:gridSpan w:val="2"/>
          </w:tcPr>
          <w:p>
            <w:pPr>
              <w:jc w:val="right"/>
              <w:ind w:right="640"/>
              <w:spacing w:after="0"/>
              <w:rPr>
                <w:sz w:val="20"/>
                <w:szCs w:val="20"/>
                <w:color w:val="auto"/>
              </w:rPr>
            </w:pPr>
            <w:r>
              <w:rPr>
                <w:rFonts w:ascii="Arial" w:cs="Arial" w:eastAsia="Arial" w:hAnsi="Arial"/>
                <w:sz w:val="12"/>
                <w:szCs w:val="12"/>
                <w:color w:val="auto"/>
              </w:rPr>
              <w:t>Shares</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7"/>
              </w:rPr>
              <w:t>Price</w:t>
            </w:r>
          </w:p>
        </w:tc>
      </w:tr>
      <w:tr>
        <w:trPr>
          <w:trHeight w:val="142"/>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outstanding at beginning of period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4,912,604</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1.32</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4,805,771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1.53</w:t>
            </w: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granted</w:t>
            </w:r>
          </w:p>
        </w:tc>
        <w:tc>
          <w:tcPr>
            <w:tcW w:w="2740" w:type="dxa"/>
            <w:vAlign w:val="bottom"/>
            <w:gridSpan w:val="3"/>
          </w:tcPr>
          <w:p>
            <w:pPr>
              <w:jc w:val="right"/>
              <w:ind w:right="140"/>
              <w:spacing w:after="0"/>
              <w:rPr>
                <w:sz w:val="20"/>
                <w:szCs w:val="20"/>
                <w:color w:val="auto"/>
              </w:rPr>
            </w:pPr>
            <w:r>
              <w:rPr>
                <w:rFonts w:ascii="Arial" w:cs="Arial" w:eastAsia="Arial" w:hAnsi="Arial"/>
                <w:sz w:val="12"/>
                <w:szCs w:val="12"/>
                <w:color w:val="auto"/>
              </w:rPr>
              <w:t>381,000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0.54</w:t>
            </w:r>
          </w:p>
        </w:tc>
        <w:tc>
          <w:tcPr>
            <w:tcW w:w="1160" w:type="dxa"/>
            <w:vAlign w:val="bottom"/>
          </w:tcPr>
          <w:p>
            <w:pPr>
              <w:jc w:val="right"/>
              <w:spacing w:after="0"/>
              <w:rPr>
                <w:sz w:val="20"/>
                <w:szCs w:val="20"/>
                <w:color w:val="auto"/>
              </w:rPr>
            </w:pPr>
            <w:r>
              <w:rPr>
                <w:rFonts w:ascii="Arial" w:cs="Arial" w:eastAsia="Arial" w:hAnsi="Arial"/>
                <w:sz w:val="12"/>
                <w:szCs w:val="12"/>
                <w:color w:val="auto"/>
              </w:rPr>
              <w:t>1,075,550</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0.72</w:t>
            </w:r>
          </w:p>
        </w:tc>
      </w:tr>
      <w:tr>
        <w:trPr>
          <w:trHeight w:val="144"/>
        </w:trPr>
        <w:tc>
          <w:tcPr>
            <w:tcW w:w="464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Options exercised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cancelled</w:t>
            </w: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(870,550)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1.72</w:t>
            </w:r>
          </w:p>
        </w:tc>
      </w:tr>
      <w:tr>
        <w:trPr>
          <w:trHeight w:val="144"/>
        </w:trPr>
        <w:tc>
          <w:tcPr>
            <w:tcW w:w="464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Options forfeited</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(79,080)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1.75</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(29,167)</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1.75</w:t>
            </w: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expired</w:t>
            </w:r>
          </w:p>
        </w:tc>
        <w:tc>
          <w:tcPr>
            <w:tcW w:w="2740" w:type="dxa"/>
            <w:vAlign w:val="bottom"/>
            <w:gridSpan w:val="3"/>
          </w:tcPr>
          <w:p>
            <w:pPr>
              <w:jc w:val="right"/>
              <w:ind w:right="100"/>
              <w:spacing w:after="0"/>
              <w:rPr>
                <w:sz w:val="20"/>
                <w:szCs w:val="20"/>
                <w:color w:val="auto"/>
              </w:rPr>
            </w:pPr>
            <w:r>
              <w:rPr>
                <w:rFonts w:ascii="Arial" w:cs="Arial" w:eastAsia="Arial" w:hAnsi="Arial"/>
                <w:sz w:val="12"/>
                <w:szCs w:val="12"/>
                <w:color w:val="auto"/>
              </w:rPr>
              <w:t>(965,253)</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1.20</w:t>
            </w: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(69,000)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1.34</w:t>
            </w:r>
          </w:p>
        </w:tc>
      </w:tr>
      <w:tr>
        <w:trPr>
          <w:trHeight w:val="142"/>
        </w:trPr>
        <w:tc>
          <w:tcPr>
            <w:tcW w:w="46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20"/>
              <w:spacing w:after="0" w:line="124" w:lineRule="exact"/>
              <w:rPr>
                <w:sz w:val="20"/>
                <w:szCs w:val="20"/>
                <w:color w:val="auto"/>
              </w:rPr>
            </w:pPr>
            <w:r>
              <w:rPr>
                <w:rFonts w:ascii="Arial" w:cs="Arial" w:eastAsia="Arial" w:hAnsi="Arial"/>
                <w:sz w:val="12"/>
                <w:szCs w:val="12"/>
                <w:color w:val="auto"/>
              </w:rPr>
              <w:t>Options outstanding at end of period</w:t>
            </w:r>
          </w:p>
        </w:tc>
        <w:tc>
          <w:tcPr>
            <w:tcW w:w="260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4,249,271</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line="124" w:lineRule="exact"/>
              <w:rPr>
                <w:sz w:val="20"/>
                <w:szCs w:val="20"/>
                <w:color w:val="auto"/>
              </w:rPr>
            </w:pPr>
            <w:r>
              <w:rPr>
                <w:rFonts w:ascii="Arial" w:cs="Arial" w:eastAsia="Arial" w:hAnsi="Arial"/>
                <w:sz w:val="12"/>
                <w:szCs w:val="12"/>
                <w:color w:val="auto"/>
              </w:rPr>
              <w:t>0.50</w:t>
            </w:r>
          </w:p>
        </w:tc>
        <w:tc>
          <w:tcPr>
            <w:tcW w:w="1160" w:type="dxa"/>
            <w:vAlign w:val="bottom"/>
          </w:tcPr>
          <w:p>
            <w:pPr>
              <w:jc w:val="right"/>
              <w:spacing w:after="0" w:line="124" w:lineRule="exact"/>
              <w:rPr>
                <w:sz w:val="20"/>
                <w:szCs w:val="20"/>
                <w:color w:val="auto"/>
              </w:rPr>
            </w:pPr>
            <w:r>
              <w:rPr>
                <w:rFonts w:ascii="Arial" w:cs="Arial" w:eastAsia="Arial" w:hAnsi="Arial"/>
                <w:sz w:val="12"/>
                <w:szCs w:val="12"/>
                <w:color w:val="auto"/>
              </w:rPr>
              <w:t>4,912,604</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1.32</w:t>
            </w:r>
          </w:p>
        </w:tc>
      </w:tr>
      <w:tr>
        <w:trPr>
          <w:trHeight w:val="20"/>
        </w:trPr>
        <w:tc>
          <w:tcPr>
            <w:tcW w:w="4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464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Options exercisable at end of period</w:t>
            </w:r>
          </w:p>
        </w:tc>
        <w:tc>
          <w:tcPr>
            <w:tcW w:w="26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3,655,061</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color w:val="auto"/>
              </w:rPr>
              <w:t>0.50</w:t>
            </w:r>
          </w:p>
        </w:tc>
        <w:tc>
          <w:tcPr>
            <w:tcW w:w="11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4,227,436</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1.35</w:t>
            </w:r>
          </w:p>
        </w:tc>
      </w:tr>
      <w:tr>
        <w:trPr>
          <w:trHeight w:val="120"/>
        </w:trPr>
        <w:tc>
          <w:tcPr>
            <w:tcW w:w="464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84"/>
        </w:trPr>
        <w:tc>
          <w:tcPr>
            <w:tcW w:w="4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 average grant-date fair value of options granted during the period</w:t>
            </w:r>
          </w:p>
        </w:tc>
        <w:tc>
          <w:tcPr>
            <w:tcW w:w="14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0.42</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0.52</w:t>
            </w:r>
          </w:p>
        </w:tc>
      </w:tr>
      <w:tr>
        <w:trPr>
          <w:trHeight w:val="381"/>
        </w:trPr>
        <w:tc>
          <w:tcPr>
            <w:tcW w:w="4640" w:type="dxa"/>
            <w:vAlign w:val="bottom"/>
            <w:tcBorders>
              <w:top w:val="single" w:sz="8" w:color="CCEEFF"/>
            </w:tcBorders>
          </w:tcPr>
          <w:p>
            <w:pPr>
              <w:spacing w:after="0"/>
              <w:rPr>
                <w:sz w:val="24"/>
                <w:szCs w:val="24"/>
                <w:color w:val="auto"/>
              </w:rPr>
            </w:pPr>
          </w:p>
        </w:tc>
        <w:tc>
          <w:tcPr>
            <w:tcW w:w="2740" w:type="dxa"/>
            <w:vAlign w:val="bottom"/>
            <w:tcBorders>
              <w:top w:val="single" w:sz="8" w:color="CCEEFF"/>
            </w:tcBorders>
            <w:gridSpan w:val="3"/>
          </w:tcPr>
          <w:p>
            <w:pPr>
              <w:jc w:val="right"/>
              <w:ind w:right="1540"/>
              <w:spacing w:after="0"/>
              <w:rPr>
                <w:sz w:val="20"/>
                <w:szCs w:val="20"/>
                <w:color w:val="auto"/>
              </w:rPr>
            </w:pPr>
            <w:r>
              <w:rPr>
                <w:rFonts w:ascii="Arial" w:cs="Arial" w:eastAsia="Arial" w:hAnsi="Arial"/>
                <w:sz w:val="12"/>
                <w:szCs w:val="12"/>
                <w:color w:val="auto"/>
              </w:rPr>
              <w:t>F-44</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464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15"/>
        </w:trPr>
        <w:tc>
          <w:tcPr>
            <w:tcW w:w="1920" w:type="dxa"/>
            <w:vAlign w:val="bottom"/>
            <w:gridSpan w:val="5"/>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60" w:type="dxa"/>
            <w:vAlign w:val="bottom"/>
            <w:gridSpan w:val="11"/>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gridSpan w:val="12"/>
          </w:tcPr>
          <w:p>
            <w:pPr>
              <w:jc w:val="right"/>
              <w:ind w:right="200"/>
              <w:spacing w:after="0"/>
              <w:rPr>
                <w:sz w:val="20"/>
                <w:szCs w:val="20"/>
                <w:color w:val="auto"/>
              </w:rPr>
            </w:pPr>
            <w:r>
              <w:rPr>
                <w:rFonts w:ascii="Arial" w:cs="Arial" w:eastAsia="Arial" w:hAnsi="Arial"/>
                <w:sz w:val="12"/>
                <w:szCs w:val="12"/>
                <w:color w:val="auto"/>
                <w:w w:val="93"/>
              </w:rPr>
              <w:t>The following table summarizes information on stock options outstanding and exercisable under the Company’s option plans as of March 31, 2014:</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220"/>
              <w:spacing w:after="0"/>
              <w:rPr>
                <w:sz w:val="20"/>
                <w:szCs w:val="20"/>
                <w:color w:val="auto"/>
              </w:rPr>
            </w:pPr>
            <w:r>
              <w:rPr>
                <w:rFonts w:ascii="Arial" w:cs="Arial" w:eastAsia="Arial" w:hAnsi="Arial"/>
                <w:sz w:val="12"/>
                <w:szCs w:val="12"/>
                <w:color w:val="auto"/>
                <w:w w:val="91"/>
              </w:rPr>
              <w:t>Options Outstanding</w:t>
            </w: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2"/>
                <w:szCs w:val="12"/>
                <w:color w:val="auto"/>
              </w:rPr>
              <w:t>Options Exercisable</w:t>
            </w:r>
          </w:p>
        </w:tc>
        <w:tc>
          <w:tcPr>
            <w:tcW w:w="1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center"/>
              <w:ind w:left="200"/>
              <w:spacing w:after="0" w:line="133" w:lineRule="exact"/>
              <w:rPr>
                <w:sz w:val="20"/>
                <w:szCs w:val="20"/>
                <w:color w:val="auto"/>
              </w:rPr>
            </w:pPr>
            <w:r>
              <w:rPr>
                <w:rFonts w:ascii="Arial" w:cs="Arial" w:eastAsia="Arial" w:hAnsi="Arial"/>
                <w:sz w:val="12"/>
                <w:szCs w:val="12"/>
                <w:color w:val="auto"/>
                <w:w w:val="90"/>
              </w:rPr>
              <w:t>Weighted</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89"/>
              </w:rPr>
              <w:t>Average</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0"/>
              </w:rPr>
              <w:t>Weighted</w:t>
            </w: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2"/>
                <w:szCs w:val="12"/>
                <w:color w:val="auto"/>
                <w:w w:val="90"/>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0"/>
              </w:rPr>
              <w:t>Remaining</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84"/>
              </w:rPr>
              <w:t>Average</w:t>
            </w: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2"/>
                <w:szCs w:val="12"/>
                <w:color w:val="auto"/>
                <w:w w:val="89"/>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2"/>
                <w:szCs w:val="12"/>
                <w:color w:val="auto"/>
                <w:w w:val="86"/>
              </w:rPr>
              <w:t>Exercise</w:t>
            </w:r>
          </w:p>
        </w:tc>
        <w:tc>
          <w:tcPr>
            <w:tcW w:w="1120" w:type="dxa"/>
            <w:vAlign w:val="bottom"/>
          </w:tcPr>
          <w:p>
            <w:pPr>
              <w:jc w:val="center"/>
              <w:ind w:left="440"/>
              <w:spacing w:after="0"/>
              <w:rPr>
                <w:sz w:val="20"/>
                <w:szCs w:val="20"/>
                <w:color w:val="auto"/>
              </w:rPr>
            </w:pPr>
            <w:r>
              <w:rPr>
                <w:rFonts w:ascii="Arial" w:cs="Arial" w:eastAsia="Arial" w:hAnsi="Arial"/>
                <w:sz w:val="12"/>
                <w:szCs w:val="12"/>
                <w:color w:val="auto"/>
                <w:w w:val="88"/>
              </w:rPr>
              <w:t>Number</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1"/>
              </w:rPr>
              <w:t>Years until</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1"/>
              </w:rPr>
              <w:t>Exercise</w:t>
            </w:r>
          </w:p>
        </w:tc>
        <w:tc>
          <w:tcPr>
            <w:tcW w:w="1940" w:type="dxa"/>
            <w:vAlign w:val="bottom"/>
            <w:gridSpan w:val="2"/>
          </w:tcPr>
          <w:p>
            <w:pPr>
              <w:jc w:val="center"/>
              <w:ind w:right="320"/>
              <w:spacing w:after="0"/>
              <w:rPr>
                <w:sz w:val="20"/>
                <w:szCs w:val="20"/>
                <w:color w:val="auto"/>
              </w:rPr>
            </w:pPr>
            <w:r>
              <w:rPr>
                <w:rFonts w:ascii="Arial" w:cs="Arial" w:eastAsia="Arial" w:hAnsi="Arial"/>
                <w:sz w:val="12"/>
                <w:szCs w:val="12"/>
                <w:color w:val="auto"/>
                <w:w w:val="88"/>
              </w:rPr>
              <w:t>Number</w:t>
            </w:r>
          </w:p>
        </w:tc>
        <w:tc>
          <w:tcPr>
            <w:tcW w:w="460" w:type="dxa"/>
            <w:vAlign w:val="bottom"/>
          </w:tcPr>
          <w:p>
            <w:pPr>
              <w:spacing w:after="0"/>
              <w:rPr>
                <w:sz w:val="12"/>
                <w:szCs w:val="12"/>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2"/>
                <w:szCs w:val="12"/>
                <w:color w:val="auto"/>
                <w:w w:val="91"/>
              </w:rPr>
              <w:t>Exercise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gridSpan w:val="2"/>
          </w:tcPr>
          <w:p>
            <w:pPr>
              <w:jc w:val="center"/>
              <w:ind w:right="980"/>
              <w:spacing w:after="0"/>
              <w:rPr>
                <w:sz w:val="20"/>
                <w:szCs w:val="20"/>
                <w:color w:val="auto"/>
              </w:rPr>
            </w:pPr>
            <w:r>
              <w:rPr>
                <w:rFonts w:ascii="Arial" w:cs="Arial" w:eastAsia="Arial" w:hAnsi="Arial"/>
                <w:sz w:val="12"/>
                <w:szCs w:val="12"/>
                <w:color w:val="auto"/>
                <w:w w:val="87"/>
              </w:rPr>
              <w:t>Price</w:t>
            </w:r>
          </w:p>
        </w:tc>
        <w:tc>
          <w:tcPr>
            <w:tcW w:w="1120" w:type="dxa"/>
            <w:vAlign w:val="bottom"/>
          </w:tcPr>
          <w:p>
            <w:pPr>
              <w:jc w:val="center"/>
              <w:ind w:left="440"/>
              <w:spacing w:after="0"/>
              <w:rPr>
                <w:sz w:val="20"/>
                <w:szCs w:val="20"/>
                <w:color w:val="auto"/>
              </w:rPr>
            </w:pPr>
            <w:r>
              <w:rPr>
                <w:rFonts w:ascii="Arial" w:cs="Arial" w:eastAsia="Arial" w:hAnsi="Arial"/>
                <w:sz w:val="12"/>
                <w:szCs w:val="12"/>
                <w:color w:val="auto"/>
                <w:w w:val="89"/>
              </w:rPr>
              <w:t>Outstanding</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7"/>
              </w:rPr>
              <w:t>Expiration</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4"/>
              </w:rPr>
              <w:t>Price</w:t>
            </w:r>
          </w:p>
        </w:tc>
        <w:tc>
          <w:tcPr>
            <w:tcW w:w="194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Exercisable</w:t>
            </w:r>
          </w:p>
        </w:tc>
        <w:tc>
          <w:tcPr>
            <w:tcW w:w="460" w:type="dxa"/>
            <w:vAlign w:val="bottom"/>
          </w:tcPr>
          <w:p>
            <w:pPr>
              <w:spacing w:after="0"/>
              <w:rPr>
                <w:sz w:val="13"/>
                <w:szCs w:val="13"/>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2"/>
                <w:szCs w:val="12"/>
                <w:color w:val="auto"/>
                <w:w w:val="87"/>
              </w:rPr>
              <w:t>Price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0.40</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1,041,550</w:t>
            </w: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8.53</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0.40</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810,560</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12"/>
                <w:szCs w:val="12"/>
                <w:color w:val="auto"/>
              </w:rPr>
              <w:t>$</w:t>
            </w:r>
          </w:p>
        </w:tc>
        <w:tc>
          <w:tcPr>
            <w:tcW w:w="1680" w:type="dxa"/>
            <w:vAlign w:val="bottom"/>
            <w:gridSpan w:val="3"/>
          </w:tcPr>
          <w:p>
            <w:pPr>
              <w:jc w:val="right"/>
              <w:ind w:right="300"/>
              <w:spacing w:after="0"/>
              <w:rPr>
                <w:sz w:val="20"/>
                <w:szCs w:val="20"/>
                <w:color w:val="auto"/>
              </w:rPr>
            </w:pPr>
            <w:r>
              <w:rPr>
                <w:rFonts w:ascii="Arial" w:cs="Arial" w:eastAsia="Arial" w:hAnsi="Arial"/>
                <w:sz w:val="12"/>
                <w:szCs w:val="12"/>
                <w:color w:val="auto"/>
              </w:rPr>
              <w:t>0.50</w:t>
            </w:r>
          </w:p>
        </w:tc>
        <w:tc>
          <w:tcPr>
            <w:tcW w:w="1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89"/>
              </w:rPr>
              <w:t>2,988,695</w:t>
            </w: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2"/>
                <w:szCs w:val="12"/>
                <w:color w:val="auto"/>
              </w:rPr>
              <w:t>5.90</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tcPr>
          <w:p>
            <w:pPr>
              <w:jc w:val="right"/>
              <w:ind w:right="320"/>
              <w:spacing w:after="0"/>
              <w:rPr>
                <w:sz w:val="20"/>
                <w:szCs w:val="20"/>
                <w:color w:val="auto"/>
              </w:rPr>
            </w:pPr>
            <w:r>
              <w:rPr>
                <w:rFonts w:ascii="Arial" w:cs="Arial" w:eastAsia="Arial" w:hAnsi="Arial"/>
                <w:sz w:val="12"/>
                <w:szCs w:val="12"/>
                <w:color w:val="auto"/>
              </w:rPr>
              <w:t>0.50</w:t>
            </w:r>
          </w:p>
        </w:tc>
        <w:tc>
          <w:tcPr>
            <w:tcW w:w="1940" w:type="dxa"/>
            <w:vAlign w:val="bottom"/>
            <w:gridSpan w:val="2"/>
          </w:tcPr>
          <w:p>
            <w:pPr>
              <w:jc w:val="right"/>
              <w:ind w:right="300"/>
              <w:spacing w:after="0"/>
              <w:rPr>
                <w:sz w:val="20"/>
                <w:szCs w:val="20"/>
                <w:color w:val="auto"/>
              </w:rPr>
            </w:pPr>
            <w:r>
              <w:rPr>
                <w:rFonts w:ascii="Arial" w:cs="Arial" w:eastAsia="Arial" w:hAnsi="Arial"/>
                <w:sz w:val="12"/>
                <w:szCs w:val="12"/>
                <w:color w:val="auto"/>
              </w:rPr>
              <w:t>2,657,665</w:t>
            </w:r>
          </w:p>
        </w:tc>
        <w:tc>
          <w:tcPr>
            <w:tcW w:w="460" w:type="dxa"/>
            <w:vAlign w:val="bottom"/>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0.72 - $ 1.80</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219,026</w:t>
            </w: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5.46</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1.06</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186,836</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3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89"/>
              </w:rPr>
              <w:t>4,249,271</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6.52</w:t>
            </w:r>
          </w:p>
        </w:tc>
        <w:tc>
          <w:tcPr>
            <w:tcW w:w="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CCEEFF"/>
            </w:tcBorders>
            <w:gridSpan w:val="2"/>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0.50</w:t>
            </w:r>
          </w:p>
        </w:tc>
        <w:tc>
          <w:tcPr>
            <w:tcW w:w="16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3,655,061</w:t>
            </w: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CCEEFF"/>
            </w:tcBorders>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March 31, 2014, there were 735,200 shares of the Company’s common stock remaining available for grant under the 2008 Plan. There were no option exercises during the year ended March 31, 2014.</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Aggregate intrinsic value is the sum of the amounts by which the fair value of the stock exceeded the exercise price (“</w:t>
      </w:r>
      <w:r>
        <w:rPr>
          <w:rFonts w:ascii="Arial" w:cs="Arial" w:eastAsia="Arial" w:hAnsi="Arial"/>
          <w:sz w:val="12"/>
          <w:szCs w:val="12"/>
          <w:i w:val="1"/>
          <w:iCs w:val="1"/>
          <w:color w:val="auto"/>
        </w:rPr>
        <w:t>in-the-money-options</w:t>
      </w:r>
      <w:r>
        <w:rPr>
          <w:rFonts w:ascii="Arial" w:cs="Arial" w:eastAsia="Arial" w:hAnsi="Arial"/>
          <w:sz w:val="12"/>
          <w:szCs w:val="12"/>
          <w:color w:val="auto"/>
        </w:rPr>
        <w:t>”). Based on the quoted market price of the Company’s common stock of $0.46 per share on March 31, 2014, the aggregate intrinsic value of outstanding options at that date was $62,500, of which $48,600 related to exercisable options.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March 31, 2014, there was approximately $394,300 of unrecognized compensation cost related to non-vested share-based compensation awards from the 2008 Plan, which is expected to be recognized through May 2016. Additionally, at March 31, 2014 there was approximately $455,300 of unrecognized compensation cost related to unvested warrant grants to independent directors and officers, which is expected to be recognized through March 2016 absent any conditions which would accelerate the vesting of the awards and corresponding expense recognition.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401(k) Plan</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through a third-party agent, maintains a retirement and deferred savings plan for its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the Company to make discretionary contributions, subject to established limits and a vesting schedule. To date, the Company has not made any discretionary contributions to the retirement and deferred savings plan on behalf of participating employees.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Related Party Transactions</w:t>
      </w:r>
    </w:p>
    <w:p>
      <w:pPr>
        <w:spacing w:after="0" w:line="17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Cato Holding Company (“</w:t>
      </w:r>
      <w:r>
        <w:rPr>
          <w:rFonts w:ascii="Arial" w:cs="Arial" w:eastAsia="Arial" w:hAnsi="Arial"/>
          <w:sz w:val="11"/>
          <w:szCs w:val="11"/>
          <w:i w:val="1"/>
          <w:iCs w:val="1"/>
          <w:color w:val="auto"/>
        </w:rPr>
        <w:t>CHC</w:t>
      </w:r>
      <w:r>
        <w:rPr>
          <w:rFonts w:ascii="Arial" w:cs="Arial" w:eastAsia="Arial" w:hAnsi="Arial"/>
          <w:sz w:val="11"/>
          <w:szCs w:val="11"/>
          <w:color w:val="auto"/>
        </w:rPr>
        <w:t>”), doing business as Cato BioVentures ("</w:t>
      </w:r>
      <w:r>
        <w:rPr>
          <w:rFonts w:ascii="Arial" w:cs="Arial" w:eastAsia="Arial" w:hAnsi="Arial"/>
          <w:sz w:val="11"/>
          <w:szCs w:val="11"/>
          <w:i w:val="1"/>
          <w:iCs w:val="1"/>
          <w:color w:val="auto"/>
        </w:rPr>
        <w:t>CBV</w:t>
      </w:r>
      <w:r>
        <w:rPr>
          <w:rFonts w:ascii="Arial" w:cs="Arial" w:eastAsia="Arial" w:hAnsi="Arial"/>
          <w:sz w:val="11"/>
          <w:szCs w:val="11"/>
          <w:color w:val="auto"/>
        </w:rPr>
        <w:t xml:space="preserve">"), the parent of CRL, is one of the Company’s largest institutional stockholders at March 31, 2014, holding common stock and warrants to purchase common stock. Prior to the May 11, 2011 conversion of certain of VistaGen California’s outstanding promissory notes and the exchange of its preferred stock into shares of common stock in connection with the Merger, CBV held various promissory notes and a majority of VistaGen California’s Series B-1 Preferred Stock. Shawn Singh, the Company’s Chief Executive Officer and member of its Board of Directors, served as Managing Principal of CBV and as an officer of CRL until August 2009. As described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in April 2011, CBV loaned the Company $352,300 under the terms of the 2011 CHC Note. On October 10, 2012, the Company and CHC cancelled the 2011 CHC Note and exchanged it for a new unsecured promissory note in the principal amount of $310,443 (the “</w:t>
      </w:r>
      <w:r>
        <w:rPr>
          <w:rFonts w:ascii="Arial" w:cs="Arial" w:eastAsia="Arial" w:hAnsi="Arial"/>
          <w:sz w:val="11"/>
          <w:szCs w:val="11"/>
          <w:i w:val="1"/>
          <w:iCs w:val="1"/>
          <w:color w:val="auto"/>
        </w:rPr>
        <w:t>2012 CHC Note</w:t>
      </w:r>
      <w:r>
        <w:rPr>
          <w:rFonts w:ascii="Arial" w:cs="Arial" w:eastAsia="Arial" w:hAnsi="Arial"/>
          <w:sz w:val="11"/>
          <w:szCs w:val="11"/>
          <w:color w:val="auto"/>
        </w:rPr>
        <w:t>”) and a five-year warrant to purchase 250,000 restricted shares of the Company’s common stock at a price of $1.50 per share (the “</w:t>
      </w:r>
      <w:r>
        <w:rPr>
          <w:rFonts w:ascii="Arial" w:cs="Arial" w:eastAsia="Arial" w:hAnsi="Arial"/>
          <w:sz w:val="11"/>
          <w:szCs w:val="11"/>
          <w:i w:val="1"/>
          <w:iCs w:val="1"/>
          <w:color w:val="auto"/>
        </w:rPr>
        <w:t>CHC Warrant</w:t>
      </w:r>
      <w:r>
        <w:rPr>
          <w:rFonts w:ascii="Arial" w:cs="Arial" w:eastAsia="Arial" w:hAnsi="Arial"/>
          <w:sz w:val="11"/>
          <w:szCs w:val="11"/>
          <w:color w:val="auto"/>
        </w:rPr>
        <w:t>”). Additionally, on October 10, 2012, the Company issued to CRL: (i) an unsecured promissory note in the initial principal amount of $1,009,000, which is payable solely in restricted shares of the Company’s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rendered by CRL to the Company and its affiliates through December 31, 2012 with respect to the preclinical and clinical development of AV-101, and (ii) a five-year warrant to purchase, at a price of $1.00 per share, 1,009,000 restricted shares of the Company’s common stock.</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160" w:name="page161"/>
    <w:bookmarkEnd w:id="160"/>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fiscal year 2007, the Company entered into a contract research organization arrangement with CRL related to the development of AV-101, under which the Company incurred expenses of $52,500 and $703,800 for the fiscal years ended March 31, 2014 and 2013, respectively, with a portion of the fiscal 2013 expenses reimbursed under the NIH grant. Total interest expense on notes payable to CHC and CRL was $167,900 and $101,700 for the fiscal years ended March 31, 2014 and 2013, respectively.</w:t>
      </w:r>
    </w:p>
    <w:p>
      <w:pPr>
        <w:spacing w:after="0" w:line="141"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Upon the approval of the Board of Directors, in December 2006, VistaGen California accepted a full-recourse promissory note in the amount of $103,400 from Mr. Singh in payment of the exercise price for options and warrants to purchase an aggregate of 126,389 restricted shares of VistaGen California’s common stock. The note accrued interest at a rate of 4.90% per annum and was due and payable no later than the earlier of (i) December 1, 2016 or (ii) ten days prior to the Company becoming subject to the requirements of the Securities Exchange Act of 1934, as amended (“Exchange Act”).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2014 and 2013, the Company had accrued $101,900 as an estimate of the gross-up amount, but the Company had not yet paid that amount to Mr. Singh.</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Commitments, Contingencies, Guarantees and Indemnifications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From time to time, the Company may become involved in claims and other legal matters arising in the ordinary course of business. Management is not currently aware of any claims made or other legal matters that will have a material adverse effect on the Company’s consolidated financial position, results of operations or its cash flows.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Company indemnifies its officers and directors for certain events or occurrences while the officer or director is or was serving at the Company’s request in such capacity. The term of the indemnification period is for the officer’s or director’s lifetime. The Company will indemnify the officers or directors against any and all expenses incurred by the officers or directors because of their status as one of the Company’s directors or executive officers to the fullest extent permitted by California law. The Company has never incurred costs to defend lawsuits or settle claims related to these indemnification agreements. The Company has a director and officer insurance policy which limits the Company's exposure and may enable it to recover a portion of any future amounts paid. The Company believes the fair value of these indemnification agreements is minimal. Accordingly, there are no liabilities recorded for these agreements at March 31, 2014 or 2013.</w:t>
      </w:r>
    </w:p>
    <w:p>
      <w:pPr>
        <w:spacing w:after="0" w:line="12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 the normal course of business, the Company provides indemnifications of varying scopes under agreements with other companies, typically clinical research organizations, investigators, clinical sites, suppliers and others. Pursuant to these agreements, the Company generally indemnifies, holds harmless, and agrees to reimburse the indemnified parties for losses suffered or incurred by the indemnified parties in connection with the use or testing of the Company's product candidates or with any U.S. patents or any copyright or other intellectual property infringement claims by any third party with respect to the Company's product candidates. The terms of these indemnification agreements are generally perpetual. The potential future payments the Company could be required to make under these indemnification agreements is unlimited. The Company maintains liability insurance coverage that limits its exposure. The Company believes the fair value of these indemnification agreements is minimal. Accordingly, the Company has not recorded any liabilities for these agreements as of March 31, 2014 or 2013.</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March 31, 2014 and 2013, the following assets are under capital lease obligations and included in property and equipment: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March 31,</w:t>
            </w: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2014</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w w:val="97"/>
              </w:rPr>
              <w:t>2013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Laboratory equipment</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19,000</w:t>
            </w: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19,000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Office equipment</w:t>
            </w:r>
          </w:p>
        </w:tc>
        <w:tc>
          <w:tcPr>
            <w:tcW w:w="36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23,500</w:t>
            </w: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23,500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Accumulated depreciation</w:t>
            </w:r>
          </w:p>
        </w:tc>
        <w:tc>
          <w:tcPr>
            <w:tcW w:w="3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(11,100</w:t>
            </w:r>
          </w:p>
        </w:tc>
        <w:tc>
          <w:tcPr>
            <w:tcW w:w="8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(6,400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Net book value</w:t>
            </w:r>
          </w:p>
        </w:tc>
        <w:tc>
          <w:tcPr>
            <w:tcW w:w="368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12,400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17,100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240" w:type="dxa"/>
            <w:vAlign w:val="bottom"/>
            <w:gridSpan w:val="2"/>
          </w:tcPr>
          <w:p>
            <w:pPr>
              <w:jc w:val="right"/>
              <w:ind w:right="1780"/>
              <w:spacing w:after="0"/>
              <w:rPr>
                <w:sz w:val="20"/>
                <w:szCs w:val="20"/>
                <w:color w:val="auto"/>
              </w:rPr>
            </w:pPr>
            <w:r>
              <w:rPr>
                <w:rFonts w:ascii="Arial" w:cs="Arial" w:eastAsia="Arial" w:hAnsi="Arial"/>
                <w:sz w:val="12"/>
                <w:szCs w:val="12"/>
                <w:color w:val="auto"/>
              </w:rPr>
              <w:t>F-46</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420" w:type="dxa"/>
            <w:vAlign w:val="bottom"/>
            <w:tcBorders>
              <w:bottom w:val="single" w:sz="8" w:color="808080"/>
            </w:tcBorders>
          </w:tcPr>
          <w:p>
            <w:pPr>
              <w:spacing w:after="0"/>
              <w:rPr>
                <w:sz w:val="6"/>
                <w:szCs w:val="6"/>
                <w:color w:val="auto"/>
              </w:rPr>
            </w:pPr>
          </w:p>
        </w:tc>
        <w:tc>
          <w:tcPr>
            <w:tcW w:w="368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15"/>
        </w:trPr>
        <w:tc>
          <w:tcPr>
            <w:tcW w:w="10100" w:type="dxa"/>
            <w:vAlign w:val="bottom"/>
            <w:gridSpan w:val="3"/>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0" w:type="dxa"/>
            <w:vAlign w:val="bottom"/>
          </w:tcPr>
          <w:p>
            <w:pPr>
              <w:spacing w:after="0"/>
              <w:rPr>
                <w:sz w:val="24"/>
                <w:szCs w:val="24"/>
                <w:color w:val="auto"/>
              </w:rPr>
            </w:pPr>
          </w:p>
        </w:tc>
        <w:tc>
          <w:tcPr>
            <w:tcW w:w="10080" w:type="dxa"/>
            <w:vAlign w:val="bottom"/>
            <w:gridSpan w:val="2"/>
          </w:tcPr>
          <w:p>
            <w:pPr>
              <w:ind w:left="400"/>
              <w:spacing w:after="0"/>
              <w:rPr>
                <w:sz w:val="20"/>
                <w:szCs w:val="20"/>
                <w:color w:val="auto"/>
              </w:rPr>
            </w:pPr>
            <w:r>
              <w:rPr>
                <w:rFonts w:ascii="Arial" w:cs="Arial" w:eastAsia="Arial" w:hAnsi="Arial"/>
                <w:sz w:val="12"/>
                <w:szCs w:val="12"/>
                <w:color w:val="auto"/>
                <w:w w:val="90"/>
              </w:rPr>
              <w:t>Amortization expense for assets recorded under capital leases is included in depreciation expense. Future minimum payments, by year and in the aggregate, required under capital leases are as follows: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Equipment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Capital</w:t>
            </w:r>
          </w:p>
        </w:tc>
        <w:tc>
          <w:tcPr>
            <w:tcW w:w="0" w:type="dxa"/>
            <w:vAlign w:val="bottom"/>
          </w:tcPr>
          <w:p>
            <w:pPr>
              <w:spacing w:after="0"/>
              <w:rPr>
                <w:sz w:val="1"/>
                <w:szCs w:val="1"/>
                <w:color w:val="auto"/>
              </w:rPr>
            </w:pPr>
          </w:p>
        </w:tc>
      </w:tr>
      <w:tr>
        <w:trPr>
          <w:trHeight w:val="153"/>
        </w:trPr>
        <w:tc>
          <w:tcPr>
            <w:tcW w:w="10100" w:type="dxa"/>
            <w:vAlign w:val="bottom"/>
            <w:gridSpan w:val="3"/>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82"/>
              </w:rPr>
              <w:t>Leases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9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2015</w:t>
            </w:r>
          </w:p>
        </w:tc>
        <w:tc>
          <w:tcPr>
            <w:tcW w:w="94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2016</w:t>
            </w:r>
          </w:p>
        </w:tc>
        <w:tc>
          <w:tcPr>
            <w:tcW w:w="9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9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2018</w:t>
            </w:r>
          </w:p>
        </w:tc>
        <w:tc>
          <w:tcPr>
            <w:tcW w:w="9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Future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imputed interest included in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94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Present value of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current portion</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94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Non-current capital lease obligation</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2,100</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80" w:type="dxa"/>
            <w:vAlign w:val="bottom"/>
            <w:tcBorders>
              <w:top w:val="single" w:sz="8" w:color="CCEEFF"/>
            </w:tcBorders>
            <w:gridSpan w:val="2"/>
          </w:tcPr>
          <w:p>
            <w:pPr>
              <w:ind w:left="500"/>
              <w:spacing w:after="0"/>
              <w:rPr>
                <w:sz w:val="20"/>
                <w:szCs w:val="20"/>
                <w:color w:val="auto"/>
              </w:rPr>
            </w:pPr>
            <w:r>
              <w:rPr>
                <w:rFonts w:ascii="Arial" w:cs="Arial" w:eastAsia="Arial" w:hAnsi="Arial"/>
                <w:sz w:val="12"/>
                <w:szCs w:val="12"/>
                <w:color w:val="auto"/>
                <w:w w:val="98"/>
              </w:rPr>
              <w:t>At March 31, 2014, future minimum payments under operating leases relate to the Company’s facility lease in South San Francisco, California through July 31, 2017 and are as follows:</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100" w:type="dxa"/>
            <w:vAlign w:val="bottom"/>
            <w:gridSpan w:val="3"/>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96"/>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2015</w:t>
            </w:r>
          </w:p>
        </w:tc>
        <w:tc>
          <w:tcPr>
            <w:tcW w:w="9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2016</w:t>
            </w:r>
          </w:p>
        </w:tc>
        <w:tc>
          <w:tcPr>
            <w:tcW w:w="9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264,000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9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277,100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2018</w:t>
            </w:r>
          </w:p>
        </w:tc>
        <w:tc>
          <w:tcPr>
            <w:tcW w:w="9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93,800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885,800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Total facility rent expense incurred by the Company for the fiscal years ended March 31, 2014 and 2013 was $284,100 and $179,000,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Long-Term Debt Repayment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At March 31, 2014, assuming that all outstanding convertible notes are converted into shares of common stock in accordance with their respective conversion provisions and that Replacement Note B issued to Morrison &amp; Foerster, the CRL Note and the UHN Note, each as described further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are repaid through the issuance of restricted common stock upon the exercise of the warrants associated with such notes, future minimum principal payments related to long-term debt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100" w:type="dxa"/>
            <w:vAlign w:val="bottom"/>
            <w:gridSpan w:val="2"/>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2"/>
                <w:szCs w:val="12"/>
                <w:color w:val="auto"/>
              </w:rPr>
              <w:t>Amount</w:t>
            </w:r>
          </w:p>
        </w:tc>
      </w:tr>
      <w:tr>
        <w:trPr>
          <w:trHeight w:val="142"/>
        </w:trPr>
        <w:tc>
          <w:tcPr>
            <w:tcW w:w="20" w:type="dxa"/>
            <w:vAlign w:val="bottom"/>
          </w:tcPr>
          <w:p>
            <w:pPr>
              <w:spacing w:after="0"/>
              <w:rPr>
                <w:sz w:val="12"/>
                <w:szCs w:val="12"/>
                <w:color w:val="auto"/>
              </w:rPr>
            </w:pPr>
          </w:p>
        </w:tc>
        <w:tc>
          <w:tcPr>
            <w:tcW w:w="10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2015</w:t>
            </w:r>
          </w:p>
        </w:tc>
        <w:tc>
          <w:tcPr>
            <w:tcW w:w="1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1,562,500</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080" w:type="dxa"/>
            <w:vAlign w:val="bottom"/>
          </w:tcPr>
          <w:p>
            <w:pPr>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461,300</w:t>
            </w:r>
          </w:p>
        </w:tc>
      </w:tr>
      <w:tr>
        <w:trPr>
          <w:trHeight w:val="144"/>
        </w:trPr>
        <w:tc>
          <w:tcPr>
            <w:tcW w:w="20" w:type="dxa"/>
            <w:vAlign w:val="bottom"/>
          </w:tcPr>
          <w:p>
            <w:pPr>
              <w:spacing w:after="0"/>
              <w:rPr>
                <w:sz w:val="12"/>
                <w:szCs w:val="12"/>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w:t>
            </w:r>
          </w:p>
        </w:tc>
      </w:tr>
      <w:tr>
        <w:trPr>
          <w:trHeight w:val="144"/>
        </w:trPr>
        <w:tc>
          <w:tcPr>
            <w:tcW w:w="20" w:type="dxa"/>
            <w:vAlign w:val="bottom"/>
          </w:tcPr>
          <w:p>
            <w:pPr>
              <w:spacing w:after="0"/>
              <w:rPr>
                <w:sz w:val="12"/>
                <w:szCs w:val="12"/>
                <w:color w:val="auto"/>
              </w:rPr>
            </w:pPr>
          </w:p>
        </w:tc>
        <w:tc>
          <w:tcPr>
            <w:tcW w:w="10080" w:type="dxa"/>
            <w:vAlign w:val="bottom"/>
          </w:tcPr>
          <w:p>
            <w:pPr>
              <w:spacing w:after="0"/>
              <w:rPr>
                <w:sz w:val="20"/>
                <w:szCs w:val="20"/>
                <w:color w:val="auto"/>
              </w:rPr>
            </w:pPr>
            <w:r>
              <w:rPr>
                <w:rFonts w:ascii="Arial" w:cs="Arial" w:eastAsia="Arial" w:hAnsi="Arial"/>
                <w:sz w:val="12"/>
                <w:szCs w:val="12"/>
                <w:color w:val="auto"/>
              </w:rPr>
              <w:t>2018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10,700</w:t>
            </w:r>
          </w:p>
        </w:tc>
      </w:tr>
      <w:tr>
        <w:trPr>
          <w:trHeight w:val="144"/>
        </w:trPr>
        <w:tc>
          <w:tcPr>
            <w:tcW w:w="20" w:type="dxa"/>
            <w:vAlign w:val="bottom"/>
          </w:tcPr>
          <w:p>
            <w:pPr>
              <w:spacing w:after="0"/>
              <w:rPr>
                <w:sz w:val="12"/>
                <w:szCs w:val="12"/>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2"/>
                <w:szCs w:val="12"/>
                <w:color w:val="auto"/>
              </w:rPr>
              <w:t>Thereafter through June 2019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13,000</w:t>
            </w:r>
          </w:p>
        </w:tc>
      </w:tr>
      <w:tr>
        <w:trPr>
          <w:trHeight w:val="142"/>
        </w:trPr>
        <w:tc>
          <w:tcPr>
            <w:tcW w:w="20" w:type="dxa"/>
            <w:vAlign w:val="bottom"/>
          </w:tcPr>
          <w:p>
            <w:pPr>
              <w:spacing w:after="0"/>
              <w:rPr>
                <w:sz w:val="12"/>
                <w:szCs w:val="12"/>
                <w:color w:val="auto"/>
              </w:rPr>
            </w:pPr>
          </w:p>
        </w:tc>
        <w:tc>
          <w:tcPr>
            <w:tcW w:w="100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2,057,500</w:t>
            </w:r>
          </w:p>
        </w:tc>
        <w:tc>
          <w:tcPr>
            <w:tcW w:w="120" w:type="dxa"/>
            <w:vAlign w:val="bottom"/>
            <w:tcBorders>
              <w:top w:val="single" w:sz="8" w:color="CCEEFF"/>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Subsequent Events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evaluated subsequent events through the date of this report and has identified the following material events and transactions that occurred after March 31, 2014.</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162" w:name="page163"/>
    <w:bookmarkEnd w:id="162"/>
    <w:p>
      <w:pPr>
        <w:ind w:left="8"/>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2014 Unit Private Placement</w:t>
      </w:r>
    </w:p>
    <w:p>
      <w:pPr>
        <w:spacing w:after="0" w:line="17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From April 1, 2014 through June 19, 2014, the Company entered into securities purchase agreements with accredited investors, including Platinum, pursuant to which it sold to such accredited investors Units, for aggregate cash proceeds of $1,465,000, consisting of (i) 10% convertible 2014 Unit Notes in the aggregate face amount of $1,465,000 due on March 31, 2015 or automatically convertible into securities the Company may issue upon the consummation of a Qualified Financing, as defined in the 2014 Unit Note, prior to March 31, 2015; (ii) an aggregate of 1,465,000 restricted shares of the Company’s common stock; and (iii) 2014 Unit Warrants exercisable through December 31, 2016 to purchase an aggregate of 1,465,000 restricted shares of the Company’s common stock at an exercise price of $0.50 per share.</w:t>
      </w:r>
    </w:p>
    <w:p>
      <w:pPr>
        <w:spacing w:after="0" w:line="139"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Satisfaction of Technology License and Maintenance Fees and Patent Expenses</w:t>
      </w:r>
    </w:p>
    <w:p>
      <w:pPr>
        <w:spacing w:after="0" w:line="17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In April 2014, the Company issued (i) a promissory note in the face amount of $300,000 due on the earlier of December 31, 2014, or the completion of a qualified financing, as defined, (ii) 300,000 restricted shares of its common stock and (iii) a warrant exercisable through March 31, 2019 to purchase 300,000 restricted shares of its common stock at an exercise price of $0.50 per share to Icahn School of Medicine at Mount Sinai in satisfaction of $288,400 of stem cell technology license maintenance fees and reimbursable patent prosecution costs.</w:t>
      </w:r>
    </w:p>
    <w:p>
      <w:pPr>
        <w:spacing w:after="0" w:line="137"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Amendment of Notes and Warrants issued in 2013/2014 Unit Private Placement</w:t>
      </w:r>
    </w:p>
    <w:p>
      <w:pPr>
        <w:spacing w:after="0" w:line="172"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1"/>
          <w:szCs w:val="11"/>
          <w:color w:val="auto"/>
        </w:rPr>
        <w:t>Effective May 31, 2014, the Company entered into note and warrant amendment agreements with certain holders of 2013/2014 Unit Notes and 2013/2014 Unit Warrants to (i) modify certain terms of the 2013/2014 Unit Notes, including the maturity date and the conversion features, to conform to the corresponding terms of the 2014 Unit Notes and (ii) to modify certain terms of the 2013/2014 Unit Warrants, including the exercise price and expiration date, to conform to the corresponding terms of the 2014 Unit Warrants. Holders of 2013/2014 Unit Notes having an aggregate initial face amount of $845,000 agreed to the amendments. The maturity date of the $75,000 of initial face amount of 2013/2014 Unit Notes payable to holders who did not agree to amend their 2013/2014 Unit Note and 2013/2014 Unit Warrant remains July 30, 2014 and the exercise price and expiration date of the 2013/2014 Unit Warrants held by such holders remains unchanged. Between March 31, 2014 and June 23, 2014, the Company has repaid 2013/2014 Unit Notes having an initial face value of $65,200.</w:t>
      </w:r>
    </w:p>
    <w:p>
      <w:pPr>
        <w:spacing w:after="0" w:line="125"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Extension of McCarthy Note Maturity Date</w:t>
      </w:r>
    </w:p>
    <w:p>
      <w:pPr>
        <w:spacing w:after="0" w:line="172"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On June 11, 2014, the Company and McCarthy agreed to extend the maturity date of the Company’s promissory note payable to McCarthy from June 14, 2014 to the earlier of (i) September 30, 2014, (ii) consummation of a financing in which the Company receives gross cash proceeds of at least $15.0 million, or (iii) consummation of a change of control of the Company, as defined in the McCarthy note. McCarthy also agreed to forbear with respect to the requirement that the Company make monthly payments on the note from the date of the agreement until maturity and granted the Company a waiver with respect to previously missed monthly payments.</w:t>
      </w:r>
    </w:p>
    <w:p>
      <w:pPr>
        <w:spacing w:after="0" w:line="119" w:lineRule="exact"/>
        <w:rPr>
          <w:sz w:val="20"/>
          <w:szCs w:val="20"/>
          <w:color w:val="auto"/>
        </w:rPr>
      </w:pPr>
    </w:p>
    <w:p>
      <w:pPr>
        <w:ind w:left="8" w:right="9180" w:hanging="8"/>
        <w:spacing w:after="0" w:line="643" w:lineRule="auto"/>
        <w:tabs>
          <w:tab w:leader="none" w:pos="188" w:val="left"/>
        </w:tabs>
        <w:numPr>
          <w:ilvl w:val="0"/>
          <w:numId w:val="71"/>
        </w:numPr>
        <w:rPr>
          <w:rFonts w:ascii="Arial" w:cs="Arial" w:eastAsia="Arial" w:hAnsi="Arial"/>
          <w:sz w:val="10"/>
          <w:szCs w:val="10"/>
          <w:b w:val="1"/>
          <w:bCs w:val="1"/>
          <w:color w:val="auto"/>
        </w:rPr>
      </w:pPr>
      <w:r>
        <w:rPr>
          <w:rFonts w:ascii="Arial" w:cs="Arial" w:eastAsia="Arial" w:hAnsi="Arial"/>
          <w:sz w:val="10"/>
          <w:szCs w:val="10"/>
          <w:b w:val="1"/>
          <w:bCs w:val="1"/>
          <w:color w:val="auto"/>
        </w:rPr>
        <w:t>Supplemental Financial Information Quarterly Results of Operations (Unaudited)</w:t>
      </w:r>
    </w:p>
    <w:p>
      <w:pPr>
        <w:jc w:val="both"/>
        <w:ind w:left="8" w:firstLine="432"/>
        <w:spacing w:after="0" w:line="263" w:lineRule="auto"/>
        <w:rPr>
          <w:sz w:val="20"/>
          <w:szCs w:val="20"/>
          <w:color w:val="auto"/>
        </w:rPr>
      </w:pPr>
      <w:r>
        <w:rPr>
          <w:rFonts w:ascii="Arial" w:cs="Arial" w:eastAsia="Arial" w:hAnsi="Arial"/>
          <w:sz w:val="12"/>
          <w:szCs w:val="12"/>
          <w:color w:val="auto"/>
        </w:rPr>
        <w:t>The following table presents the unaudited statements of operations data for each of the eight quarters in the period ended March 31, 2014.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15"/>
        </w:trPr>
        <w:tc>
          <w:tcPr>
            <w:tcW w:w="3340" w:type="dxa"/>
            <w:vAlign w:val="bottom"/>
            <w:gridSpan w:val="3"/>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4040" w:type="dxa"/>
            <w:vAlign w:val="bottom"/>
            <w:gridSpan w:val="7"/>
          </w:tcPr>
          <w:p>
            <w:pPr>
              <w:jc w:val="center"/>
              <w:ind w:left="680"/>
              <w:spacing w:after="0"/>
              <w:rPr>
                <w:sz w:val="20"/>
                <w:szCs w:val="20"/>
                <w:color w:val="auto"/>
              </w:rPr>
            </w:pPr>
            <w:r>
              <w:rPr>
                <w:rFonts w:ascii="Arial" w:cs="Arial" w:eastAsia="Arial" w:hAnsi="Arial"/>
                <w:sz w:val="12"/>
                <w:szCs w:val="12"/>
                <w:b w:val="1"/>
                <w:bCs w:val="1"/>
                <w:color w:val="auto"/>
                <w:w w:val="91"/>
              </w:rPr>
              <w:t>Unaudited Quarterly Results of Operations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4040" w:type="dxa"/>
            <w:vAlign w:val="bottom"/>
            <w:gridSpan w:val="7"/>
          </w:tcPr>
          <w:p>
            <w:pPr>
              <w:jc w:val="center"/>
              <w:ind w:left="680"/>
              <w:spacing w:after="0"/>
              <w:rPr>
                <w:sz w:val="20"/>
                <w:szCs w:val="20"/>
                <w:color w:val="auto"/>
              </w:rPr>
            </w:pPr>
            <w:r>
              <w:rPr>
                <w:rFonts w:ascii="Arial" w:cs="Arial" w:eastAsia="Arial" w:hAnsi="Arial"/>
                <w:sz w:val="12"/>
                <w:szCs w:val="12"/>
                <w:b w:val="1"/>
                <w:bCs w:val="1"/>
                <w:color w:val="auto"/>
                <w:w w:val="87"/>
              </w:rPr>
              <w:t>(in thousands, except share and per share amounts)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7"/>
              </w:rPr>
              <w:t>June 30, 2013</w:t>
            </w:r>
          </w:p>
        </w:tc>
        <w:tc>
          <w:tcPr>
            <w:tcW w:w="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September 30, 2013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2013</w:t>
            </w:r>
          </w:p>
        </w:tc>
        <w:tc>
          <w:tcPr>
            <w:tcW w:w="120" w:type="dxa"/>
            <w:vAlign w:val="bottom"/>
          </w:tcPr>
          <w:p>
            <w:pPr>
              <w:spacing w:after="0"/>
              <w:rPr>
                <w:sz w:val="12"/>
                <w:szCs w:val="12"/>
                <w:color w:val="auto"/>
              </w:rPr>
            </w:pPr>
          </w:p>
        </w:tc>
        <w:tc>
          <w:tcPr>
            <w:tcW w:w="1020" w:type="dxa"/>
            <w:vAlign w:val="bottom"/>
          </w:tcPr>
          <w:p>
            <w:pPr>
              <w:jc w:val="right"/>
              <w:ind w:right="120"/>
              <w:spacing w:after="0"/>
              <w:rPr>
                <w:sz w:val="20"/>
                <w:szCs w:val="20"/>
                <w:color w:val="auto"/>
              </w:rPr>
            </w:pPr>
            <w:r>
              <w:rPr>
                <w:rFonts w:ascii="Arial" w:cs="Arial" w:eastAsia="Arial" w:hAnsi="Arial"/>
                <w:sz w:val="12"/>
                <w:szCs w:val="12"/>
                <w:b w:val="1"/>
                <w:bCs w:val="1"/>
                <w:color w:val="auto"/>
                <w:w w:val="95"/>
              </w:rPr>
              <w:t>March 31, 2014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Fiscal Year 2014</w:t>
            </w:r>
          </w:p>
        </w:tc>
        <w:tc>
          <w:tcPr>
            <w:tcW w:w="0" w:type="dxa"/>
            <w:vAlign w:val="bottom"/>
          </w:tcPr>
          <w:p>
            <w:pPr>
              <w:spacing w:after="0"/>
              <w:rPr>
                <w:sz w:val="1"/>
                <w:szCs w:val="1"/>
                <w:color w:val="auto"/>
              </w:rPr>
            </w:pPr>
          </w:p>
        </w:tc>
      </w:tr>
      <w:tr>
        <w:trPr>
          <w:trHeight w:val="286"/>
        </w:trPr>
        <w:tc>
          <w:tcPr>
            <w:tcW w:w="3340" w:type="dxa"/>
            <w:vAlign w:val="bottom"/>
            <w:gridSpan w:val="3"/>
          </w:tcPr>
          <w:p>
            <w:pPr>
              <w:spacing w:after="0"/>
              <w:rPr>
                <w:sz w:val="20"/>
                <w:szCs w:val="20"/>
                <w:color w:val="auto"/>
              </w:rPr>
            </w:pPr>
            <w:r>
              <w:rPr>
                <w:rFonts w:ascii="Arial" w:cs="Arial" w:eastAsia="Arial" w:hAnsi="Arial"/>
                <w:sz w:val="12"/>
                <w:szCs w:val="12"/>
                <w:color w:val="auto"/>
              </w:rPr>
              <w:t>Revenues:</w:t>
            </w:r>
          </w:p>
        </w:tc>
        <w:tc>
          <w:tcPr>
            <w:tcW w:w="1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gridSpan w:val="2"/>
          </w:tcPr>
          <w:p>
            <w:pPr>
              <w:ind w:left="360"/>
              <w:spacing w:after="0"/>
              <w:rPr>
                <w:sz w:val="20"/>
                <w:szCs w:val="20"/>
                <w:color w:val="auto"/>
              </w:rPr>
            </w:pPr>
            <w:r>
              <w:rPr>
                <w:rFonts w:ascii="Arial" w:cs="Arial" w:eastAsia="Arial" w:hAnsi="Arial"/>
                <w:sz w:val="12"/>
                <w:szCs w:val="12"/>
                <w:color w:val="auto"/>
              </w:rPr>
              <w:t>Total revenues</w:t>
            </w:r>
          </w:p>
        </w:tc>
        <w:tc>
          <w:tcPr>
            <w:tcW w:w="138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551</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General and administrative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605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546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897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(1,300)</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(1,215)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(1,448)</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(1,066)</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Other expenses, net:</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Interest expense, net</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(316)</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(361)</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(503)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Change in warrant liabilities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1,805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1,940</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(257)</w:t>
            </w: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3,567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Income (loss) before income taxes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(1,459)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131</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(1,826)</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(2,965)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Net income (loss)</w:t>
            </w: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186</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(1,459)</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131</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(1,826)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net income (loss) per common share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(0.14)</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80" w:type="dxa"/>
            <w:vAlign w:val="bottom"/>
            <w:tcBorders>
              <w:top w:val="single" w:sz="8" w:color="CCEEFF"/>
            </w:tcBorders>
          </w:tcPr>
          <w:p>
            <w:pPr>
              <w:spacing w:after="0"/>
              <w:rPr>
                <w:sz w:val="10"/>
                <w:szCs w:val="10"/>
                <w:color w:val="auto"/>
              </w:rPr>
            </w:pPr>
          </w:p>
        </w:tc>
        <w:tc>
          <w:tcPr>
            <w:tcW w:w="13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Diluted net loss per common share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(0.19)</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80" w:type="dxa"/>
            <w:vAlign w:val="bottom"/>
            <w:tcBorders>
              <w:top w:val="single" w:sz="8" w:color="CCEEFF"/>
            </w:tcBorders>
          </w:tcPr>
          <w:p>
            <w:pPr>
              <w:spacing w:after="0"/>
              <w:rPr>
                <w:sz w:val="10"/>
                <w:szCs w:val="10"/>
                <w:color w:val="auto"/>
              </w:rPr>
            </w:pPr>
          </w:p>
        </w:tc>
        <w:tc>
          <w:tcPr>
            <w:tcW w:w="13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shares used in computing:</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Basic net income (loss) per common share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20,839,941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21,630,587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22,210,573</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23,251,044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21,973,149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Diluted net loss per common share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21,229,190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21,630,587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22,210,573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23,251,044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21,973,149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left="440"/>
              <w:spacing w:after="0"/>
              <w:rPr>
                <w:sz w:val="20"/>
                <w:szCs w:val="20"/>
                <w:color w:val="auto"/>
              </w:rPr>
            </w:pPr>
            <w:r>
              <w:rPr>
                <w:rFonts w:ascii="Arial" w:cs="Arial" w:eastAsia="Arial" w:hAnsi="Arial"/>
                <w:sz w:val="12"/>
                <w:szCs w:val="12"/>
                <w:color w:val="auto"/>
                <w:w w:val="88"/>
              </w:rPr>
              <w:t>F-49</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680" w:type="dxa"/>
            <w:vAlign w:val="bottom"/>
            <w:tcBorders>
              <w:bottom w:val="single" w:sz="8" w:color="808080"/>
            </w:tcBorders>
          </w:tcPr>
          <w:p>
            <w:pPr>
              <w:spacing w:after="0"/>
              <w:rPr>
                <w:sz w:val="6"/>
                <w:szCs w:val="6"/>
                <w:color w:val="auto"/>
              </w:rPr>
            </w:pPr>
          </w:p>
        </w:tc>
        <w:tc>
          <w:tcPr>
            <w:tcW w:w="13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15"/>
        </w:trPr>
        <w:tc>
          <w:tcPr>
            <w:tcW w:w="4720" w:type="dxa"/>
            <w:vAlign w:val="bottom"/>
            <w:gridSpan w:val="3"/>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7"/>
              </w:rPr>
              <w:t>June 30, 2012</w:t>
            </w:r>
          </w:p>
        </w:tc>
        <w:tc>
          <w:tcPr>
            <w:tcW w:w="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September 30, 2012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2012</w:t>
            </w:r>
          </w:p>
        </w:tc>
        <w:tc>
          <w:tcPr>
            <w:tcW w:w="120" w:type="dxa"/>
            <w:vAlign w:val="bottom"/>
          </w:tcPr>
          <w:p>
            <w:pPr>
              <w:spacing w:after="0"/>
              <w:rPr>
                <w:sz w:val="12"/>
                <w:szCs w:val="12"/>
                <w:color w:val="auto"/>
              </w:rPr>
            </w:pPr>
          </w:p>
        </w:tc>
        <w:tc>
          <w:tcPr>
            <w:tcW w:w="1020" w:type="dxa"/>
            <w:vAlign w:val="bottom"/>
          </w:tcPr>
          <w:p>
            <w:pPr>
              <w:jc w:val="right"/>
              <w:ind w:right="120"/>
              <w:spacing w:after="0"/>
              <w:rPr>
                <w:sz w:val="20"/>
                <w:szCs w:val="20"/>
                <w:color w:val="auto"/>
              </w:rPr>
            </w:pPr>
            <w:r>
              <w:rPr>
                <w:rFonts w:ascii="Arial" w:cs="Arial" w:eastAsia="Arial" w:hAnsi="Arial"/>
                <w:sz w:val="12"/>
                <w:szCs w:val="12"/>
                <w:b w:val="1"/>
                <w:bCs w:val="1"/>
                <w:color w:val="auto"/>
                <w:w w:val="95"/>
              </w:rPr>
              <w:t>March 31, 2013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Fiscal Year 2013</w:t>
            </w:r>
          </w:p>
        </w:tc>
        <w:tc>
          <w:tcPr>
            <w:tcW w:w="0" w:type="dxa"/>
            <w:vAlign w:val="bottom"/>
          </w:tcPr>
          <w:p>
            <w:pPr>
              <w:spacing w:after="0"/>
              <w:rPr>
                <w:sz w:val="1"/>
                <w:szCs w:val="1"/>
                <w:color w:val="auto"/>
              </w:rPr>
            </w:pPr>
          </w:p>
        </w:tc>
      </w:tr>
      <w:tr>
        <w:trPr>
          <w:trHeight w:val="286"/>
        </w:trPr>
        <w:tc>
          <w:tcPr>
            <w:tcW w:w="4720" w:type="dxa"/>
            <w:vAlign w:val="bottom"/>
            <w:gridSpan w:val="3"/>
          </w:tcPr>
          <w:p>
            <w:pPr>
              <w:spacing w:after="0"/>
              <w:rPr>
                <w:sz w:val="20"/>
                <w:szCs w:val="20"/>
                <w:color w:val="auto"/>
              </w:rPr>
            </w:pPr>
            <w:r>
              <w:rPr>
                <w:rFonts w:ascii="Arial" w:cs="Arial" w:eastAsia="Arial" w:hAnsi="Arial"/>
                <w:sz w:val="12"/>
                <w:szCs w:val="12"/>
                <w:color w:val="auto"/>
              </w:rPr>
              <w:t>Revenues:</w:t>
            </w: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gridSpan w:val="2"/>
          </w:tcPr>
          <w:p>
            <w:pPr>
              <w:ind w:left="360"/>
              <w:spacing w:after="0"/>
              <w:rPr>
                <w:sz w:val="20"/>
                <w:szCs w:val="20"/>
                <w:color w:val="auto"/>
              </w:rPr>
            </w:pPr>
            <w:r>
              <w:rPr>
                <w:rFonts w:ascii="Arial" w:cs="Arial" w:eastAsia="Arial" w:hAnsi="Arial"/>
                <w:sz w:val="12"/>
                <w:szCs w:val="12"/>
                <w:color w:val="auto"/>
              </w:rPr>
              <w:t>Total revenues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1,120</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General and administrative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1,055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799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(1,721)</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(1,682)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(1,919)</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(1,471)</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(6,793)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Other expenses, net: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Interest expense, net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(235)</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(309)</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Change in warrant liabilities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358</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(1,994)</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Loss on early extinguishment of debt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(3,537)</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Other income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Loss before income taxes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(1,824)</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(1,956)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(5,333)</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(12,883)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taxes</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(1,826)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(1,956)</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(5,335)</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(12,887)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(10,193)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(10,193)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40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(loss) attributable to common stockholders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(1,826)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(15,528)</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(23,080)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40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and diluted net loss attributable to common stockholders per common share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(0.85)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40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3"/>
              </w:rPr>
              <w:t>Weighted average shares used in computing basic and diluted net loss attributable to common</w:t>
            </w: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stockholders per common share</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16,842,655</w:t>
            </w: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17,094,833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18,292,301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20,236,491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40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F-50</w:t>
            </w: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40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15"/>
        </w:trPr>
        <w:tc>
          <w:tcPr>
            <w:tcW w:w="10220" w:type="dxa"/>
            <w:vAlign w:val="bottom"/>
            <w:gridSpan w:val="3"/>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9560" w:type="dxa"/>
            <w:vAlign w:val="bottom"/>
          </w:tcPr>
          <w:p>
            <w:pPr>
              <w:jc w:val="center"/>
              <w:ind w:left="540"/>
              <w:spacing w:after="0"/>
              <w:rPr>
                <w:sz w:val="20"/>
                <w:szCs w:val="20"/>
                <w:color w:val="auto"/>
              </w:rPr>
            </w:pPr>
            <w:r>
              <w:rPr>
                <w:rFonts w:ascii="Arial" w:cs="Arial" w:eastAsia="Arial" w:hAnsi="Arial"/>
                <w:sz w:val="12"/>
                <w:szCs w:val="12"/>
                <w:b w:val="1"/>
                <w:bCs w:val="1"/>
                <w:color w:val="auto"/>
              </w:rPr>
              <w:t>PART II</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60" w:type="dxa"/>
            <w:vAlign w:val="bottom"/>
          </w:tcPr>
          <w:p>
            <w:pPr>
              <w:jc w:val="center"/>
              <w:ind w:left="520"/>
              <w:spacing w:after="0"/>
              <w:rPr>
                <w:sz w:val="20"/>
                <w:szCs w:val="20"/>
                <w:color w:val="auto"/>
              </w:rPr>
            </w:pPr>
            <w:r>
              <w:rPr>
                <w:rFonts w:ascii="Arial" w:cs="Arial" w:eastAsia="Arial" w:hAnsi="Arial"/>
                <w:sz w:val="12"/>
                <w:szCs w:val="12"/>
                <w:b w:val="1"/>
                <w:bCs w:val="1"/>
                <w:color w:val="auto"/>
                <w:w w:val="90"/>
              </w:rPr>
              <w:t>Information Not Required in Prospectus</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220" w:type="dxa"/>
            <w:vAlign w:val="bottom"/>
            <w:gridSpan w:val="3"/>
          </w:tcPr>
          <w:p>
            <w:pPr>
              <w:spacing w:after="0"/>
              <w:rPr>
                <w:sz w:val="20"/>
                <w:szCs w:val="20"/>
                <w:color w:val="auto"/>
              </w:rPr>
            </w:pPr>
            <w:r>
              <w:rPr>
                <w:rFonts w:ascii="Arial" w:cs="Arial" w:eastAsia="Arial" w:hAnsi="Arial"/>
                <w:sz w:val="12"/>
                <w:szCs w:val="12"/>
                <w:b w:val="1"/>
                <w:bCs w:val="1"/>
                <w:color w:val="auto"/>
              </w:rPr>
              <w:t>Item 13. Other Expenses of Issuance and Distribution</w:t>
            </w:r>
            <w:r>
              <w:rPr>
                <w:rFonts w:ascii="Arial" w:cs="Arial" w:eastAsia="Arial" w:hAnsi="Arial"/>
                <w:sz w:val="12"/>
                <w:szCs w:val="12"/>
                <w:color w:val="auto"/>
              </w:rPr>
              <w:t>.</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220" w:type="dxa"/>
            <w:vAlign w:val="bottom"/>
            <w:gridSpan w:val="3"/>
          </w:tcPr>
          <w:p>
            <w:pPr>
              <w:spacing w:after="0"/>
              <w:rPr>
                <w:sz w:val="20"/>
                <w:szCs w:val="20"/>
                <w:color w:val="auto"/>
              </w:rPr>
            </w:pPr>
            <w:r>
              <w:rPr>
                <w:rFonts w:ascii="Arial" w:cs="Arial" w:eastAsia="Arial" w:hAnsi="Arial"/>
                <w:sz w:val="12"/>
                <w:szCs w:val="12"/>
                <w:color w:val="auto"/>
              </w:rPr>
              <w:t>The following table sets forth all expenses to be paid by the Registrant in connection with this registration statement. All amounts shown are estimates except for the SEC registration fee.</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 Filing fees</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tcPr>
          <w:p>
            <w:pPr>
              <w:spacing w:after="0"/>
              <w:rPr>
                <w:sz w:val="20"/>
                <w:szCs w:val="20"/>
                <w:color w:val="auto"/>
              </w:rPr>
            </w:pPr>
            <w:r>
              <w:rPr>
                <w:rFonts w:ascii="Arial" w:cs="Arial" w:eastAsia="Arial" w:hAnsi="Arial"/>
                <w:sz w:val="12"/>
                <w:szCs w:val="12"/>
                <w:color w:val="auto"/>
              </w:rPr>
              <w:t>FINRA fees</w:t>
            </w:r>
          </w:p>
        </w:tc>
        <w:tc>
          <w:tcPr>
            <w:tcW w:w="4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Printing and filing expenses</w:t>
            </w:r>
          </w:p>
        </w:tc>
        <w:tc>
          <w:tcPr>
            <w:tcW w:w="4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tcPr>
          <w:p>
            <w:pPr>
              <w:spacing w:after="0"/>
              <w:rPr>
                <w:sz w:val="20"/>
                <w:szCs w:val="20"/>
                <w:color w:val="auto"/>
              </w:rPr>
            </w:pPr>
            <w:r>
              <w:rPr>
                <w:rFonts w:ascii="Arial" w:cs="Arial" w:eastAsia="Arial" w:hAnsi="Arial"/>
                <w:sz w:val="12"/>
                <w:szCs w:val="12"/>
                <w:color w:val="auto"/>
              </w:rPr>
              <w:t>Transfer agent fees and expenses</w:t>
            </w:r>
          </w:p>
        </w:tc>
        <w:tc>
          <w:tcPr>
            <w:tcW w:w="4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Legal fees and expenses</w:t>
            </w:r>
          </w:p>
        </w:tc>
        <w:tc>
          <w:tcPr>
            <w:tcW w:w="4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tcPr>
          <w:p>
            <w:pPr>
              <w:spacing w:after="0"/>
              <w:rPr>
                <w:sz w:val="20"/>
                <w:szCs w:val="20"/>
                <w:color w:val="auto"/>
              </w:rPr>
            </w:pPr>
            <w:r>
              <w:rPr>
                <w:rFonts w:ascii="Arial" w:cs="Arial" w:eastAsia="Arial" w:hAnsi="Arial"/>
                <w:sz w:val="12"/>
                <w:szCs w:val="12"/>
                <w:color w:val="auto"/>
              </w:rPr>
              <w:t>Accounting fees and expenses</w:t>
            </w:r>
          </w:p>
        </w:tc>
        <w:tc>
          <w:tcPr>
            <w:tcW w:w="4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Miscellaneous expenses</w:t>
            </w:r>
          </w:p>
        </w:tc>
        <w:tc>
          <w:tcPr>
            <w:tcW w:w="4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956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191,700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20" w:type="dxa"/>
            <w:vAlign w:val="bottom"/>
            <w:gridSpan w:val="3"/>
          </w:tcPr>
          <w:p>
            <w:pPr>
              <w:spacing w:after="0"/>
              <w:rPr>
                <w:sz w:val="20"/>
                <w:szCs w:val="20"/>
                <w:color w:val="auto"/>
              </w:rPr>
            </w:pPr>
            <w:r>
              <w:rPr>
                <w:rFonts w:ascii="Arial" w:cs="Arial" w:eastAsia="Arial" w:hAnsi="Arial"/>
                <w:sz w:val="12"/>
                <w:szCs w:val="12"/>
                <w:b w:val="1"/>
                <w:bCs w:val="1"/>
                <w:color w:val="auto"/>
              </w:rPr>
              <w:t>Item 14. Indemnification of Officers and Directors</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Limitations of liability and indemnification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Our amended and restated bylaws provide that we will indemnify our directors, officers and employees to the fullest extent permitted by the Nevada Revised Statutes (NRS).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limitation of liability and indemnification provisions in our bylaws may discourage shareholders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166" w:name="page167"/>
    <w:bookmarkEnd w:id="166"/>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Recent Sales of Unregistered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Since June 2011, we have made the following sales of unregistered securities in private placement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Unit Private Placement: March 2014 – July 2014</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Through July 1, 2014, we entered into securities purchase agreements with accredited investors pursuant to which we sold to such accredited investors units (</w:t>
      </w:r>
      <w:r>
        <w:rPr>
          <w:rFonts w:ascii="Arial" w:cs="Arial" w:eastAsia="Arial" w:hAnsi="Arial"/>
          <w:sz w:val="11"/>
          <w:szCs w:val="11"/>
          <w:i w:val="1"/>
          <w:iCs w:val="1"/>
          <w:color w:val="auto"/>
        </w:rPr>
        <w:t>2014 Units</w:t>
      </w:r>
      <w:r>
        <w:rPr>
          <w:rFonts w:ascii="Arial" w:cs="Arial" w:eastAsia="Arial" w:hAnsi="Arial"/>
          <w:sz w:val="11"/>
          <w:szCs w:val="11"/>
          <w:color w:val="auto"/>
        </w:rPr>
        <w:t>) consisting, in aggregate, of: (i) 10% subordinate convertible promissory notes maturing on March 31, 2015 in the aggregate face amount of $1,570,000; (ii) an aggregate of 1,570,000 shares of our restricted common stock; and (iii) warrants exercisable through December 31, 2016 to purchase an aggregate of 1,570,000 restricted shares of our common stock at an exercise price of $0.50 per share. We received cash proceeds of $1,570,000 from the sale of the 2014 Units.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Technology License Settlement: April 2014</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April 2014, in settlement of $288,400 of outstanding stem cell technology license fees and patent prosecution and maintenance expenses, we issued to the Icahn School of Medicine at Mount Sinai, the licensor of one of our stem cell technology licenses, (i) a 10% promissory note maturing on December 31, 2014 in the face amount of $300,000, $30,000 of which has been paid as of June 30, 2014; (ii) 300,000 restricted shares of our common stock; and (iii) a warrant exercisable through March 31, 2019 to purchase an aggregate of 300,000 restricted shares of our common stock at an exercise price of $0.50 per share.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2013/2014 Unit Private Placement: August 2013 – March 2014</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Between August 2013 and March 14, 2014, we entered into strategic securities purchase agreements with accredited investors pursuant to which we sold to such accredited investors Units consisting, in aggregate, of: (i) 10% convertible notes maturing on July 30, 2014 in the aggregate face amount of $1,007,500; (ii) an aggregate of 2,015,000 restricted shares of our common stock; and (iii) warrants exercisable through July 30, 2016 to purchase an aggregate of 2,015,000 restricted shares of our common stock at an exercise price of $1.00 per share. We received cash proceeds of $1,007,500 from the sale of the Units, including $50,000 in lieu of repayment of previous advances made to us by one of our executive officers.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Exercise of Warrants: June and October 2013</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June 2013 and October 2013, our Chief Executive Officer partially exercised a previously outstanding warrant to purchase an aggregate of 60,000 shares of our restricted common stock at an exercise price of $0.64 per share and we received proceeds of $38,400 from his exercise.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and Exercise of Warrants: June – July 2013</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During June 2013, we offered certain long term accredited investors holding warrants to purchase common stock the opportunity to exercise outstanding warrants having an exercise price of $1.50 per share to purchase shares of our restricted common stock at a reduced exercise price of $0.50 per share. Through the closing of the offering in mid-July 2013, warrant holders exercised modified warrants to purchase an aggregate of 528,370 restricted shares of our common stock and we received cash proceeds of $264,185. In addition, certain accredited long-term warrant holders exercised modified warrants to purchase 16,646 shares of our restricted common stock in lieu of payment by us in satisfaction of amounts due for professional services in the aggregate amount of $8,323.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67" w:name="page168"/>
    <w:bookmarkEnd w:id="167"/>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Autilion Financing: June 2013</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April 2013, we entered into a Securities Purchase Agreement (</w:t>
      </w:r>
      <w:r>
        <w:rPr>
          <w:rFonts w:ascii="Arial" w:cs="Arial" w:eastAsia="Arial" w:hAnsi="Arial"/>
          <w:sz w:val="11"/>
          <w:szCs w:val="11"/>
          <w:i w:val="1"/>
          <w:iCs w:val="1"/>
          <w:color w:val="auto"/>
        </w:rPr>
        <w:t>Autilion Agreement</w:t>
      </w:r>
      <w:r>
        <w:rPr>
          <w:rFonts w:ascii="Arial" w:cs="Arial" w:eastAsia="Arial" w:hAnsi="Arial"/>
          <w:sz w:val="11"/>
          <w:szCs w:val="11"/>
          <w:color w:val="auto"/>
        </w:rPr>
        <w:t>) pursuant to which, as amended, we agreed to sell, and Autilion agreed to purchase, 72.0 million restricted shares of our common stock for $0.50 per share resulting in aggregate gross cash proceeds to us of $36.0 million. Through the date of this prospectus, Autilion has completed only a nominal initial closing of the Autilion Financing in which we issued 50,000 restricted shares of our common stock and received $25,000 in cash proceeds. Autilion is in default under the Securities Purchase Agreement and no assurances can be given that any further closings will occur under the Securities Purchase Agreement.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Secured Convertible Promissory Notes Issued to Platinum: July 2012 – July 2013</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July 2, 2012 and on August 31, 2012, we issued to Platinum senior secured convertible promissory notes in the principal amount of $500,000 (</w:t>
      </w:r>
      <w:r>
        <w:rPr>
          <w:rFonts w:ascii="Arial" w:cs="Arial" w:eastAsia="Arial" w:hAnsi="Arial"/>
          <w:sz w:val="12"/>
          <w:szCs w:val="12"/>
          <w:i w:val="1"/>
          <w:iCs w:val="1"/>
          <w:color w:val="auto"/>
        </w:rPr>
        <w:t>July 2012 Platinum Note</w:t>
      </w:r>
      <w:r>
        <w:rPr>
          <w:rFonts w:ascii="Arial" w:cs="Arial" w:eastAsia="Arial" w:hAnsi="Arial"/>
          <w:sz w:val="12"/>
          <w:szCs w:val="12"/>
          <w:color w:val="auto"/>
        </w:rPr>
        <w:t>) and $750,000 (</w:t>
      </w:r>
      <w:r>
        <w:rPr>
          <w:rFonts w:ascii="Arial" w:cs="Arial" w:eastAsia="Arial" w:hAnsi="Arial"/>
          <w:sz w:val="12"/>
          <w:szCs w:val="12"/>
          <w:i w:val="1"/>
          <w:iCs w:val="1"/>
          <w:color w:val="auto"/>
        </w:rPr>
        <w:t>August 2012 Platinum Note</w:t>
      </w:r>
      <w:r>
        <w:rPr>
          <w:rFonts w:ascii="Arial" w:cs="Arial" w:eastAsia="Arial" w:hAnsi="Arial"/>
          <w:sz w:val="12"/>
          <w:szCs w:val="12"/>
          <w:color w:val="auto"/>
        </w:rPr>
        <w:t>), respectively. The July 2012 Platinum Note and the August 2012 Platinum Note each accrued interest at the rate of 10% per annum and were due and payable on July 2, 2015.</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October 11, 2012, we entered into a Note Exchange and Purchase Agreement with Platinum (</w:t>
      </w:r>
      <w:r>
        <w:rPr>
          <w:rFonts w:ascii="Arial" w:cs="Arial" w:eastAsia="Arial" w:hAnsi="Arial"/>
          <w:sz w:val="12"/>
          <w:szCs w:val="12"/>
          <w:i w:val="1"/>
          <w:iCs w:val="1"/>
          <w:color w:val="auto"/>
        </w:rPr>
        <w:t>October 2012 Agreement</w:t>
      </w:r>
      <w:r>
        <w:rPr>
          <w:rFonts w:ascii="Arial" w:cs="Arial" w:eastAsia="Arial" w:hAnsi="Arial"/>
          <w:sz w:val="12"/>
          <w:szCs w:val="12"/>
          <w:color w:val="auto"/>
        </w:rPr>
        <w:t xml:space="preserve">) in which the July 2012 Platinum Note and the August 2012 Platinum Note (together, the </w:t>
      </w:r>
      <w:r>
        <w:rPr>
          <w:rFonts w:ascii="Arial" w:cs="Arial" w:eastAsia="Arial" w:hAnsi="Arial"/>
          <w:sz w:val="12"/>
          <w:szCs w:val="12"/>
          <w:i w:val="1"/>
          <w:iCs w:val="1"/>
          <w:color w:val="auto"/>
        </w:rPr>
        <w:t>Existing Notes</w:t>
      </w:r>
      <w:r>
        <w:rPr>
          <w:rFonts w:ascii="Arial" w:cs="Arial" w:eastAsia="Arial" w:hAnsi="Arial"/>
          <w:sz w:val="12"/>
          <w:szCs w:val="12"/>
          <w:color w:val="auto"/>
        </w:rPr>
        <w:t>), as well as the related accrued interest, were consolidated into and exchanged for a single senior secured convertible note in the amount of $1,272,600 (</w:t>
      </w:r>
      <w:r>
        <w:rPr>
          <w:rFonts w:ascii="Arial" w:cs="Arial" w:eastAsia="Arial" w:hAnsi="Arial"/>
          <w:sz w:val="12"/>
          <w:szCs w:val="12"/>
          <w:i w:val="1"/>
          <w:iCs w:val="1"/>
          <w:color w:val="auto"/>
        </w:rPr>
        <w:t>Exchange Note</w:t>
      </w:r>
      <w:r>
        <w:rPr>
          <w:rFonts w:ascii="Arial" w:cs="Arial" w:eastAsia="Arial" w:hAnsi="Arial"/>
          <w:sz w:val="12"/>
          <w:szCs w:val="12"/>
          <w:color w:val="auto"/>
        </w:rPr>
        <w:t>) and Platinum agreed to purchase four additional 10% senior secured convertible promissory notes in the aggregate principal amount of $2.0 million (</w:t>
      </w:r>
      <w:r>
        <w:rPr>
          <w:rFonts w:ascii="Arial" w:cs="Arial" w:eastAsia="Arial" w:hAnsi="Arial"/>
          <w:sz w:val="12"/>
          <w:szCs w:val="12"/>
          <w:i w:val="1"/>
          <w:iCs w:val="1"/>
          <w:color w:val="auto"/>
        </w:rPr>
        <w:t>Investment Notes</w:t>
      </w:r>
      <w:r>
        <w:rPr>
          <w:rFonts w:ascii="Arial" w:cs="Arial" w:eastAsia="Arial" w:hAnsi="Arial"/>
          <w:sz w:val="12"/>
          <w:szCs w:val="12"/>
          <w:color w:val="auto"/>
        </w:rPr>
        <w:t>), issuable over four separate $500,000 tranches between October 2012 and December 2012. The first and second $500,000 Investment Notes, in the aggregate principal amount of $1.0 million, were purchased by Platinum on October 11, 2012 and October 19, 2012, respectively.</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On November 14, 2012 and January 31, 2013, we entered into amendments to the October 2012 Agreement (the </w:t>
      </w:r>
      <w:r>
        <w:rPr>
          <w:rFonts w:ascii="Arial" w:cs="Arial" w:eastAsia="Arial" w:hAnsi="Arial"/>
          <w:sz w:val="12"/>
          <w:szCs w:val="12"/>
          <w:i w:val="1"/>
          <w:iCs w:val="1"/>
          <w:color w:val="auto"/>
        </w:rPr>
        <w:t>NEPA Amendments</w:t>
      </w:r>
      <w:r>
        <w:rPr>
          <w:rFonts w:ascii="Arial" w:cs="Arial" w:eastAsia="Arial" w:hAnsi="Arial"/>
          <w:sz w:val="12"/>
          <w:szCs w:val="12"/>
          <w:color w:val="auto"/>
        </w:rPr>
        <w:t>) with Platinum, pursuant to which the final two $500,000 tranches contemplated by the October 2012 Agreement were combined into a single Investment Note in the aggregate principal amount of $1.0 million (</w:t>
      </w:r>
      <w:r>
        <w:rPr>
          <w:rFonts w:ascii="Arial" w:cs="Arial" w:eastAsia="Arial" w:hAnsi="Arial"/>
          <w:sz w:val="12"/>
          <w:szCs w:val="12"/>
          <w:i w:val="1"/>
          <w:iCs w:val="1"/>
          <w:color w:val="auto"/>
        </w:rPr>
        <w:t>$1.0 Million Note</w:t>
      </w:r>
      <w:r>
        <w:rPr>
          <w:rFonts w:ascii="Arial" w:cs="Arial" w:eastAsia="Arial" w:hAnsi="Arial"/>
          <w:sz w:val="12"/>
          <w:szCs w:val="12"/>
          <w:color w:val="auto"/>
        </w:rPr>
        <w:t>). Under the terms of the NEPA Amendment, Platinum agreed to purchase the $1.0 Million Note within five business days of our notice to Platinum of the consummation of a debt or equity financing, or combination of financings, prior to February 15, 2013, resulting in gross proceeds to us of at least $1.0 million (</w:t>
      </w:r>
      <w:r>
        <w:rPr>
          <w:rFonts w:ascii="Arial" w:cs="Arial" w:eastAsia="Arial" w:hAnsi="Arial"/>
          <w:sz w:val="12"/>
          <w:szCs w:val="12"/>
          <w:i w:val="1"/>
          <w:iCs w:val="1"/>
          <w:color w:val="auto"/>
        </w:rPr>
        <w:t>Additional Financing</w:t>
      </w:r>
      <w:r>
        <w:rPr>
          <w:rFonts w:ascii="Arial" w:cs="Arial" w:eastAsia="Arial" w:hAnsi="Arial"/>
          <w:sz w:val="12"/>
          <w:szCs w:val="12"/>
          <w:color w:val="auto"/>
        </w:rPr>
        <w:t xml:space="preserve"> </w:t>
      </w:r>
      <w:r>
        <w:rPr>
          <w:rFonts w:ascii="Arial" w:cs="Arial" w:eastAsia="Arial" w:hAnsi="Arial"/>
          <w:sz w:val="12"/>
          <w:szCs w:val="12"/>
          <w:i w:val="1"/>
          <w:iCs w:val="1"/>
          <w:color w:val="auto"/>
        </w:rPr>
        <w:t>Requirement</w:t>
      </w:r>
      <w:r>
        <w:rPr>
          <w:rFonts w:ascii="Arial" w:cs="Arial" w:eastAsia="Arial" w:hAnsi="Arial"/>
          <w:sz w:val="12"/>
          <w:szCs w:val="12"/>
          <w:color w:val="auto"/>
        </w:rPr>
        <w:t>). We satisfied the Additional Financing Requirement on February 12, 2013 (see 2012 Private Placement of Units, below). Effective February 22, 2013, we entered into an additional amendment to the October 2012 Agreement</w:t>
      </w:r>
      <w:r>
        <w:rPr>
          <w:rFonts w:ascii="Arial" w:cs="Arial" w:eastAsia="Arial" w:hAnsi="Arial"/>
          <w:sz w:val="12"/>
          <w:szCs w:val="12"/>
          <w:i w:val="1"/>
          <w:iCs w:val="1"/>
          <w:color w:val="auto"/>
        </w:rPr>
        <w:t xml:space="preserve"> </w:t>
      </w:r>
      <w:r>
        <w:rPr>
          <w:rFonts w:ascii="Arial" w:cs="Arial" w:eastAsia="Arial" w:hAnsi="Arial"/>
          <w:sz w:val="12"/>
          <w:szCs w:val="12"/>
          <w:color w:val="auto"/>
        </w:rPr>
        <w:t>with Platinum pursuant to which Platinum agreed to purchase an Investment Note in the face amount of $250,000 on February 22, 2013, and an additional Investment Note in the face amount of $750,000 on or before March 12, 2013, which Investment Note we issued and Platinum purchased on March 12, 2013.</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The Exchange Note and each Investment Note (together, the </w:t>
      </w:r>
      <w:r>
        <w:rPr>
          <w:rFonts w:ascii="Arial" w:cs="Arial" w:eastAsia="Arial" w:hAnsi="Arial"/>
          <w:sz w:val="11"/>
          <w:szCs w:val="11"/>
          <w:i w:val="1"/>
          <w:iCs w:val="1"/>
          <w:color w:val="auto"/>
        </w:rPr>
        <w:t>Notes</w:t>
      </w:r>
      <w:r>
        <w:rPr>
          <w:rFonts w:ascii="Arial" w:cs="Arial" w:eastAsia="Arial" w:hAnsi="Arial"/>
          <w:sz w:val="11"/>
          <w:szCs w:val="11"/>
          <w:color w:val="auto"/>
        </w:rPr>
        <w:t>) accrue interest at a rate of 10% per annum and, subject to certain limitations and exceptions set forth in the Notes, unless converted earlier and voluntarily by Platinum, will be due and payable in restricted shares of our common stock on October 11, 2015, or three years from the date of issuance, as determined by the terms of the respective Investment Notes. At maturity, we will pay all principal and accrued interest under the Notes through the issuance of restricted shares of our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our common stock at a conversion price of $0.50 per share, subject to certain adjustments.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68" w:name="page169"/>
    <w:bookmarkEnd w:id="168"/>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As additional consideration for the purchase of the Investment Notes, we issued to Platinum warrants to purchase an aggregate of 2,000,000 shares of our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Arial" w:cs="Arial" w:eastAsia="Arial" w:hAnsi="Arial"/>
          <w:sz w:val="12"/>
          <w:szCs w:val="12"/>
          <w:i w:val="1"/>
          <w:iCs w:val="1"/>
          <w:color w:val="auto"/>
        </w:rPr>
        <w:t>Investment Warrant</w:t>
      </w:r>
      <w:r>
        <w:rPr>
          <w:rFonts w:ascii="Arial" w:cs="Arial" w:eastAsia="Arial" w:hAnsi="Arial"/>
          <w:sz w:val="12"/>
          <w:szCs w:val="12"/>
          <w:color w:val="auto"/>
        </w:rPr>
        <w:t xml:space="preserve">). In addition, we issued Platinum a warrant to purchase 1,272,577 shares of our common stock in connection with the issuance of the Exchange Note (the </w:t>
      </w:r>
      <w:r>
        <w:rPr>
          <w:rFonts w:ascii="Arial" w:cs="Arial" w:eastAsia="Arial" w:hAnsi="Arial"/>
          <w:sz w:val="12"/>
          <w:szCs w:val="12"/>
          <w:i w:val="1"/>
          <w:iCs w:val="1"/>
          <w:color w:val="auto"/>
        </w:rPr>
        <w:t>Exchange Warrant</w:t>
      </w:r>
      <w:r>
        <w:rPr>
          <w:rFonts w:ascii="Arial" w:cs="Arial" w:eastAsia="Arial" w:hAnsi="Arial"/>
          <w:sz w:val="12"/>
          <w:szCs w:val="12"/>
          <w:color w:val="auto"/>
        </w:rPr>
        <w:t>). At issuance, the Platinum Exchange Warrant and each Investment Warrant had a term of five years and an exercise price of $1.50 per share, subject to certain adjustments. We have subsequently reduced the exercise</w:t>
      </w:r>
      <w:r>
        <w:rPr>
          <w:rFonts w:ascii="Arial" w:cs="Arial" w:eastAsia="Arial" w:hAnsi="Arial"/>
          <w:sz w:val="12"/>
          <w:szCs w:val="12"/>
          <w:i w:val="1"/>
          <w:iCs w:val="1"/>
          <w:color w:val="auto"/>
        </w:rPr>
        <w:t xml:space="preserve"> </w:t>
      </w:r>
      <w:r>
        <w:rPr>
          <w:rFonts w:ascii="Arial" w:cs="Arial" w:eastAsia="Arial" w:hAnsi="Arial"/>
          <w:sz w:val="12"/>
          <w:szCs w:val="12"/>
          <w:color w:val="auto"/>
        </w:rPr>
        <w:t>price of the Exchange and Investment Warrants to $0.50 per share.</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On July 26, 2013, we issued an additional senior secured convertible promissory note in the principal amount of $250,000 to Platinum (the </w:t>
      </w:r>
      <w:r>
        <w:rPr>
          <w:rFonts w:ascii="Arial" w:cs="Arial" w:eastAsia="Arial" w:hAnsi="Arial"/>
          <w:sz w:val="12"/>
          <w:szCs w:val="12"/>
          <w:i w:val="1"/>
          <w:iCs w:val="1"/>
          <w:color w:val="auto"/>
        </w:rPr>
        <w:t>July 2013 Note</w:t>
      </w:r>
      <w:r>
        <w:rPr>
          <w:rFonts w:ascii="Arial" w:cs="Arial" w:eastAsia="Arial" w:hAnsi="Arial"/>
          <w:sz w:val="12"/>
          <w:szCs w:val="12"/>
          <w:color w:val="auto"/>
        </w:rPr>
        <w:t xml:space="preserve">). The July 2013 Note matures on July 26, 2016 and accrues interest at a rate of 10% per annum. Subject to certain terms and conditions, all principal and accrued interest under the July 2013 Note will be payable by the Company through the issuance of restricted shares of common stock to Platinum. Subject to certain potential adjustments set forth in the July 2013 Note, the number of restricted shares of common stock issuable as payment in full for the July 2013 Note at maturity will be calculated by dividing the outstanding balance plus accrued interest of the July 2013 Note by $0.50 per share. Prior to maturity, the outstanding principal and any accrued interest on the July 2013 Note is convertible, in whole or in part, at Platinum’s option into shares of the Company’s restricted common stock at a conversion price of $0.50 per share, subject to certain adjustments. As additional consideration for the purchase of the July 2013 Note, we issued to Platinum a five-year warrant to purchase 250,000 restricted shares of our common stock at an exercise price of $0.50 per share (the </w:t>
      </w:r>
      <w:r>
        <w:rPr>
          <w:rFonts w:ascii="Arial" w:cs="Arial" w:eastAsia="Arial" w:hAnsi="Arial"/>
          <w:sz w:val="12"/>
          <w:szCs w:val="12"/>
          <w:i w:val="1"/>
          <w:iCs w:val="1"/>
          <w:color w:val="auto"/>
        </w:rPr>
        <w:t>July 2013 Warrant</w:t>
      </w:r>
      <w:r>
        <w:rPr>
          <w:rFonts w:ascii="Arial" w:cs="Arial" w:eastAsia="Arial" w:hAnsi="Arial"/>
          <w:sz w:val="12"/>
          <w:szCs w:val="12"/>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 Private Placement of Units: September 2012 – March 2013</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Between September 2012 and March 2013, we sold 2,366,330 Units in a private placement to accredited investors and received cash proceeds of $1,133,200 and settled outstanding amounts payable for legal fees in lieu of cash payment for services in the amount of $50,000. The Units were sold for $0.50 per Unit and each Unit consisted of one restricted share of our common stock and a five year warrant to purchase one half of one restricted share of our common stock at an exercise price of $1.50 per share. In addition, in November 2012, pursuant to an Exchange Agreement, the holders of the February 2012 Notes exchanged the aggregate amount of $678,600 due under the terms of such notes for a total of 678,641 Units, consisting of 1,357,281 restricted shares of the Company's common stock and five-year warrants to purchase 678,641 restricted shares of the Company's common stock at an exercise price of $1.50 per share. The gross cash proceeds from this private placement of Units satisfied the Additional Financing Requirement under the October 2012 Agreement with Platinum, as amended, described above, entitling us to sell and requiring Platinum to purchase senior secured convertible promissory notes in the aggregate face amount of $1.0 million in February and March 2013.</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Convertible Notes and Warrants: February 2012</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On February 28, 2012, we consummated a private placement of convertible promissory notes to accredited investors in the aggregate principal amount of $500,000 (the </w:t>
      </w:r>
      <w:r>
        <w:rPr>
          <w:rFonts w:ascii="Arial" w:cs="Arial" w:eastAsia="Arial" w:hAnsi="Arial"/>
          <w:sz w:val="11"/>
          <w:szCs w:val="11"/>
          <w:i w:val="1"/>
          <w:iCs w:val="1"/>
          <w:color w:val="auto"/>
        </w:rPr>
        <w:t>Notes</w:t>
      </w:r>
      <w:r>
        <w:rPr>
          <w:rFonts w:ascii="Arial" w:cs="Arial" w:eastAsia="Arial" w:hAnsi="Arial"/>
          <w:sz w:val="11"/>
          <w:szCs w:val="11"/>
          <w:color w:val="auto"/>
        </w:rPr>
        <w:t xml:space="preserve">). Each Note accrued interest at the rate of 12% per annum to be paid in kind quarterly, and was scheduled to mature on the earlier to occur of twenty-four months from the date of issuance or consummation of an equity, equity-based or series of equity-based financings resulting in gross proceeds to us of at least $4.0 million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holder of each Note could voluntarily convert the outstanding principal amount of the Notes, together with all accrued and unpaid interest thereon (</w:t>
      </w:r>
      <w:r>
        <w:rPr>
          <w:rFonts w:ascii="Arial" w:cs="Arial" w:eastAsia="Arial" w:hAnsi="Arial"/>
          <w:sz w:val="11"/>
          <w:szCs w:val="11"/>
          <w:i w:val="1"/>
          <w:iCs w:val="1"/>
          <w:color w:val="auto"/>
        </w:rPr>
        <w:t>Outstanding Balance</w:t>
      </w:r>
      <w:r>
        <w:rPr>
          <w:rFonts w:ascii="Arial" w:cs="Arial" w:eastAsia="Arial" w:hAnsi="Arial"/>
          <w:sz w:val="11"/>
          <w:szCs w:val="11"/>
          <w:color w:val="auto"/>
        </w:rPr>
        <w:t xml:space="preserve">) into that number of shares of our common stock equal to the Outstanding Balance, divided by $3.00 (the </w:t>
      </w:r>
      <w:r>
        <w:rPr>
          <w:rFonts w:ascii="Arial" w:cs="Arial" w:eastAsia="Arial" w:hAnsi="Arial"/>
          <w:sz w:val="11"/>
          <w:szCs w:val="11"/>
          <w:i w:val="1"/>
          <w:iCs w:val="1"/>
          <w:color w:val="auto"/>
        </w:rPr>
        <w:t>Conversion Shares</w:t>
      </w:r>
      <w:r>
        <w:rPr>
          <w:rFonts w:ascii="Arial" w:cs="Arial" w:eastAsia="Arial" w:hAnsi="Arial"/>
          <w:sz w:val="11"/>
          <w:szCs w:val="11"/>
          <w:color w:val="auto"/>
        </w:rPr>
        <w:t>). In addition, in the event we consummated a Qualified Financing in which the price per unit of the securities sold, or share of common stock issuable in connection with such Qualified Financing, was at least $2.00, the Outstanding Balance would automatically convert into such securities.</w:t>
      </w:r>
    </w:p>
    <w:p>
      <w:pPr>
        <w:spacing w:after="0" w:line="129"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We also issued to the purchaser of each Note a warrant to purchase, for $2.75 per share, that number of shares of our common stock equal to 150% of the total principal amount of the Notes purchased by such purchaser, divided by $2.75, resulting in the potential issuance of an aggregate of 272,724 shares of our common stock upon exercise of the warrants. The warrants terminate, if not exercised, five years from the date of issuance.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69" w:name="page170"/>
    <w:bookmarkEnd w:id="169"/>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Noble Financial Capital Markets served as the lead placement agent for us in connection with the Note Offering and received cash fees totaling $21,000.</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November 15, 2012, the holders of the February 2012 Notes entered into an Exchange Agreement with us (</w:t>
      </w:r>
      <w:r>
        <w:rPr>
          <w:rFonts w:ascii="Arial" w:cs="Arial" w:eastAsia="Arial" w:hAnsi="Arial"/>
          <w:sz w:val="12"/>
          <w:szCs w:val="12"/>
          <w:i w:val="1"/>
          <w:iCs w:val="1"/>
          <w:color w:val="auto"/>
        </w:rPr>
        <w:t>Exchange Agreement</w:t>
      </w:r>
      <w:r>
        <w:rPr>
          <w:rFonts w:ascii="Arial" w:cs="Arial" w:eastAsia="Arial" w:hAnsi="Arial"/>
          <w:sz w:val="12"/>
          <w:szCs w:val="12"/>
          <w:color w:val="auto"/>
        </w:rPr>
        <w:t xml:space="preserve">). Under the terms of the Exchange Agreement, the current amount due under the terms of the February 2012 Notes, $678,600, which amount included all accrued interest as well as additional consideration for the conversion, was exchanged for a total of 1,357,281 restricted shares of our common stock and five-year warrants to purchase 678,641 restricted shares of our common stock at an exercise price of $1.50 per share (the </w:t>
      </w:r>
      <w:r>
        <w:rPr>
          <w:rFonts w:ascii="Arial" w:cs="Arial" w:eastAsia="Arial" w:hAnsi="Arial"/>
          <w:sz w:val="12"/>
          <w:szCs w:val="12"/>
          <w:i w:val="1"/>
          <w:iCs w:val="1"/>
          <w:color w:val="auto"/>
        </w:rPr>
        <w:t>Note Exchange Securities</w:t>
      </w:r>
      <w:r>
        <w:rPr>
          <w:rFonts w:ascii="Arial" w:cs="Arial" w:eastAsia="Arial" w:hAnsi="Arial"/>
          <w:sz w:val="12"/>
          <w:szCs w:val="12"/>
          <w:color w:val="auto"/>
        </w:rPr>
        <w:t>). Additionally, we issued a five-year warrant to purchase 72,000 restricted shares of our common stock at an exercise price of $1.50 per share as partial compensation to Noble Financial Capital Markets, the investment bank that had placed certain of the Notes.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October 2011 Private Placement</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During October 2011, we completed an additional private placement of Units to accredited investors. Each Unit was priced at $1.75 and consisted of one share of our common stock and a three-year warrant to purchase one-fourth of one share of our common stock at an exercise price of $2.50 per share. We sold a total of 63,570 Units and received aggregate cash proceeds of $111,248.</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Discounted Warrant Exercise Program: October – December 2011</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During the quarter ended December 31, 2011, certain accredited investors who were holders of outstanding warrants exercised such warrants to purchase an aggregate of 3,121,259 shares of our common stock at reduced exercise prices, including warrants to purchase 1,599,858 shares of common stock exercised by Platinum under the terms of the Note and Warrant Exchange Agreement, as described in Note 8 to our audited Financial Statements presented elsewhere in this prospectus. Platinum exercised warrants at reduced prices ranging from $0.75 per share to $1.25 per share, compared to original exercise prices ranging from $1.50 per share to $2.50 per share, resulting in proceeds to us of $1,719,823 which we applied to reduce the outstanding balance of the Platinum Note and accrued interest under the terms of the Note and Exchange Agreement.</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Other investors and service providers exercised warrants to purchase an aggregate of 1,028,860 shares of our common stock at reduced exercise prices ranging from $0.75 per share to $1.31 per share, compared to original exercise prices ranging from $1.50 per share to $2.625 per share. In conjunction with these exercises, we:</w:t>
      </w:r>
    </w:p>
    <w:p>
      <w:pPr>
        <w:spacing w:after="0" w:line="133" w:lineRule="exact"/>
        <w:rPr>
          <w:sz w:val="20"/>
          <w:szCs w:val="20"/>
          <w:color w:val="auto"/>
        </w:rPr>
      </w:pPr>
    </w:p>
    <w:p>
      <w:pPr>
        <w:ind w:left="540" w:hanging="314"/>
        <w:spacing w:after="0"/>
        <w:tabs>
          <w:tab w:leader="none" w:pos="5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issued 965,734 shares of our common stock and received cash proceeds of $1,106,129;</w:t>
      </w:r>
    </w:p>
    <w:p>
      <w:pPr>
        <w:spacing w:after="0" w:line="150" w:lineRule="exact"/>
        <w:rPr>
          <w:rFonts w:ascii="Arial" w:cs="Arial" w:eastAsia="Arial" w:hAnsi="Arial"/>
          <w:sz w:val="12"/>
          <w:szCs w:val="12"/>
          <w:color w:val="auto"/>
        </w:rPr>
      </w:pPr>
    </w:p>
    <w:p>
      <w:pPr>
        <w:ind w:left="540" w:hanging="314"/>
        <w:spacing w:after="0"/>
        <w:tabs>
          <w:tab w:leader="none" w:pos="5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issued 29,426 shares of our common stock to warrant holders who elected to exercise their warrants in lieu of payment by us in satisfaction of outstanding indebtedness to such holders totaling an aggregate of $30,128; and</w:t>
      </w:r>
    </w:p>
    <w:p>
      <w:pPr>
        <w:spacing w:after="0" w:line="161" w:lineRule="exact"/>
        <w:rPr>
          <w:rFonts w:ascii="Arial" w:cs="Arial" w:eastAsia="Arial" w:hAnsi="Arial"/>
          <w:sz w:val="11"/>
          <w:szCs w:val="11"/>
          <w:color w:val="auto"/>
        </w:rPr>
      </w:pPr>
    </w:p>
    <w:p>
      <w:pPr>
        <w:ind w:left="540" w:hanging="314"/>
        <w:spacing w:after="0" w:line="276" w:lineRule="auto"/>
        <w:tabs>
          <w:tab w:leader="none" w:pos="5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issued 33,700 shares of our common stock to warrant holders who elected to exercise their warrants in lieu of payment by us in satisfaction of payment for services in the aggregate amount of $41,343 to be performed in the future by such holders.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Additionally, in December 2011, we entered into an Agreement Regarding Payment of Invoices and Warrant Exercises with Cato Holding Company (</w:t>
      </w:r>
      <w:r>
        <w:rPr>
          <w:rFonts w:ascii="Arial" w:cs="Arial" w:eastAsia="Arial" w:hAnsi="Arial"/>
          <w:sz w:val="12"/>
          <w:szCs w:val="12"/>
          <w:i w:val="1"/>
          <w:iCs w:val="1"/>
          <w:color w:val="auto"/>
        </w:rPr>
        <w:t>CHC</w:t>
      </w:r>
      <w:r>
        <w:rPr>
          <w:rFonts w:ascii="Arial" w:cs="Arial" w:eastAsia="Arial" w:hAnsi="Arial"/>
          <w:sz w:val="12"/>
          <w:szCs w:val="12"/>
          <w:color w:val="auto"/>
        </w:rPr>
        <w:t>), Cato Research Ltd. (</w:t>
      </w:r>
      <w:r>
        <w:rPr>
          <w:rFonts w:ascii="Arial" w:cs="Arial" w:eastAsia="Arial" w:hAnsi="Arial"/>
          <w:sz w:val="12"/>
          <w:szCs w:val="12"/>
          <w:i w:val="1"/>
          <w:iCs w:val="1"/>
          <w:color w:val="auto"/>
        </w:rPr>
        <w:t>CRL</w:t>
      </w:r>
      <w:r>
        <w:rPr>
          <w:rFonts w:ascii="Arial" w:cs="Arial" w:eastAsia="Arial" w:hAnsi="Arial"/>
          <w:sz w:val="12"/>
          <w:szCs w:val="12"/>
          <w:color w:val="auto"/>
        </w:rPr>
        <w:t xml:space="preserve">), and certain individual warrant holders affiliated with CHC and CRL (collectively, </w:t>
      </w:r>
      <w:r>
        <w:rPr>
          <w:rFonts w:ascii="Arial" w:cs="Arial" w:eastAsia="Arial" w:hAnsi="Arial"/>
          <w:sz w:val="12"/>
          <w:szCs w:val="12"/>
          <w:i w:val="1"/>
          <w:iCs w:val="1"/>
          <w:color w:val="auto"/>
        </w:rPr>
        <w:t>CHC Affiliates</w:t>
      </w:r>
      <w:r>
        <w:rPr>
          <w:rFonts w:ascii="Arial" w:cs="Arial" w:eastAsia="Arial" w:hAnsi="Arial"/>
          <w:sz w:val="12"/>
          <w:szCs w:val="12"/>
          <w:color w:val="auto"/>
        </w:rPr>
        <w:t>) under the terms of which CHC and the CHC Affiliates exercised warrants to purchase an aggregate of 492,541 shares of our common stock at reduced exercise prices ranging from $0.88 per share to $1.25 per share, compared to original exercise prices ranging from $1.75 per share to $2.50 per share. As a result of these warrant exercises, we received cash proceeds of $60,207 in connection with the exercise of warrants to purchase 68,417 shares and, in lieu of cash payments for the remainder of the warrants to purchase 424,124 shares, CHC and CRL agreed to the satisfaction of outstanding indebtedness to CRL in the amount of $245,278 and pre-payment for future services in the amount of $226,449.</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2011 Common Stock Exchange Agreement with Platinum</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December 22, 2011, we entered into a Common Stock Exchange Agreement (</w:t>
      </w:r>
      <w:r>
        <w:rPr>
          <w:rFonts w:ascii="Arial" w:cs="Arial" w:eastAsia="Arial" w:hAnsi="Arial"/>
          <w:sz w:val="12"/>
          <w:szCs w:val="12"/>
          <w:i w:val="1"/>
          <w:iCs w:val="1"/>
          <w:color w:val="auto"/>
        </w:rPr>
        <w:t>Exchange Agreement</w:t>
      </w:r>
      <w:r>
        <w:rPr>
          <w:rFonts w:ascii="Arial" w:cs="Arial" w:eastAsia="Arial" w:hAnsi="Arial"/>
          <w:sz w:val="12"/>
          <w:szCs w:val="12"/>
          <w:color w:val="auto"/>
        </w:rPr>
        <w:t xml:space="preserve">) with Platinum, pursuant to which Platinum converted 484,000 restricted shares of our common stock into 45,980 restricted shares of our then newly created Series A Preferred (the </w:t>
      </w:r>
      <w:r>
        <w:rPr>
          <w:rFonts w:ascii="Arial" w:cs="Arial" w:eastAsia="Arial" w:hAnsi="Arial"/>
          <w:sz w:val="12"/>
          <w:szCs w:val="12"/>
          <w:i w:val="1"/>
          <w:iCs w:val="1"/>
          <w:color w:val="auto"/>
        </w:rPr>
        <w:t>Exchange</w:t>
      </w:r>
      <w:r>
        <w:rPr>
          <w:rFonts w:ascii="Arial" w:cs="Arial" w:eastAsia="Arial" w:hAnsi="Arial"/>
          <w:sz w:val="12"/>
          <w:szCs w:val="12"/>
          <w:color w:val="auto"/>
        </w:rPr>
        <w:t>). Each restricted share of Series A Preferred issued to Platinum was then convertible into ten restricted shares of our common stock, subsequently modified to be convertible into thirty (30) shares of our common stock. In consideration for the Exchange, the Series A Preferred received by Platinum in connection with the Exchange was convertible into the equivalent of 0.95 restricted shares of common stock surrendered in connection with the Exchange.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2011 Note and Warrant Exchange Agreement with Platinum</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On December 29, 2011, we entered into a Note and Warrant Exchange Agreement with Platinum pursuant to which the May 2011 Platinum Note and all outstanding warrants issued to Platinum to purchase an aggregate of 1,599,858 restricted shares of our common stock were cancelled in exchange for 391,075 restricted shares of our newly-created Series A Preferred . Each share of Series A Preferred was initially convertible into ten shares of our common stock. We issued 231,090 restricted shares of Series A Preferred to Platinum in connection with the note cancellation based on the sum of the $4,000,000 principal balance of the Platinum Note plus accrued but unpaid interest through May 11, 2011 adjusted for a 125% conversion premium, net of the $1,719,800 aggregate exercise price of the outstanding 1,599,858 warrants held by Platinum, and a contractual conversion basis of $1.75 per common share, all adjusted for the stated 1:10 Series A Preferred to common exchange ratio. We issued an additional 159,985 restricted shares of Series A Preferred to Platinum in connection with the warrant exercise and exchange to acquire the common shares issued upon the warrant exercise.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 Exchange Agreement with Platinum</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On June 29, 2012, we entered into an Exchange Agreement with Platinum (the </w:t>
      </w:r>
      <w:r>
        <w:rPr>
          <w:rFonts w:ascii="Arial" w:cs="Arial" w:eastAsia="Arial" w:hAnsi="Arial"/>
          <w:sz w:val="11"/>
          <w:szCs w:val="11"/>
          <w:i w:val="1"/>
          <w:iCs w:val="1"/>
          <w:color w:val="auto"/>
        </w:rPr>
        <w:t>2012 Platinum Exchange Agreement</w:t>
      </w:r>
      <w:r>
        <w:rPr>
          <w:rFonts w:ascii="Arial" w:cs="Arial" w:eastAsia="Arial" w:hAnsi="Arial"/>
          <w:sz w:val="11"/>
          <w:szCs w:val="11"/>
          <w:color w:val="auto"/>
        </w:rPr>
        <w:t>) pursuant to which we agreed to issue Platinum 62,945 restricted shares of Series A Preferred in exchange for 629,450 restricted shares of common stock then owned by Platinum, in consideration for Platinum’s agreement to purchase from us the July 2012 Platinum Note, as described above in the section entitled “</w:t>
      </w:r>
      <w:r>
        <w:rPr>
          <w:rFonts w:ascii="Arial" w:cs="Arial" w:eastAsia="Arial" w:hAnsi="Arial"/>
          <w:sz w:val="11"/>
          <w:szCs w:val="11"/>
          <w:i w:val="1"/>
          <w:iCs w:val="1"/>
          <w:color w:val="auto"/>
        </w:rPr>
        <w:t>Senior Secured Convertible Promissory</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Notes Issued to Platinum: July 2012 – July 2013. </w:t>
      </w:r>
      <w:r>
        <w:rPr>
          <w:rFonts w:ascii="Arial" w:cs="Arial" w:eastAsia="Arial" w:hAnsi="Arial"/>
          <w:sz w:val="11"/>
          <w:szCs w:val="11"/>
          <w:color w:val="auto"/>
        </w:rPr>
        <w:t>Under the terms of the 2012 Platinum Exchange Agreement, Platinum, at its option, could have exchanged all or a portion of its Series A Preferred for the securities issued in connection</w:t>
      </w:r>
      <w:r>
        <w:rPr>
          <w:rFonts w:ascii="Arial" w:cs="Arial" w:eastAsia="Arial" w:hAnsi="Arial"/>
          <w:sz w:val="11"/>
          <w:szCs w:val="11"/>
          <w:i w:val="1"/>
          <w:iCs w:val="1"/>
          <w:color w:val="auto"/>
        </w:rPr>
        <w:t xml:space="preserve"> </w:t>
      </w:r>
      <w:r>
        <w:rPr>
          <w:rFonts w:ascii="Arial" w:cs="Arial" w:eastAsia="Arial" w:hAnsi="Arial"/>
          <w:sz w:val="11"/>
          <w:szCs w:val="11"/>
          <w:color w:val="auto"/>
        </w:rPr>
        <w:t>with a qualified financing, an equity or equity-based financing, or series of financing transactions resulting in gross proceeds to the Company of at least $3.0 million, based on the stated value of $15.00 per share of Series A Preferred.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Morrison &amp; Foerster: May 2011, restructured August 2012</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May 5, 2011, we amended a previously-outstanding note (</w:t>
      </w:r>
      <w:r>
        <w:rPr>
          <w:rFonts w:ascii="Arial" w:cs="Arial" w:eastAsia="Arial" w:hAnsi="Arial"/>
          <w:sz w:val="12"/>
          <w:szCs w:val="12"/>
          <w:i w:val="1"/>
          <w:iCs w:val="1"/>
          <w:color w:val="auto"/>
        </w:rPr>
        <w:t>Original Note</w:t>
      </w:r>
      <w:r>
        <w:rPr>
          <w:rFonts w:ascii="Arial" w:cs="Arial" w:eastAsia="Arial" w:hAnsi="Arial"/>
          <w:sz w:val="12"/>
          <w:szCs w:val="12"/>
          <w:color w:val="auto"/>
        </w:rPr>
        <w:t>) issued to Morrison &amp; Foerster LLP (</w:t>
      </w:r>
      <w:r>
        <w:rPr>
          <w:rFonts w:ascii="Arial" w:cs="Arial" w:eastAsia="Arial" w:hAnsi="Arial"/>
          <w:sz w:val="12"/>
          <w:szCs w:val="12"/>
          <w:i w:val="1"/>
          <w:iCs w:val="1"/>
          <w:color w:val="auto"/>
        </w:rPr>
        <w:t>Morrison &amp; Foerster</w:t>
      </w:r>
      <w:r>
        <w:rPr>
          <w:rFonts w:ascii="Arial" w:cs="Arial" w:eastAsia="Arial" w:hAnsi="Arial"/>
          <w:sz w:val="12"/>
          <w:szCs w:val="12"/>
          <w:color w:val="auto"/>
        </w:rPr>
        <w:t xml:space="preserve">), our intellectual property counsel, that we had issued in payment of legal services (the </w:t>
      </w:r>
      <w:r>
        <w:rPr>
          <w:rFonts w:ascii="Arial" w:cs="Arial" w:eastAsia="Arial" w:hAnsi="Arial"/>
          <w:sz w:val="12"/>
          <w:szCs w:val="12"/>
          <w:i w:val="1"/>
          <w:iCs w:val="1"/>
          <w:color w:val="auto"/>
        </w:rPr>
        <w:t>Amended</w:t>
      </w:r>
      <w:r>
        <w:rPr>
          <w:rFonts w:ascii="Arial" w:cs="Arial" w:eastAsia="Arial" w:hAnsi="Arial"/>
          <w:sz w:val="12"/>
          <w:szCs w:val="12"/>
          <w:color w:val="auto"/>
        </w:rPr>
        <w:t xml:space="preserve"> </w:t>
      </w:r>
      <w:r>
        <w:rPr>
          <w:rFonts w:ascii="Arial" w:cs="Arial" w:eastAsia="Arial" w:hAnsi="Arial"/>
          <w:sz w:val="12"/>
          <w:szCs w:val="12"/>
          <w:i w:val="1"/>
          <w:iCs w:val="1"/>
          <w:color w:val="auto"/>
        </w:rPr>
        <w:t>Note</w:t>
      </w:r>
      <w:r>
        <w:rPr>
          <w:rFonts w:ascii="Arial" w:cs="Arial" w:eastAsia="Arial" w:hAnsi="Arial"/>
          <w:sz w:val="12"/>
          <w:szCs w:val="12"/>
          <w:color w:val="auto"/>
        </w:rPr>
        <w:t>). Under the Amended Note, the principal balance of the Original Note was increased to $2,200,000, interest accrued at the rate of 7.5% per annum, and we were required to make an additional payment of $100,000 within three</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days of the date of the Amended Note, which we made in a timely manner.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70" w:name="page171"/>
    <w:bookmarkEnd w:id="170"/>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0"/>
          <w:szCs w:val="10"/>
          <w:color w:val="auto"/>
        </w:rPr>
        <w:t>On August 31, 2012, we restructured the Amended Note (</w:t>
      </w:r>
      <w:r>
        <w:rPr>
          <w:rFonts w:ascii="Arial" w:cs="Arial" w:eastAsia="Arial" w:hAnsi="Arial"/>
          <w:sz w:val="10"/>
          <w:szCs w:val="10"/>
          <w:i w:val="1"/>
          <w:iCs w:val="1"/>
          <w:color w:val="auto"/>
        </w:rPr>
        <w:t>Restructuring Agreement</w:t>
      </w:r>
      <w:r>
        <w:rPr>
          <w:rFonts w:ascii="Arial" w:cs="Arial" w:eastAsia="Arial" w:hAnsi="Arial"/>
          <w:sz w:val="10"/>
          <w:szCs w:val="10"/>
          <w:color w:val="auto"/>
        </w:rPr>
        <w:t>). Pursuant to the Restructuring Agreement, we issued to Morrison &amp; Foerster two new unsecured promissory notes to replace the Amended Note, one in the principal amount of $1,000,000 (</w:t>
      </w:r>
      <w:r>
        <w:rPr>
          <w:rFonts w:ascii="Arial" w:cs="Arial" w:eastAsia="Arial" w:hAnsi="Arial"/>
          <w:sz w:val="10"/>
          <w:szCs w:val="10"/>
          <w:i w:val="1"/>
          <w:iCs w:val="1"/>
          <w:color w:val="auto"/>
        </w:rPr>
        <w:t>Replacement Note A</w:t>
      </w:r>
      <w:r>
        <w:rPr>
          <w:rFonts w:ascii="Arial" w:cs="Arial" w:eastAsia="Arial" w:hAnsi="Arial"/>
          <w:sz w:val="10"/>
          <w:szCs w:val="10"/>
          <w:color w:val="auto"/>
        </w:rPr>
        <w:t>) and the other in the principal amount of $1,379,400 (</w:t>
      </w:r>
      <w:r>
        <w:rPr>
          <w:rFonts w:ascii="Arial" w:cs="Arial" w:eastAsia="Arial" w:hAnsi="Arial"/>
          <w:sz w:val="10"/>
          <w:szCs w:val="10"/>
          <w:i w:val="1"/>
          <w:iCs w:val="1"/>
          <w:color w:val="auto"/>
        </w:rPr>
        <w:t>Replacement Note B</w:t>
      </w:r>
      <w:r>
        <w:rPr>
          <w:rFonts w:ascii="Arial" w:cs="Arial" w:eastAsia="Arial" w:hAnsi="Arial"/>
          <w:sz w:val="10"/>
          <w:szCs w:val="10"/>
          <w:color w:val="auto"/>
        </w:rPr>
        <w:t xml:space="preserve">) (together, the </w:t>
      </w:r>
      <w:r>
        <w:rPr>
          <w:rFonts w:ascii="Arial" w:cs="Arial" w:eastAsia="Arial" w:hAnsi="Arial"/>
          <w:sz w:val="10"/>
          <w:szCs w:val="10"/>
          <w:i w:val="1"/>
          <w:iCs w:val="1"/>
          <w:color w:val="auto"/>
        </w:rPr>
        <w:t>Replacement Notes</w:t>
      </w:r>
      <w:r>
        <w:rPr>
          <w:rFonts w:ascii="Arial" w:cs="Arial" w:eastAsia="Arial" w:hAnsi="Arial"/>
          <w:sz w:val="10"/>
          <w:szCs w:val="10"/>
          <w:color w:val="auto"/>
        </w:rPr>
        <w:t xml:space="preserve">); amended an outstanding warrant to purchase 425,000 restricted shares of our common stock (the </w:t>
      </w:r>
      <w:r>
        <w:rPr>
          <w:rFonts w:ascii="Arial" w:cs="Arial" w:eastAsia="Arial" w:hAnsi="Arial"/>
          <w:sz w:val="10"/>
          <w:szCs w:val="10"/>
          <w:i w:val="1"/>
          <w:iCs w:val="1"/>
          <w:color w:val="auto"/>
        </w:rPr>
        <w:t>Amended M&amp;F Warrant</w:t>
      </w:r>
      <w:r>
        <w:rPr>
          <w:rFonts w:ascii="Arial" w:cs="Arial" w:eastAsia="Arial" w:hAnsi="Arial"/>
          <w:sz w:val="10"/>
          <w:szCs w:val="10"/>
          <w:color w:val="auto"/>
        </w:rPr>
        <w:t>); and issued a new warrant to purchase 1,379,376 restricted shares of our common stock (</w:t>
      </w:r>
      <w:r>
        <w:rPr>
          <w:rFonts w:ascii="Arial" w:cs="Arial" w:eastAsia="Arial" w:hAnsi="Arial"/>
          <w:sz w:val="10"/>
          <w:szCs w:val="10"/>
          <w:i w:val="1"/>
          <w:iCs w:val="1"/>
          <w:color w:val="auto"/>
        </w:rPr>
        <w:t>New M&amp;F Warrant</w:t>
      </w:r>
      <w:r>
        <w:rPr>
          <w:rFonts w:ascii="Arial" w:cs="Arial" w:eastAsia="Arial" w:hAnsi="Arial"/>
          <w:sz w:val="10"/>
          <w:szCs w:val="10"/>
          <w:color w:val="auto"/>
        </w:rPr>
        <w:t>). Under the terms of the Restructuring Agreement, the Amended Note was cancelled and all of our past due payment obligations under the Amended Note were satisfied. We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required monthly payments of $15,000 per month through March 31, 2013, and $25,000 per month thereafter until maturity. For strategic purposes, we have not made the payments required on Replacement Note A since April 2013 and accordingly, the interest rate on the Replacement Notes has increased to 10.0 % per annum from May 2013 until payments resume. Payment of the principal and interest on Replacement Note B will be made solely in restricted shares of our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will have the option to require payment of Replacement Note B in cash upon the occurrence of a change in control of the Company or an event of default, and only in such circumstances. As of the date of this prospectus, the aggregate principal and accrued interest of Replacement Note A and Replacement Note B is approximately $2.5 million.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University Health Network (UHN): October 2012</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On October 10, 2012, we issued to UHN: (i) an unsecured promissory note in the principal amount of $549,500, which is payable solely in restricted shares of our common stock and which accrues interest at the rate of 7.5% per annum, as payment in full for all sponsored stem cell research and development activities by UHN and Gordon Keller, Ph.D. under our Sponsored Research Collaboration Agreement through September 30, 2012 (the </w:t>
      </w:r>
      <w:r>
        <w:rPr>
          <w:rFonts w:ascii="Arial" w:cs="Arial" w:eastAsia="Arial" w:hAnsi="Arial"/>
          <w:sz w:val="11"/>
          <w:szCs w:val="11"/>
          <w:i w:val="1"/>
          <w:iCs w:val="1"/>
          <w:color w:val="auto"/>
        </w:rPr>
        <w:t>UHN Note</w:t>
      </w:r>
      <w:r>
        <w:rPr>
          <w:rFonts w:ascii="Arial" w:cs="Arial" w:eastAsia="Arial" w:hAnsi="Arial"/>
          <w:sz w:val="11"/>
          <w:szCs w:val="11"/>
          <w:color w:val="auto"/>
        </w:rPr>
        <w:t xml:space="preserve">), and (ii) a five-year warrant to purchase, at a price of $1.00 per share, 549,500 restricted shares of our common stock, the amount equal to the sum of the principal amount of the UHN Note, plus all accrued interest thereon, divided by $1.00 per share (the </w:t>
      </w:r>
      <w:r>
        <w:rPr>
          <w:rFonts w:ascii="Arial" w:cs="Arial" w:eastAsia="Arial" w:hAnsi="Arial"/>
          <w:sz w:val="11"/>
          <w:szCs w:val="11"/>
          <w:i w:val="1"/>
          <w:iCs w:val="1"/>
          <w:color w:val="auto"/>
        </w:rPr>
        <w:t>UHN Warrant</w:t>
      </w:r>
      <w:r>
        <w:rPr>
          <w:rFonts w:ascii="Arial" w:cs="Arial" w:eastAsia="Arial" w:hAnsi="Arial"/>
          <w:sz w:val="11"/>
          <w:szCs w:val="11"/>
          <w:color w:val="auto"/>
        </w:rPr>
        <w:t>). The UHN Note is due and payable on March 31, 2016 and is payable solely by UHN's surrender from time to time of all or a portion of the principal and interest balance due on the UHN Note in connection with its</w:t>
      </w:r>
      <w:r>
        <w:rPr>
          <w:rFonts w:ascii="Arial" w:cs="Arial" w:eastAsia="Arial" w:hAnsi="Arial"/>
          <w:sz w:val="11"/>
          <w:szCs w:val="11"/>
          <w:i w:val="1"/>
          <w:iCs w:val="1"/>
          <w:color w:val="auto"/>
        </w:rPr>
        <w:t xml:space="preserve"> </w:t>
      </w:r>
      <w:r>
        <w:rPr>
          <w:rFonts w:ascii="Arial" w:cs="Arial" w:eastAsia="Arial" w:hAnsi="Arial"/>
          <w:sz w:val="11"/>
          <w:szCs w:val="11"/>
          <w:color w:val="auto"/>
        </w:rPr>
        <w:t>concurrent exercise of the UHN Warrant, provided, however, that UHN will have the option to require payment of the UHN Note in cash upon the occurrence of a change in control of the Company or an event of default, and only in such circumstances. As of the date of this prospectus, the aggregate principal and accrued interest of the UHN Note is approximately $0.6 million.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Cato Holding Company: April 2011, Restructured October 2012</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In April 2011, all amounts we owed to CHC, a related party, and its affiliates, were consolidated into a single note, in the principal amount of $352,300 (the </w:t>
      </w:r>
      <w:r>
        <w:rPr>
          <w:rFonts w:ascii="Arial" w:cs="Arial" w:eastAsia="Arial" w:hAnsi="Arial"/>
          <w:sz w:val="11"/>
          <w:szCs w:val="11"/>
          <w:i w:val="1"/>
          <w:iCs w:val="1"/>
          <w:color w:val="auto"/>
        </w:rPr>
        <w:t>2011 CHC Note</w:t>
      </w:r>
      <w:r>
        <w:rPr>
          <w:rFonts w:ascii="Arial" w:cs="Arial" w:eastAsia="Arial" w:hAnsi="Arial"/>
          <w:sz w:val="11"/>
          <w:szCs w:val="11"/>
          <w:color w:val="auto"/>
        </w:rPr>
        <w:t>). Concurrently, CHC released all of its security interests in certain of our personal property. The 2011 CHC note was to bear interest at 7% per annum, compounded monthly. Under the terms of the note, we were to make six monthly payments of $10,000 each beginning June 1, 2011, and thereafter to make payments of $12,500 monthly until the 2011 CHC Note was repaid in full. We had the option to prepay the outstanding balance in full or in part at any time during its term without penalty.</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On October 10, 2012, we agreed with CHC to cancel the 2011 CHC Note in exchange for a new unsecured promissory note in the principal amount of $310,400 (the </w:t>
      </w:r>
      <w:r>
        <w:rPr>
          <w:rFonts w:ascii="Arial" w:cs="Arial" w:eastAsia="Arial" w:hAnsi="Arial"/>
          <w:sz w:val="11"/>
          <w:szCs w:val="11"/>
          <w:i w:val="1"/>
          <w:iCs w:val="1"/>
          <w:color w:val="auto"/>
        </w:rPr>
        <w:t>2012 CHC Note</w:t>
      </w:r>
      <w:r>
        <w:rPr>
          <w:rFonts w:ascii="Arial" w:cs="Arial" w:eastAsia="Arial" w:hAnsi="Arial"/>
          <w:sz w:val="11"/>
          <w:szCs w:val="11"/>
          <w:color w:val="auto"/>
        </w:rPr>
        <w:t xml:space="preserve">) and a five-year warrant to purchase 250,000 shares of our common stock at a price of $1.50 per share (the </w:t>
      </w:r>
      <w:r>
        <w:rPr>
          <w:rFonts w:ascii="Arial" w:cs="Arial" w:eastAsia="Arial" w:hAnsi="Arial"/>
          <w:sz w:val="11"/>
          <w:szCs w:val="11"/>
          <w:i w:val="1"/>
          <w:iCs w:val="1"/>
          <w:color w:val="auto"/>
        </w:rPr>
        <w:t>CHC Warrant</w:t>
      </w:r>
      <w:r>
        <w:rPr>
          <w:rFonts w:ascii="Arial" w:cs="Arial" w:eastAsia="Arial" w:hAnsi="Arial"/>
          <w:sz w:val="11"/>
          <w:szCs w:val="11"/>
          <w:color w:val="auto"/>
        </w:rPr>
        <w:t>). The 2012 CHC Note accrues interest at a rate of 7.5% per annum and is due and payable in monthly installments of $10,000, beginning November 1, 2012 and continuing until the outstanding balance is paid in full. As of the date of this prospectus, the aggregate principal and accrued interest of the 2012 CHC Note is approximately $0.3 million.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71" w:name="page172"/>
    <w:bookmarkEnd w:id="171"/>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Cato Research Ltd: October 2012</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On October 10, 2012, we issued to CLR, a related party: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w:t>
      </w:r>
      <w:r>
        <w:rPr>
          <w:rFonts w:ascii="Arial" w:cs="Arial" w:eastAsia="Arial" w:hAnsi="Arial"/>
          <w:sz w:val="11"/>
          <w:szCs w:val="11"/>
          <w:i w:val="1"/>
          <w:iCs w:val="1"/>
          <w:color w:val="auto"/>
        </w:rPr>
        <w:t>CRO Services</w:t>
      </w:r>
      <w:r>
        <w:rPr>
          <w:rFonts w:ascii="Arial" w:cs="Arial" w:eastAsia="Arial" w:hAnsi="Arial"/>
          <w:sz w:val="11"/>
          <w:szCs w:val="11"/>
          <w:color w:val="auto"/>
        </w:rPr>
        <w:t xml:space="preserve">) rendered by CRL to us and our affiliates through December 31, 2012 with respect to the preclinical and clinical development of AV-101, and (ii) a five-year warrant to purchase, at a price of $1.00 per share, 1,009,000 restricted shares of our common stock, the amount equal to the sum of the principal amount of the CRL Note, plus all accrued interest thereon, divided by $1.00 per share (the </w:t>
      </w:r>
      <w:r>
        <w:rPr>
          <w:rFonts w:ascii="Arial" w:cs="Arial" w:eastAsia="Arial" w:hAnsi="Arial"/>
          <w:sz w:val="11"/>
          <w:szCs w:val="11"/>
          <w:i w:val="1"/>
          <w:iCs w:val="1"/>
          <w:color w:val="auto"/>
        </w:rPr>
        <w:t>CRL Warrant</w:t>
      </w:r>
      <w:r>
        <w:rPr>
          <w:rFonts w:ascii="Arial" w:cs="Arial" w:eastAsia="Arial" w:hAnsi="Arial"/>
          <w:sz w:val="11"/>
          <w:szCs w:val="11"/>
          <w:color w:val="auto"/>
        </w:rPr>
        <w:t>). The principal amount of the CRL Note may, at our option, be automatically increased as a result of future CRO Services rendered by CRL to us and our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 As of the date of this prospectus, the aggregate principal and accrued interest of the CRL Note is approximately $1.1 million.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Proceeds from each of the offerings were used for general corporate purposes. All of the above sales were made in reliance on Section 4(a)(2)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4(a)(2)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15"/>
        </w:trPr>
        <w:tc>
          <w:tcPr>
            <w:tcW w:w="660" w:type="dxa"/>
            <w:vAlign w:val="bottom"/>
            <w:tcBorders>
              <w:bottom w:val="single" w:sz="8" w:color="0000EE"/>
            </w:tcBorders>
            <w:gridSpan w:val="3"/>
          </w:tcPr>
          <w:p>
            <w:pPr>
              <w:spacing w:after="0"/>
              <w:rPr>
                <w:rFonts w:ascii="Arial" w:cs="Arial" w:eastAsia="Arial" w:hAnsi="Arial"/>
                <w:sz w:val="10"/>
                <w:szCs w:val="10"/>
                <w:i w:val="1"/>
                <w:iCs w:val="1"/>
                <w:color w:val="0000EE"/>
                <w:w w:val="81"/>
              </w:rPr>
            </w:pPr>
            <w:hyperlink w:anchor="page6">
              <w:r>
                <w:rPr>
                  <w:rFonts w:ascii="Arial" w:cs="Arial" w:eastAsia="Arial" w:hAnsi="Arial"/>
                  <w:sz w:val="10"/>
                  <w:szCs w:val="10"/>
                  <w:i w:val="1"/>
                  <w:iCs w:val="1"/>
                  <w:color w:val="0000EE"/>
                  <w:w w:val="81"/>
                </w:rPr>
                <w:t>Table of Contents</w:t>
              </w:r>
            </w:hyperlink>
          </w:p>
        </w:tc>
        <w:tc>
          <w:tcPr>
            <w:tcW w:w="106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95"/>
        </w:trPr>
        <w:tc>
          <w:tcPr>
            <w:tcW w:w="160" w:type="dxa"/>
            <w:vAlign w:val="bottom"/>
            <w:gridSpan w:val="2"/>
          </w:tcPr>
          <w:p>
            <w:pPr>
              <w:spacing w:after="0"/>
              <w:rPr>
                <w:sz w:val="20"/>
                <w:szCs w:val="20"/>
                <w:color w:val="auto"/>
              </w:rPr>
            </w:pPr>
            <w:r>
              <w:rPr>
                <w:rFonts w:ascii="Arial" w:cs="Arial" w:eastAsia="Arial" w:hAnsi="Arial"/>
                <w:sz w:val="12"/>
                <w:szCs w:val="12"/>
                <w:b w:val="1"/>
                <w:bCs w:val="1"/>
                <w:color w:val="auto"/>
                <w:w w:val="83"/>
              </w:rPr>
              <w:t>16.</w:t>
            </w:r>
          </w:p>
        </w:tc>
        <w:tc>
          <w:tcPr>
            <w:tcW w:w="11320" w:type="dxa"/>
            <w:vAlign w:val="bottom"/>
            <w:gridSpan w:val="3"/>
          </w:tcPr>
          <w:p>
            <w:pPr>
              <w:ind w:left="20"/>
              <w:spacing w:after="0"/>
              <w:rPr>
                <w:sz w:val="20"/>
                <w:szCs w:val="20"/>
                <w:color w:val="auto"/>
              </w:rPr>
            </w:pPr>
            <w:r>
              <w:rPr>
                <w:rFonts w:ascii="Arial" w:cs="Arial" w:eastAsia="Arial" w:hAnsi="Arial"/>
                <w:sz w:val="12"/>
                <w:szCs w:val="12"/>
                <w:b w:val="1"/>
                <w:bCs w:val="1"/>
                <w:color w:val="auto"/>
              </w:rPr>
              <w:t>Exhibits and Financial Statement Schedules</w:t>
            </w:r>
          </w:p>
        </w:tc>
      </w:tr>
      <w:tr>
        <w:trPr>
          <w:trHeight w:val="288"/>
        </w:trPr>
        <w:tc>
          <w:tcPr>
            <w:tcW w:w="660" w:type="dxa"/>
            <w:vAlign w:val="bottom"/>
            <w:gridSpan w:val="3"/>
          </w:tcPr>
          <w:p>
            <w:pPr>
              <w:spacing w:after="0"/>
              <w:rPr>
                <w:sz w:val="20"/>
                <w:szCs w:val="20"/>
                <w:color w:val="auto"/>
              </w:rPr>
            </w:pPr>
            <w:r>
              <w:rPr>
                <w:rFonts w:ascii="Arial" w:cs="Arial" w:eastAsia="Arial" w:hAnsi="Arial"/>
                <w:sz w:val="12"/>
                <w:szCs w:val="12"/>
                <w:color w:val="auto"/>
              </w:rPr>
              <w:t>(a) Exhibits</w:t>
            </w:r>
          </w:p>
        </w:tc>
        <w:tc>
          <w:tcPr>
            <w:tcW w:w="10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8"/>
        </w:trPr>
        <w:tc>
          <w:tcPr>
            <w:tcW w:w="660" w:type="dxa"/>
            <w:vAlign w:val="bottom"/>
            <w:gridSpan w:val="3"/>
          </w:tcPr>
          <w:p>
            <w:pPr>
              <w:spacing w:after="0"/>
              <w:rPr>
                <w:sz w:val="20"/>
                <w:szCs w:val="20"/>
                <w:color w:val="auto"/>
              </w:rPr>
            </w:pPr>
            <w:r>
              <w:rPr>
                <w:rFonts w:ascii="Arial" w:cs="Arial" w:eastAsia="Arial" w:hAnsi="Arial"/>
                <w:sz w:val="12"/>
                <w:szCs w:val="12"/>
                <w:color w:val="auto"/>
              </w:rPr>
              <w:t>Exhibit No.</w:t>
            </w:r>
          </w:p>
        </w:tc>
        <w:tc>
          <w:tcPr>
            <w:tcW w:w="10820" w:type="dxa"/>
            <w:vAlign w:val="bottom"/>
            <w:gridSpan w:val="2"/>
          </w:tcPr>
          <w:p>
            <w:pPr>
              <w:ind w:left="640"/>
              <w:spacing w:after="0"/>
              <w:rPr>
                <w:sz w:val="20"/>
                <w:szCs w:val="20"/>
                <w:color w:val="auto"/>
              </w:rPr>
            </w:pPr>
            <w:r>
              <w:rPr>
                <w:rFonts w:ascii="Arial" w:cs="Arial" w:eastAsia="Arial" w:hAnsi="Arial"/>
                <w:sz w:val="12"/>
                <w:szCs w:val="12"/>
                <w:color w:val="auto"/>
              </w:rPr>
              <w:t>Description*</w:t>
            </w:r>
          </w:p>
        </w:tc>
      </w:tr>
      <w:tr>
        <w:trPr>
          <w:trHeight w:val="142"/>
        </w:trPr>
        <w:tc>
          <w:tcPr>
            <w:tcW w:w="20" w:type="dxa"/>
            <w:vAlign w:val="bottom"/>
          </w:tcPr>
          <w:p>
            <w:pPr>
              <w:spacing w:after="0"/>
              <w:rPr>
                <w:sz w:val="12"/>
                <w:szCs w:val="12"/>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71"/>
              </w:rPr>
              <w:t>2.1</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6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rPr>
              <w:t>Agreement and Plan of Merger by and among Excaliber Enterprises, Ltd., VistaGen Therapeutics, Inc. and Excaliber Merger Subsidiary, Inc.</w:t>
            </w:r>
          </w:p>
        </w:tc>
        <w:tc>
          <w:tcPr>
            <w:tcW w:w="14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w w:val="71"/>
              </w:rPr>
              <w:t>3.1</w:t>
            </w:r>
          </w:p>
        </w:tc>
        <w:tc>
          <w:tcPr>
            <w:tcW w:w="500" w:type="dxa"/>
            <w:vAlign w:val="bottom"/>
          </w:tcPr>
          <w:p>
            <w:pPr>
              <w:ind w:left="20"/>
              <w:spacing w:after="0"/>
              <w:rPr>
                <w:sz w:val="20"/>
                <w:szCs w:val="20"/>
                <w:color w:val="auto"/>
              </w:rPr>
            </w:pPr>
            <w:r>
              <w:rPr>
                <w:rFonts w:ascii="Arial" w:cs="Arial" w:eastAsia="Arial" w:hAnsi="Arial"/>
                <w:sz w:val="12"/>
                <w:szCs w:val="12"/>
                <w:color w:val="auto"/>
              </w:rPr>
              <w:t>*</w:t>
            </w:r>
          </w:p>
        </w:tc>
        <w:tc>
          <w:tcPr>
            <w:tcW w:w="10820" w:type="dxa"/>
            <w:vAlign w:val="bottom"/>
            <w:gridSpan w:val="2"/>
          </w:tcPr>
          <w:p>
            <w:pPr>
              <w:ind w:left="640"/>
              <w:spacing w:after="0"/>
              <w:rPr>
                <w:sz w:val="20"/>
                <w:szCs w:val="20"/>
                <w:color w:val="auto"/>
              </w:rPr>
            </w:pPr>
            <w:r>
              <w:rPr>
                <w:rFonts w:ascii="Arial" w:cs="Arial" w:eastAsia="Arial" w:hAnsi="Arial"/>
                <w:sz w:val="12"/>
                <w:szCs w:val="12"/>
                <w:color w:val="auto"/>
              </w:rPr>
              <w:t>Articles of Incorporation, dated October 6, 2005.</w:t>
            </w:r>
          </w:p>
        </w:tc>
      </w:tr>
      <w:tr>
        <w:trPr>
          <w:trHeight w:val="144"/>
        </w:trPr>
        <w:tc>
          <w:tcPr>
            <w:tcW w:w="20" w:type="dxa"/>
            <w:vAlign w:val="bottom"/>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w w:val="71"/>
              </w:rPr>
              <w:t>3.2</w:t>
            </w:r>
          </w:p>
        </w:tc>
        <w:tc>
          <w:tcPr>
            <w:tcW w:w="500" w:type="dxa"/>
            <w:vAlign w:val="bottom"/>
            <w:shd w:val="clear" w:color="auto" w:fill="CCEEFF"/>
          </w:tcPr>
          <w:p>
            <w:pPr>
              <w:spacing w:after="0"/>
              <w:rPr>
                <w:sz w:val="12"/>
                <w:szCs w:val="12"/>
                <w:color w:val="auto"/>
              </w:rPr>
            </w:pPr>
          </w:p>
        </w:tc>
        <w:tc>
          <w:tcPr>
            <w:tcW w:w="108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w w:val="96"/>
              </w:rPr>
              <w:t>Certificate of Amendment filed with the Nevada Secretary of State on December 6, 2011, incorporated by reference from Exhibit 3.3 to the Company's Annual Report on Form 10-K, filed July 2, 2012.</w:t>
            </w:r>
          </w:p>
        </w:tc>
      </w:tr>
      <w:tr>
        <w:trPr>
          <w:trHeight w:val="144"/>
        </w:trPr>
        <w:tc>
          <w:tcPr>
            <w:tcW w:w="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w w:val="71"/>
              </w:rPr>
              <w:t>3.3</w:t>
            </w:r>
          </w:p>
        </w:tc>
        <w:tc>
          <w:tcPr>
            <w:tcW w:w="500" w:type="dxa"/>
            <w:vAlign w:val="bottom"/>
          </w:tcPr>
          <w:p>
            <w:pPr>
              <w:spacing w:after="0"/>
              <w:rPr>
                <w:sz w:val="12"/>
                <w:szCs w:val="12"/>
                <w:color w:val="auto"/>
              </w:rPr>
            </w:pPr>
          </w:p>
        </w:tc>
        <w:tc>
          <w:tcPr>
            <w:tcW w:w="10820" w:type="dxa"/>
            <w:vAlign w:val="bottom"/>
            <w:gridSpan w:val="2"/>
          </w:tcPr>
          <w:p>
            <w:pPr>
              <w:ind w:left="640"/>
              <w:spacing w:after="0"/>
              <w:rPr>
                <w:sz w:val="20"/>
                <w:szCs w:val="20"/>
                <w:color w:val="auto"/>
              </w:rPr>
            </w:pPr>
            <w:r>
              <w:rPr>
                <w:rFonts w:ascii="Arial" w:cs="Arial" w:eastAsia="Arial" w:hAnsi="Arial"/>
                <w:sz w:val="12"/>
                <w:szCs w:val="12"/>
                <w:color w:val="auto"/>
              </w:rPr>
              <w:t>Amended and Restated Bylaws as of February 5, 2014, incorporated by reference from the Company’s Report on Form 8-K filed on February 7, 2014.</w:t>
            </w:r>
          </w:p>
        </w:tc>
      </w:tr>
      <w:tr>
        <w:trPr>
          <w:trHeight w:val="144"/>
        </w:trPr>
        <w:tc>
          <w:tcPr>
            <w:tcW w:w="20" w:type="dxa"/>
            <w:vAlign w:val="bottom"/>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w w:val="71"/>
              </w:rPr>
              <w:t>3.4</w:t>
            </w:r>
          </w:p>
        </w:tc>
        <w:tc>
          <w:tcPr>
            <w:tcW w:w="500" w:type="dxa"/>
            <w:vAlign w:val="bottom"/>
            <w:shd w:val="clear" w:color="auto" w:fill="CCEEFF"/>
          </w:tcPr>
          <w:p>
            <w:pPr>
              <w:spacing w:after="0"/>
              <w:rPr>
                <w:sz w:val="12"/>
                <w:szCs w:val="12"/>
                <w:color w:val="auto"/>
              </w:rPr>
            </w:pPr>
          </w:p>
        </w:tc>
        <w:tc>
          <w:tcPr>
            <w:tcW w:w="108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Articles of Merger filed with the Nevada Secretary of State on May 24, 2011, incorporated by reference from Exhibit 3.1 to the Company's Current Report on Form 8-K filed on May 31, 2011.</w:t>
            </w:r>
          </w:p>
        </w:tc>
      </w:tr>
      <w:tr>
        <w:trPr>
          <w:trHeight w:val="144"/>
        </w:trPr>
        <w:tc>
          <w:tcPr>
            <w:tcW w:w="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w w:val="71"/>
              </w:rPr>
              <w:t>3.5</w:t>
            </w:r>
          </w:p>
        </w:tc>
        <w:tc>
          <w:tcPr>
            <w:tcW w:w="500" w:type="dxa"/>
            <w:vAlign w:val="bottom"/>
          </w:tcPr>
          <w:p>
            <w:pPr>
              <w:spacing w:after="0"/>
              <w:rPr>
                <w:sz w:val="12"/>
                <w:szCs w:val="12"/>
                <w:color w:val="auto"/>
              </w:rPr>
            </w:pPr>
          </w:p>
        </w:tc>
        <w:tc>
          <w:tcPr>
            <w:tcW w:w="10820" w:type="dxa"/>
            <w:vAlign w:val="bottom"/>
            <w:gridSpan w:val="2"/>
          </w:tcPr>
          <w:p>
            <w:pPr>
              <w:ind w:left="640"/>
              <w:spacing w:after="0"/>
              <w:rPr>
                <w:sz w:val="20"/>
                <w:szCs w:val="20"/>
                <w:color w:val="auto"/>
              </w:rPr>
            </w:pPr>
            <w:r>
              <w:rPr>
                <w:rFonts w:ascii="Arial" w:cs="Arial" w:eastAsia="Arial" w:hAnsi="Arial"/>
                <w:sz w:val="12"/>
                <w:szCs w:val="12"/>
                <w:color w:val="auto"/>
              </w:rPr>
              <w:t>Certificate of Designations Series A Preferred, incorporated by reference from Exhibit 3.1 to the Company’s Current Report on Form 8-K filed on December 23, 2011.</w:t>
            </w:r>
          </w:p>
        </w:tc>
      </w:tr>
      <w:tr>
        <w:trPr>
          <w:trHeight w:val="144"/>
        </w:trPr>
        <w:tc>
          <w:tcPr>
            <w:tcW w:w="20" w:type="dxa"/>
            <w:vAlign w:val="bottom"/>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w w:val="71"/>
              </w:rPr>
              <w:t>5.1</w:t>
            </w:r>
          </w:p>
        </w:tc>
        <w:tc>
          <w:tcPr>
            <w:tcW w:w="500" w:type="dxa"/>
            <w:vAlign w:val="bottom"/>
            <w:shd w:val="clear" w:color="auto" w:fill="CCEEFF"/>
          </w:tcPr>
          <w:p>
            <w:pPr>
              <w:spacing w:after="0"/>
              <w:rPr>
                <w:sz w:val="12"/>
                <w:szCs w:val="12"/>
                <w:color w:val="auto"/>
              </w:rPr>
            </w:pPr>
          </w:p>
        </w:tc>
        <w:tc>
          <w:tcPr>
            <w:tcW w:w="108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Opinion of Disclosure Law Group (to be filed by amendment).</w:t>
            </w:r>
          </w:p>
        </w:tc>
      </w:tr>
      <w:tr>
        <w:trPr>
          <w:trHeight w:val="144"/>
        </w:trPr>
        <w:tc>
          <w:tcPr>
            <w:tcW w:w="2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2"/>
                <w:szCs w:val="12"/>
                <w:color w:val="auto"/>
              </w:rPr>
              <w:t>10.1 *</w:t>
            </w:r>
          </w:p>
        </w:tc>
        <w:tc>
          <w:tcPr>
            <w:tcW w:w="10820" w:type="dxa"/>
            <w:vAlign w:val="bottom"/>
            <w:gridSpan w:val="2"/>
          </w:tcPr>
          <w:p>
            <w:pPr>
              <w:ind w:left="640"/>
              <w:spacing w:after="0"/>
              <w:rPr>
                <w:sz w:val="20"/>
                <w:szCs w:val="20"/>
                <w:color w:val="auto"/>
              </w:rPr>
            </w:pPr>
            <w:r>
              <w:rPr>
                <w:rFonts w:ascii="Arial" w:cs="Arial" w:eastAsia="Arial" w:hAnsi="Arial"/>
                <w:sz w:val="12"/>
                <w:szCs w:val="12"/>
                <w:color w:val="auto"/>
              </w:rPr>
              <w:t>VistaGen’s 1999 Stock Incentive Plan.</w:t>
            </w:r>
          </w:p>
        </w:tc>
      </w:tr>
      <w:tr>
        <w:trPr>
          <w:trHeight w:val="144"/>
        </w:trPr>
        <w:tc>
          <w:tcPr>
            <w:tcW w:w="20" w:type="dxa"/>
            <w:vAlign w:val="bottom"/>
          </w:tcPr>
          <w:p>
            <w:pPr>
              <w:spacing w:after="0"/>
              <w:rPr>
                <w:sz w:val="12"/>
                <w:szCs w:val="12"/>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10.2 *</w:t>
            </w:r>
          </w:p>
        </w:tc>
        <w:tc>
          <w:tcPr>
            <w:tcW w:w="108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Form of Option Agreement under VistaGen’s 1999 Stock Incentive Plan.</w:t>
            </w:r>
          </w:p>
        </w:tc>
      </w:tr>
      <w:tr>
        <w:trPr>
          <w:trHeight w:val="144"/>
        </w:trPr>
        <w:tc>
          <w:tcPr>
            <w:tcW w:w="2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2"/>
                <w:szCs w:val="12"/>
                <w:color w:val="auto"/>
              </w:rPr>
              <w:t>10.5 *</w:t>
            </w:r>
          </w:p>
        </w:tc>
        <w:tc>
          <w:tcPr>
            <w:tcW w:w="10820" w:type="dxa"/>
            <w:vAlign w:val="bottom"/>
            <w:gridSpan w:val="2"/>
          </w:tcPr>
          <w:p>
            <w:pPr>
              <w:ind w:left="640"/>
              <w:spacing w:after="0"/>
              <w:rPr>
                <w:sz w:val="20"/>
                <w:szCs w:val="20"/>
                <w:color w:val="auto"/>
              </w:rPr>
            </w:pPr>
            <w:r>
              <w:rPr>
                <w:rFonts w:ascii="Arial" w:cs="Arial" w:eastAsia="Arial" w:hAnsi="Arial"/>
                <w:sz w:val="12"/>
                <w:szCs w:val="12"/>
                <w:color w:val="auto"/>
              </w:rPr>
              <w:t>VistaGen’s 2008 Stock Incentive Plan.</w:t>
            </w:r>
          </w:p>
        </w:tc>
      </w:tr>
      <w:tr>
        <w:trPr>
          <w:trHeight w:val="144"/>
        </w:trPr>
        <w:tc>
          <w:tcPr>
            <w:tcW w:w="20" w:type="dxa"/>
            <w:vAlign w:val="bottom"/>
          </w:tcPr>
          <w:p>
            <w:pPr>
              <w:spacing w:after="0"/>
              <w:rPr>
                <w:sz w:val="12"/>
                <w:szCs w:val="12"/>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10.6 *</w:t>
            </w:r>
          </w:p>
        </w:tc>
        <w:tc>
          <w:tcPr>
            <w:tcW w:w="108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Form of Option Agreement under VistaGen’s 2008 Stock Incentive Plan.</w:t>
            </w:r>
          </w:p>
        </w:tc>
      </w:tr>
      <w:tr>
        <w:trPr>
          <w:trHeight w:val="144"/>
        </w:trPr>
        <w:tc>
          <w:tcPr>
            <w:tcW w:w="2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2"/>
                <w:szCs w:val="12"/>
                <w:color w:val="auto"/>
              </w:rPr>
              <w:t>10.20 *</w:t>
            </w:r>
          </w:p>
        </w:tc>
        <w:tc>
          <w:tcPr>
            <w:tcW w:w="10820" w:type="dxa"/>
            <w:vAlign w:val="bottom"/>
            <w:gridSpan w:val="2"/>
          </w:tcPr>
          <w:p>
            <w:pPr>
              <w:ind w:left="640"/>
              <w:spacing w:after="0"/>
              <w:rPr>
                <w:sz w:val="20"/>
                <w:szCs w:val="20"/>
                <w:color w:val="auto"/>
              </w:rPr>
            </w:pPr>
            <w:r>
              <w:rPr>
                <w:rFonts w:ascii="Arial" w:cs="Arial" w:eastAsia="Arial" w:hAnsi="Arial"/>
                <w:sz w:val="12"/>
                <w:szCs w:val="12"/>
                <w:color w:val="auto"/>
              </w:rPr>
              <w:t>Strategic Development Services Agreement, dated February 26, 2007, by and between VistaGen and Cato Research Ltd.</w:t>
            </w:r>
          </w:p>
        </w:tc>
      </w:tr>
      <w:tr>
        <w:trPr>
          <w:trHeight w:val="135"/>
        </w:trPr>
        <w:tc>
          <w:tcPr>
            <w:tcW w:w="20" w:type="dxa"/>
            <w:vAlign w:val="bottom"/>
          </w:tcPr>
          <w:p>
            <w:pPr>
              <w:spacing w:after="0"/>
              <w:rPr>
                <w:sz w:val="11"/>
                <w:szCs w:val="11"/>
                <w:color w:val="auto"/>
              </w:rPr>
            </w:pPr>
          </w:p>
        </w:tc>
        <w:tc>
          <w:tcPr>
            <w:tcW w:w="6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10.21 *</w:t>
            </w:r>
          </w:p>
        </w:tc>
        <w:tc>
          <w:tcPr>
            <w:tcW w:w="10820" w:type="dxa"/>
            <w:vAlign w:val="bottom"/>
            <w:gridSpan w:val="2"/>
            <w:shd w:val="clear" w:color="auto" w:fill="CCEEFF"/>
          </w:tcPr>
          <w:p>
            <w:pPr>
              <w:ind w:left="640"/>
              <w:spacing w:after="0" w:line="136" w:lineRule="exact"/>
              <w:rPr>
                <w:sz w:val="20"/>
                <w:szCs w:val="20"/>
                <w:color w:val="auto"/>
              </w:rPr>
            </w:pPr>
            <w:r>
              <w:rPr>
                <w:rFonts w:ascii="Arial" w:cs="Arial" w:eastAsia="Arial" w:hAnsi="Arial"/>
                <w:sz w:val="12"/>
                <w:szCs w:val="12"/>
                <w:color w:val="auto"/>
                <w:w w:val="90"/>
              </w:rPr>
              <w:t>License Agreement by and between National Jewish Medical and Research Center and VistaGen, dated July 12, 1999, as amended by that certain Amendment to License Agreement dated January 25, 2001, as</w:t>
            </w:r>
          </w:p>
        </w:tc>
      </w:tr>
      <w:tr>
        <w:trPr>
          <w:trHeight w:val="144"/>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w w:val="91"/>
              </w:rPr>
              <w:t>amended by that certain Second Amendment to License Agreement dated November 6, 2002, as amended by that certain Third Amendment to License Agreement dated March 1, 2003, and as amended by that</w:t>
            </w:r>
          </w:p>
        </w:tc>
      </w:tr>
      <w:tr>
        <w:trPr>
          <w:trHeight w:val="153"/>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certain Fourth Amendment to License Agreement dated April 15, 2010.</w:t>
            </w:r>
          </w:p>
        </w:tc>
      </w:tr>
      <w:tr>
        <w:trPr>
          <w:trHeight w:val="144"/>
        </w:trPr>
        <w:tc>
          <w:tcPr>
            <w:tcW w:w="2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2"/>
                <w:szCs w:val="12"/>
                <w:color w:val="auto"/>
              </w:rPr>
              <w:t>10.22 *</w:t>
            </w:r>
          </w:p>
        </w:tc>
        <w:tc>
          <w:tcPr>
            <w:tcW w:w="10820" w:type="dxa"/>
            <w:vAlign w:val="bottom"/>
            <w:gridSpan w:val="2"/>
          </w:tcPr>
          <w:p>
            <w:pPr>
              <w:ind w:left="640"/>
              <w:spacing w:after="0"/>
              <w:rPr>
                <w:sz w:val="20"/>
                <w:szCs w:val="20"/>
                <w:color w:val="auto"/>
              </w:rPr>
            </w:pPr>
            <w:r>
              <w:rPr>
                <w:rFonts w:ascii="Arial" w:cs="Arial" w:eastAsia="Arial" w:hAnsi="Arial"/>
                <w:sz w:val="12"/>
                <w:szCs w:val="12"/>
                <w:color w:val="auto"/>
              </w:rPr>
              <w:t>License Agreement by and between Mount Sinai School of Medicine of New York University and the Company, dated October 1, 2004.</w:t>
            </w:r>
          </w:p>
        </w:tc>
      </w:tr>
      <w:tr>
        <w:trPr>
          <w:trHeight w:val="135"/>
        </w:trPr>
        <w:tc>
          <w:tcPr>
            <w:tcW w:w="20" w:type="dxa"/>
            <w:vAlign w:val="bottom"/>
          </w:tcPr>
          <w:p>
            <w:pPr>
              <w:spacing w:after="0"/>
              <w:rPr>
                <w:sz w:val="11"/>
                <w:szCs w:val="11"/>
                <w:color w:val="auto"/>
              </w:rPr>
            </w:pPr>
          </w:p>
        </w:tc>
        <w:tc>
          <w:tcPr>
            <w:tcW w:w="6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10.23 *</w:t>
            </w:r>
          </w:p>
        </w:tc>
        <w:tc>
          <w:tcPr>
            <w:tcW w:w="10820" w:type="dxa"/>
            <w:vAlign w:val="bottom"/>
            <w:gridSpan w:val="2"/>
            <w:shd w:val="clear" w:color="auto" w:fill="CCEEFF"/>
          </w:tcPr>
          <w:p>
            <w:pPr>
              <w:ind w:left="640"/>
              <w:spacing w:after="0" w:line="136" w:lineRule="exact"/>
              <w:rPr>
                <w:sz w:val="20"/>
                <w:szCs w:val="20"/>
                <w:color w:val="auto"/>
              </w:rPr>
            </w:pPr>
            <w:r>
              <w:rPr>
                <w:rFonts w:ascii="Arial" w:cs="Arial" w:eastAsia="Arial" w:hAnsi="Arial"/>
                <w:sz w:val="12"/>
                <w:szCs w:val="12"/>
                <w:color w:val="auto"/>
                <w:w w:val="95"/>
              </w:rPr>
              <w:t>Non-Exclusive License Agreement, dated December 5, 2008, by and between VistaGen and Wisconsin Alumni Research Foundation, as amended by that certain Wisconsin Materials Addendum, dated</w:t>
            </w:r>
          </w:p>
        </w:tc>
      </w:tr>
      <w:tr>
        <w:trPr>
          <w:trHeight w:val="153"/>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February 2, 2009.</w:t>
            </w:r>
          </w:p>
        </w:tc>
      </w:tr>
      <w:tr>
        <w:trPr>
          <w:trHeight w:val="135"/>
        </w:trPr>
        <w:tc>
          <w:tcPr>
            <w:tcW w:w="20" w:type="dxa"/>
            <w:vAlign w:val="bottom"/>
          </w:tcPr>
          <w:p>
            <w:pPr>
              <w:spacing w:after="0"/>
              <w:rPr>
                <w:sz w:val="11"/>
                <w:szCs w:val="11"/>
                <w:color w:val="auto"/>
              </w:rPr>
            </w:pPr>
          </w:p>
        </w:tc>
        <w:tc>
          <w:tcPr>
            <w:tcW w:w="640" w:type="dxa"/>
            <w:vAlign w:val="bottom"/>
            <w:gridSpan w:val="2"/>
          </w:tcPr>
          <w:p>
            <w:pPr>
              <w:spacing w:after="0" w:line="136" w:lineRule="exact"/>
              <w:rPr>
                <w:sz w:val="20"/>
                <w:szCs w:val="20"/>
                <w:color w:val="auto"/>
              </w:rPr>
            </w:pPr>
            <w:r>
              <w:rPr>
                <w:rFonts w:ascii="Arial" w:cs="Arial" w:eastAsia="Arial" w:hAnsi="Arial"/>
                <w:sz w:val="12"/>
                <w:szCs w:val="12"/>
                <w:color w:val="auto"/>
              </w:rPr>
              <w:t>10.24 *</w:t>
            </w:r>
          </w:p>
        </w:tc>
        <w:tc>
          <w:tcPr>
            <w:tcW w:w="10820" w:type="dxa"/>
            <w:vAlign w:val="bottom"/>
            <w:gridSpan w:val="2"/>
          </w:tcPr>
          <w:p>
            <w:pPr>
              <w:ind w:left="640"/>
              <w:spacing w:after="0" w:line="136" w:lineRule="exact"/>
              <w:rPr>
                <w:sz w:val="20"/>
                <w:szCs w:val="20"/>
                <w:color w:val="auto"/>
              </w:rPr>
            </w:pPr>
            <w:r>
              <w:rPr>
                <w:rFonts w:ascii="Arial" w:cs="Arial" w:eastAsia="Arial" w:hAnsi="Arial"/>
                <w:sz w:val="12"/>
                <w:szCs w:val="12"/>
                <w:color w:val="auto"/>
                <w:w w:val="91"/>
              </w:rPr>
              <w:t>Sponsored Research Collaboration Agreement, dated September 18, 2007, between VistaGen and University Health Network, as amended by that certain Amendment No. 1 and Amendment No. 2, dated April</w:t>
            </w:r>
          </w:p>
        </w:tc>
      </w:tr>
      <w:tr>
        <w:trPr>
          <w:trHeight w:val="153"/>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20" w:type="dxa"/>
            <w:vAlign w:val="bottom"/>
            <w:gridSpan w:val="2"/>
          </w:tcPr>
          <w:p>
            <w:pPr>
              <w:ind w:left="640"/>
              <w:spacing w:after="0"/>
              <w:rPr>
                <w:sz w:val="20"/>
                <w:szCs w:val="20"/>
                <w:color w:val="auto"/>
              </w:rPr>
            </w:pPr>
            <w:r>
              <w:rPr>
                <w:rFonts w:ascii="Arial" w:cs="Arial" w:eastAsia="Arial" w:hAnsi="Arial"/>
                <w:sz w:val="12"/>
                <w:szCs w:val="12"/>
                <w:color w:val="auto"/>
              </w:rPr>
              <w:t>19, 2010 and December 15, 2010, respectively.</w:t>
            </w:r>
          </w:p>
        </w:tc>
      </w:tr>
      <w:tr>
        <w:trPr>
          <w:trHeight w:val="144"/>
        </w:trPr>
        <w:tc>
          <w:tcPr>
            <w:tcW w:w="20" w:type="dxa"/>
            <w:vAlign w:val="bottom"/>
          </w:tcPr>
          <w:p>
            <w:pPr>
              <w:spacing w:after="0"/>
              <w:rPr>
                <w:sz w:val="12"/>
                <w:szCs w:val="12"/>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10.26 *</w:t>
            </w:r>
          </w:p>
        </w:tc>
        <w:tc>
          <w:tcPr>
            <w:tcW w:w="108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License Agreement, dated October 24, 2001, by and between the University of Maryland, Baltimore, Cornell Research Foundation and Artemis Neuroscience, Inc.</w:t>
            </w:r>
          </w:p>
        </w:tc>
      </w:tr>
      <w:tr>
        <w:trPr>
          <w:trHeight w:val="144"/>
        </w:trPr>
        <w:tc>
          <w:tcPr>
            <w:tcW w:w="2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2"/>
                <w:szCs w:val="12"/>
                <w:color w:val="auto"/>
              </w:rPr>
              <w:t>10.27 *</w:t>
            </w:r>
          </w:p>
        </w:tc>
        <w:tc>
          <w:tcPr>
            <w:tcW w:w="10820" w:type="dxa"/>
            <w:vAlign w:val="bottom"/>
            <w:gridSpan w:val="2"/>
          </w:tcPr>
          <w:p>
            <w:pPr>
              <w:ind w:left="640"/>
              <w:spacing w:after="0"/>
              <w:rPr>
                <w:sz w:val="20"/>
                <w:szCs w:val="20"/>
                <w:color w:val="auto"/>
              </w:rPr>
            </w:pPr>
            <w:r>
              <w:rPr>
                <w:rFonts w:ascii="Arial" w:cs="Arial" w:eastAsia="Arial" w:hAnsi="Arial"/>
                <w:sz w:val="12"/>
                <w:szCs w:val="12"/>
                <w:color w:val="auto"/>
              </w:rPr>
              <w:t>Non-exclusive License Agreement, dated September 1, 2010, by and between VistaGen and TET Systems GmbH &amp; Co. KG.</w:t>
            </w:r>
          </w:p>
        </w:tc>
      </w:tr>
      <w:tr>
        <w:trPr>
          <w:trHeight w:val="144"/>
        </w:trPr>
        <w:tc>
          <w:tcPr>
            <w:tcW w:w="20" w:type="dxa"/>
            <w:vAlign w:val="bottom"/>
          </w:tcPr>
          <w:p>
            <w:pPr>
              <w:spacing w:after="0"/>
              <w:rPr>
                <w:sz w:val="12"/>
                <w:szCs w:val="12"/>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10.31 *</w:t>
            </w:r>
          </w:p>
        </w:tc>
        <w:tc>
          <w:tcPr>
            <w:tcW w:w="108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Unsecured Promissory Note dated April 28, 2011 issued by VistaGen to Desjardins Securities.</w:t>
            </w:r>
          </w:p>
        </w:tc>
      </w:tr>
      <w:tr>
        <w:trPr>
          <w:trHeight w:val="144"/>
        </w:trPr>
        <w:tc>
          <w:tcPr>
            <w:tcW w:w="2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2"/>
                <w:szCs w:val="12"/>
                <w:color w:val="auto"/>
              </w:rPr>
              <w:t>10.32 *</w:t>
            </w:r>
          </w:p>
        </w:tc>
        <w:tc>
          <w:tcPr>
            <w:tcW w:w="10820" w:type="dxa"/>
            <w:vAlign w:val="bottom"/>
            <w:gridSpan w:val="2"/>
          </w:tcPr>
          <w:p>
            <w:pPr>
              <w:ind w:left="640"/>
              <w:spacing w:after="0"/>
              <w:rPr>
                <w:sz w:val="20"/>
                <w:szCs w:val="20"/>
                <w:color w:val="auto"/>
              </w:rPr>
            </w:pPr>
            <w:r>
              <w:rPr>
                <w:rFonts w:ascii="Arial" w:cs="Arial" w:eastAsia="Arial" w:hAnsi="Arial"/>
                <w:sz w:val="12"/>
                <w:szCs w:val="12"/>
                <w:color w:val="auto"/>
              </w:rPr>
              <w:t>Unsecured Promissory Note dated April 28, 2011 issued by VistaGen to McCarthy Tetrault LLP.</w:t>
            </w:r>
          </w:p>
        </w:tc>
      </w:tr>
      <w:tr>
        <w:trPr>
          <w:trHeight w:val="144"/>
        </w:trPr>
        <w:tc>
          <w:tcPr>
            <w:tcW w:w="20" w:type="dxa"/>
            <w:vAlign w:val="bottom"/>
          </w:tcPr>
          <w:p>
            <w:pPr>
              <w:spacing w:after="0"/>
              <w:rPr>
                <w:sz w:val="12"/>
                <w:szCs w:val="12"/>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10.34 *</w:t>
            </w:r>
          </w:p>
        </w:tc>
        <w:tc>
          <w:tcPr>
            <w:tcW w:w="108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Promissory Note dated February 25, 2010 issued by VistaGen to The Regents of the University of California.</w:t>
            </w:r>
          </w:p>
        </w:tc>
      </w:tr>
      <w:tr>
        <w:trPr>
          <w:trHeight w:val="144"/>
        </w:trPr>
        <w:tc>
          <w:tcPr>
            <w:tcW w:w="2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2"/>
                <w:szCs w:val="12"/>
                <w:color w:val="auto"/>
              </w:rPr>
              <w:t>10.40 *</w:t>
            </w:r>
          </w:p>
        </w:tc>
        <w:tc>
          <w:tcPr>
            <w:tcW w:w="10820" w:type="dxa"/>
            <w:vAlign w:val="bottom"/>
            <w:gridSpan w:val="2"/>
          </w:tcPr>
          <w:p>
            <w:pPr>
              <w:ind w:left="640"/>
              <w:spacing w:after="0"/>
              <w:rPr>
                <w:sz w:val="20"/>
                <w:szCs w:val="20"/>
                <w:color w:val="auto"/>
              </w:rPr>
            </w:pPr>
            <w:r>
              <w:rPr>
                <w:rFonts w:ascii="Arial" w:cs="Arial" w:eastAsia="Arial" w:hAnsi="Arial"/>
                <w:sz w:val="12"/>
                <w:szCs w:val="12"/>
                <w:color w:val="auto"/>
              </w:rPr>
              <w:t>Employment Agreement, by and between, VistaGen and Shawn K. Singh, dated April 28, 2010, as amended May 9, 2011.</w:t>
            </w:r>
          </w:p>
        </w:tc>
      </w:tr>
      <w:tr>
        <w:trPr>
          <w:trHeight w:val="144"/>
        </w:trPr>
        <w:tc>
          <w:tcPr>
            <w:tcW w:w="20" w:type="dxa"/>
            <w:vAlign w:val="bottom"/>
          </w:tcPr>
          <w:p>
            <w:pPr>
              <w:spacing w:after="0"/>
              <w:rPr>
                <w:sz w:val="12"/>
                <w:szCs w:val="12"/>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10.41 *</w:t>
            </w:r>
          </w:p>
        </w:tc>
        <w:tc>
          <w:tcPr>
            <w:tcW w:w="108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Employment Agreement, by and between, VistaGen and H. Ralph Snodgrass, PhD, dated April 28, 2010, as amended May 9, 2011.</w:t>
            </w:r>
          </w:p>
        </w:tc>
      </w:tr>
      <w:tr>
        <w:trPr>
          <w:trHeight w:val="135"/>
        </w:trPr>
        <w:tc>
          <w:tcPr>
            <w:tcW w:w="20" w:type="dxa"/>
            <w:vAlign w:val="bottom"/>
          </w:tcPr>
          <w:p>
            <w:pPr>
              <w:spacing w:after="0"/>
              <w:rPr>
                <w:sz w:val="11"/>
                <w:szCs w:val="11"/>
                <w:color w:val="auto"/>
              </w:rPr>
            </w:pPr>
          </w:p>
        </w:tc>
        <w:tc>
          <w:tcPr>
            <w:tcW w:w="640" w:type="dxa"/>
            <w:vAlign w:val="bottom"/>
            <w:gridSpan w:val="2"/>
          </w:tcPr>
          <w:p>
            <w:pPr>
              <w:spacing w:after="0" w:line="136" w:lineRule="exact"/>
              <w:rPr>
                <w:sz w:val="20"/>
                <w:szCs w:val="20"/>
                <w:color w:val="auto"/>
              </w:rPr>
            </w:pPr>
            <w:r>
              <w:rPr>
                <w:rFonts w:ascii="Arial" w:cs="Arial" w:eastAsia="Arial" w:hAnsi="Arial"/>
                <w:sz w:val="12"/>
                <w:szCs w:val="12"/>
                <w:color w:val="auto"/>
              </w:rPr>
              <w:t>10.46</w:t>
            </w:r>
          </w:p>
        </w:tc>
        <w:tc>
          <w:tcPr>
            <w:tcW w:w="10820" w:type="dxa"/>
            <w:vAlign w:val="bottom"/>
            <w:gridSpan w:val="2"/>
          </w:tcPr>
          <w:p>
            <w:pPr>
              <w:ind w:left="640"/>
              <w:spacing w:after="0" w:line="136" w:lineRule="exact"/>
              <w:rPr>
                <w:sz w:val="20"/>
                <w:szCs w:val="20"/>
                <w:color w:val="auto"/>
              </w:rPr>
            </w:pPr>
            <w:r>
              <w:rPr>
                <w:rFonts w:ascii="Arial" w:cs="Arial" w:eastAsia="Arial" w:hAnsi="Arial"/>
                <w:sz w:val="12"/>
                <w:szCs w:val="12"/>
                <w:color w:val="auto"/>
                <w:w w:val="95"/>
              </w:rPr>
              <w:t>Notice of Award by National Institutes of Health, Small Business Innovation Research Program, to VistaGen Therapeutics, Inc. for project, Clinical Development of 4-CI-KYN to Treat Pain dated June 22,</w:t>
            </w:r>
          </w:p>
        </w:tc>
      </w:tr>
      <w:tr>
        <w:trPr>
          <w:trHeight w:val="153"/>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20" w:type="dxa"/>
            <w:vAlign w:val="bottom"/>
            <w:gridSpan w:val="2"/>
          </w:tcPr>
          <w:p>
            <w:pPr>
              <w:ind w:left="640"/>
              <w:spacing w:after="0"/>
              <w:rPr>
                <w:sz w:val="20"/>
                <w:szCs w:val="20"/>
                <w:color w:val="auto"/>
              </w:rPr>
            </w:pPr>
            <w:r>
              <w:rPr>
                <w:rFonts w:ascii="Arial" w:cs="Arial" w:eastAsia="Arial" w:hAnsi="Arial"/>
                <w:sz w:val="12"/>
                <w:szCs w:val="12"/>
                <w:color w:val="auto"/>
              </w:rPr>
              <w:t>2009, with revisions dated July 19, 2010 and August 9, 2011, incorporated by reference from Exhibit 10.46 to the Company’s Current Report on Form 8-K/A filed on December 20, 2011.</w:t>
            </w:r>
          </w:p>
        </w:tc>
      </w:tr>
    </w:tbl>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15"/>
        </w:trPr>
        <w:tc>
          <w:tcPr>
            <w:tcW w:w="980" w:type="dxa"/>
            <w:vAlign w:val="bottom"/>
            <w:gridSpan w:val="3"/>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10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10.47</w:t>
            </w:r>
          </w:p>
        </w:tc>
        <w:tc>
          <w:tcPr>
            <w:tcW w:w="320" w:type="dxa"/>
            <w:vAlign w:val="bottom"/>
            <w:shd w:val="clear" w:color="auto" w:fill="CCEEFF"/>
          </w:tcPr>
          <w:p>
            <w:pPr>
              <w:spacing w:after="0"/>
              <w:rPr>
                <w:sz w:val="11"/>
                <w:szCs w:val="11"/>
                <w:color w:val="auto"/>
              </w:rPr>
            </w:pPr>
          </w:p>
        </w:tc>
        <w:tc>
          <w:tcPr>
            <w:tcW w:w="10500" w:type="dxa"/>
            <w:vAlign w:val="bottom"/>
            <w:shd w:val="clear" w:color="auto" w:fill="CCEEFF"/>
          </w:tcPr>
          <w:p>
            <w:pPr>
              <w:ind w:left="320"/>
              <w:spacing w:after="0" w:line="136" w:lineRule="exact"/>
              <w:rPr>
                <w:sz w:val="20"/>
                <w:szCs w:val="20"/>
                <w:color w:val="auto"/>
              </w:rPr>
            </w:pPr>
            <w:r>
              <w:rPr>
                <w:rFonts w:ascii="Arial" w:cs="Arial" w:eastAsia="Arial" w:hAnsi="Arial"/>
                <w:sz w:val="12"/>
                <w:szCs w:val="12"/>
                <w:color w:val="auto"/>
                <w:w w:val="93"/>
              </w:rPr>
              <w:t>Notice of Grant Award by California Institute of Regenerative Medicine and VistaGen Therapeutics, Inc. for Project: Development of an hES Cell-Based Assay System for Hepatocyte Differentiation Studies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and Predictive Toxicology Drug Screening, dated April 1, 2009, incorporated by reference from Exhibit 10.47 to the Company’s Current Report on Form 8-K/A filed on December 20,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color w:val="auto"/>
              </w:rPr>
              <w:t>10.48</w:t>
            </w:r>
          </w:p>
        </w:tc>
        <w:tc>
          <w:tcPr>
            <w:tcW w:w="320" w:type="dxa"/>
            <w:vAlign w:val="bottom"/>
          </w:tcPr>
          <w:p>
            <w:pPr>
              <w:spacing w:after="0"/>
              <w:rPr>
                <w:sz w:val="11"/>
                <w:szCs w:val="11"/>
                <w:color w:val="auto"/>
              </w:rPr>
            </w:pPr>
          </w:p>
        </w:tc>
        <w:tc>
          <w:tcPr>
            <w:tcW w:w="10500" w:type="dxa"/>
            <w:vAlign w:val="bottom"/>
          </w:tcPr>
          <w:p>
            <w:pPr>
              <w:ind w:left="320"/>
              <w:spacing w:after="0" w:line="136" w:lineRule="exact"/>
              <w:rPr>
                <w:sz w:val="20"/>
                <w:szCs w:val="20"/>
                <w:color w:val="auto"/>
              </w:rPr>
            </w:pPr>
            <w:r>
              <w:rPr>
                <w:rFonts w:ascii="Arial" w:cs="Arial" w:eastAsia="Arial" w:hAnsi="Arial"/>
                <w:sz w:val="12"/>
                <w:szCs w:val="12"/>
                <w:color w:val="auto"/>
                <w:w w:val="92"/>
              </w:rPr>
              <w:t>Amendment No. 4, dated October 24, 2011, to Sponsored Research Collaboration Agreement between VistaGen and University Health Network, incorporated by reference from Exhibit 10.2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ind w:left="320"/>
              <w:spacing w:after="0"/>
              <w:rPr>
                <w:sz w:val="20"/>
                <w:szCs w:val="20"/>
                <w:color w:val="auto"/>
              </w:rPr>
            </w:pPr>
            <w:r>
              <w:rPr>
                <w:rFonts w:ascii="Arial" w:cs="Arial" w:eastAsia="Arial" w:hAnsi="Arial"/>
                <w:sz w:val="12"/>
                <w:szCs w:val="12"/>
                <w:color w:val="auto"/>
              </w:rPr>
              <w:t>Current Report on Form 8-K filed on November 30,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10.49</w:t>
            </w:r>
          </w:p>
        </w:tc>
        <w:tc>
          <w:tcPr>
            <w:tcW w:w="320" w:type="dxa"/>
            <w:vAlign w:val="bottom"/>
            <w:shd w:val="clear" w:color="auto" w:fill="CCEEFF"/>
          </w:tcPr>
          <w:p>
            <w:pPr>
              <w:spacing w:after="0"/>
              <w:rPr>
                <w:sz w:val="11"/>
                <w:szCs w:val="11"/>
                <w:color w:val="auto"/>
              </w:rPr>
            </w:pPr>
          </w:p>
        </w:tc>
        <w:tc>
          <w:tcPr>
            <w:tcW w:w="10500" w:type="dxa"/>
            <w:vAlign w:val="bottom"/>
            <w:shd w:val="clear" w:color="auto" w:fill="CCEEFF"/>
          </w:tcPr>
          <w:p>
            <w:pPr>
              <w:ind w:left="320"/>
              <w:spacing w:after="0" w:line="136" w:lineRule="exact"/>
              <w:rPr>
                <w:sz w:val="20"/>
                <w:szCs w:val="20"/>
                <w:color w:val="auto"/>
              </w:rPr>
            </w:pPr>
            <w:r>
              <w:rPr>
                <w:rFonts w:ascii="Arial" w:cs="Arial" w:eastAsia="Arial" w:hAnsi="Arial"/>
                <w:sz w:val="12"/>
                <w:szCs w:val="12"/>
                <w:color w:val="auto"/>
                <w:w w:val="92"/>
              </w:rPr>
              <w:t>License Agreement No. 1, dated as of October 24, 2011 between University Health Network and VistaGen Therapeutics, Inc., incorporated by reference from Exhibit 10.1 to the Company’s Current Report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Form 8-K filed on November 30,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color w:val="auto"/>
              </w:rPr>
              <w:t>10.50</w:t>
            </w:r>
          </w:p>
        </w:tc>
        <w:tc>
          <w:tcPr>
            <w:tcW w:w="320" w:type="dxa"/>
            <w:vAlign w:val="bottom"/>
          </w:tcPr>
          <w:p>
            <w:pPr>
              <w:spacing w:after="0"/>
              <w:rPr>
                <w:sz w:val="11"/>
                <w:szCs w:val="11"/>
                <w:color w:val="auto"/>
              </w:rPr>
            </w:pPr>
          </w:p>
        </w:tc>
        <w:tc>
          <w:tcPr>
            <w:tcW w:w="10500" w:type="dxa"/>
            <w:vAlign w:val="bottom"/>
          </w:tcPr>
          <w:p>
            <w:pPr>
              <w:ind w:left="320"/>
              <w:spacing w:after="0" w:line="136" w:lineRule="exact"/>
              <w:rPr>
                <w:sz w:val="20"/>
                <w:szCs w:val="20"/>
                <w:color w:val="auto"/>
              </w:rPr>
            </w:pPr>
            <w:r>
              <w:rPr>
                <w:rFonts w:ascii="Arial" w:cs="Arial" w:eastAsia="Arial" w:hAnsi="Arial"/>
                <w:sz w:val="12"/>
                <w:szCs w:val="12"/>
                <w:color w:val="auto"/>
                <w:w w:val="94"/>
              </w:rPr>
              <w:t>Strategic Medicinal Chemistry Services Agreement, dated as of December 6, 2011, between Synterys, Inc. and VistaGen Therapeutics, Inc., incorporated by reference from Exhibit 10.1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ind w:left="320"/>
              <w:spacing w:after="0"/>
              <w:rPr>
                <w:sz w:val="20"/>
                <w:szCs w:val="20"/>
                <w:color w:val="auto"/>
              </w:rPr>
            </w:pPr>
            <w:r>
              <w:rPr>
                <w:rFonts w:ascii="Arial" w:cs="Arial" w:eastAsia="Arial" w:hAnsi="Arial"/>
                <w:sz w:val="12"/>
                <w:szCs w:val="12"/>
                <w:color w:val="auto"/>
              </w:rPr>
              <w:t>Current Report on Form 8-K filed on December 7,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10.51</w:t>
            </w:r>
          </w:p>
        </w:tc>
        <w:tc>
          <w:tcPr>
            <w:tcW w:w="320" w:type="dxa"/>
            <w:vAlign w:val="bottom"/>
            <w:shd w:val="clear" w:color="auto" w:fill="CCEEFF"/>
          </w:tcPr>
          <w:p>
            <w:pPr>
              <w:spacing w:after="0"/>
              <w:rPr>
                <w:sz w:val="11"/>
                <w:szCs w:val="11"/>
                <w:color w:val="auto"/>
              </w:rPr>
            </w:pPr>
          </w:p>
        </w:tc>
        <w:tc>
          <w:tcPr>
            <w:tcW w:w="10500" w:type="dxa"/>
            <w:vAlign w:val="bottom"/>
            <w:shd w:val="clear" w:color="auto" w:fill="CCEEFF"/>
          </w:tcPr>
          <w:p>
            <w:pPr>
              <w:ind w:left="320"/>
              <w:spacing w:after="0" w:line="136" w:lineRule="exact"/>
              <w:rPr>
                <w:sz w:val="20"/>
                <w:szCs w:val="20"/>
                <w:color w:val="auto"/>
              </w:rPr>
            </w:pPr>
            <w:r>
              <w:rPr>
                <w:rFonts w:ascii="Arial" w:cs="Arial" w:eastAsia="Arial" w:hAnsi="Arial"/>
                <w:sz w:val="12"/>
                <w:szCs w:val="12"/>
                <w:color w:val="auto"/>
                <w:w w:val="95"/>
              </w:rPr>
              <w:t>Common Stock Exchange Agreement, dated as of December 22, 2011 between Platinum Long Term Growth VII, LLC and VistaGen Therapeutics, Inc., incorporated by reference from Exhibit 10.1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Company’s Current Report on Form 8-K filed on December 23,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color w:val="auto"/>
              </w:rPr>
              <w:t>10.52</w:t>
            </w:r>
          </w:p>
        </w:tc>
        <w:tc>
          <w:tcPr>
            <w:tcW w:w="320" w:type="dxa"/>
            <w:vAlign w:val="bottom"/>
          </w:tcPr>
          <w:p>
            <w:pPr>
              <w:spacing w:after="0"/>
              <w:rPr>
                <w:sz w:val="11"/>
                <w:szCs w:val="11"/>
                <w:color w:val="auto"/>
              </w:rPr>
            </w:pPr>
          </w:p>
        </w:tc>
        <w:tc>
          <w:tcPr>
            <w:tcW w:w="10500" w:type="dxa"/>
            <w:vAlign w:val="bottom"/>
          </w:tcPr>
          <w:p>
            <w:pPr>
              <w:ind w:left="320"/>
              <w:spacing w:after="0" w:line="136" w:lineRule="exact"/>
              <w:rPr>
                <w:sz w:val="20"/>
                <w:szCs w:val="20"/>
                <w:color w:val="auto"/>
              </w:rPr>
            </w:pPr>
            <w:r>
              <w:rPr>
                <w:rFonts w:ascii="Arial" w:cs="Arial" w:eastAsia="Arial" w:hAnsi="Arial"/>
                <w:sz w:val="12"/>
                <w:szCs w:val="12"/>
                <w:color w:val="auto"/>
                <w:w w:val="93"/>
              </w:rPr>
              <w:t>Note and Warrant Exchange Agreement, dated as of December 28, 2011 between Platinum Long Term Growth VII, LLC and VistaGen Therapeutics, Inc., incorporated by reference from Exhibit 10.1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ind w:left="320"/>
              <w:spacing w:after="0"/>
              <w:rPr>
                <w:sz w:val="20"/>
                <w:szCs w:val="20"/>
                <w:color w:val="auto"/>
              </w:rPr>
            </w:pPr>
            <w:r>
              <w:rPr>
                <w:rFonts w:ascii="Arial" w:cs="Arial" w:eastAsia="Arial" w:hAnsi="Arial"/>
                <w:sz w:val="12"/>
                <w:szCs w:val="12"/>
                <w:color w:val="auto"/>
              </w:rPr>
              <w:t>Current Report on Form 8-K filed on January 4, 2012.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10.55</w:t>
            </w:r>
          </w:p>
        </w:tc>
        <w:tc>
          <w:tcPr>
            <w:tcW w:w="320" w:type="dxa"/>
            <w:vAlign w:val="bottom"/>
            <w:shd w:val="clear" w:color="auto" w:fill="CCEEFF"/>
          </w:tcPr>
          <w:p>
            <w:pPr>
              <w:spacing w:after="0"/>
              <w:rPr>
                <w:sz w:val="12"/>
                <w:szCs w:val="12"/>
                <w:color w:val="auto"/>
              </w:rPr>
            </w:pPr>
          </w:p>
        </w:tc>
        <w:tc>
          <w:tcPr>
            <w:tcW w:w="10500" w:type="dxa"/>
            <w:vAlign w:val="bottom"/>
            <w:shd w:val="clear" w:color="auto" w:fill="CCEEFF"/>
          </w:tcPr>
          <w:p>
            <w:pPr>
              <w:ind w:left="320"/>
              <w:spacing w:after="0"/>
              <w:rPr>
                <w:sz w:val="20"/>
                <w:szCs w:val="20"/>
                <w:color w:val="auto"/>
              </w:rPr>
            </w:pPr>
            <w:r>
              <w:rPr>
                <w:rFonts w:ascii="Arial" w:cs="Arial" w:eastAsia="Arial" w:hAnsi="Arial"/>
                <w:sz w:val="12"/>
                <w:szCs w:val="12"/>
                <w:color w:val="auto"/>
                <w:w w:val="99"/>
              </w:rPr>
              <w:t>Form of Warrant to Purchase Common Stock, dated as of February 28, 2012, incorporated by reference from Exhibit 10.3 to the Company’s Current Report on Form 8-K filed on March 2,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color w:val="auto"/>
              </w:rPr>
              <w:t>10.57</w:t>
            </w:r>
          </w:p>
        </w:tc>
        <w:tc>
          <w:tcPr>
            <w:tcW w:w="320" w:type="dxa"/>
            <w:vAlign w:val="bottom"/>
          </w:tcPr>
          <w:p>
            <w:pPr>
              <w:spacing w:after="0"/>
              <w:rPr>
                <w:sz w:val="11"/>
                <w:szCs w:val="11"/>
                <w:color w:val="auto"/>
              </w:rPr>
            </w:pPr>
          </w:p>
        </w:tc>
        <w:tc>
          <w:tcPr>
            <w:tcW w:w="10500" w:type="dxa"/>
            <w:vAlign w:val="bottom"/>
          </w:tcPr>
          <w:p>
            <w:pPr>
              <w:ind w:left="320"/>
              <w:spacing w:after="0" w:line="136" w:lineRule="exact"/>
              <w:rPr>
                <w:sz w:val="20"/>
                <w:szCs w:val="20"/>
                <w:color w:val="auto"/>
              </w:rPr>
            </w:pPr>
            <w:r>
              <w:rPr>
                <w:rFonts w:ascii="Arial" w:cs="Arial" w:eastAsia="Arial" w:hAnsi="Arial"/>
                <w:sz w:val="12"/>
                <w:szCs w:val="12"/>
                <w:color w:val="auto"/>
                <w:w w:val="93"/>
              </w:rPr>
              <w:t>License Agreement No. 2, dated as of March 19, 2012 between University Health Network and VistaGen Therapeutics, Inc., incorporated by reference from Exhibit 10.57 to the Company’s Annual Report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ind w:left="320"/>
              <w:spacing w:after="0"/>
              <w:rPr>
                <w:sz w:val="20"/>
                <w:szCs w:val="20"/>
                <w:color w:val="auto"/>
              </w:rPr>
            </w:pPr>
            <w:r>
              <w:rPr>
                <w:rFonts w:ascii="Arial" w:cs="Arial" w:eastAsia="Arial" w:hAnsi="Arial"/>
                <w:sz w:val="12"/>
                <w:szCs w:val="12"/>
                <w:color w:val="auto"/>
              </w:rPr>
              <w:t>Form 10-K filed on July 2,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10.58</w:t>
            </w:r>
          </w:p>
        </w:tc>
        <w:tc>
          <w:tcPr>
            <w:tcW w:w="320" w:type="dxa"/>
            <w:vAlign w:val="bottom"/>
            <w:shd w:val="clear" w:color="auto" w:fill="CCEEFF"/>
          </w:tcPr>
          <w:p>
            <w:pPr>
              <w:spacing w:after="0"/>
              <w:rPr>
                <w:sz w:val="11"/>
                <w:szCs w:val="11"/>
                <w:color w:val="auto"/>
              </w:rPr>
            </w:pPr>
          </w:p>
        </w:tc>
        <w:tc>
          <w:tcPr>
            <w:tcW w:w="10500" w:type="dxa"/>
            <w:vAlign w:val="bottom"/>
            <w:shd w:val="clear" w:color="auto" w:fill="CCEEFF"/>
          </w:tcPr>
          <w:p>
            <w:pPr>
              <w:ind w:left="320"/>
              <w:spacing w:after="0" w:line="136" w:lineRule="exact"/>
              <w:rPr>
                <w:sz w:val="20"/>
                <w:szCs w:val="20"/>
                <w:color w:val="auto"/>
              </w:rPr>
            </w:pPr>
            <w:r>
              <w:rPr>
                <w:rFonts w:ascii="Arial" w:cs="Arial" w:eastAsia="Arial" w:hAnsi="Arial"/>
                <w:sz w:val="12"/>
                <w:szCs w:val="12"/>
                <w:color w:val="auto"/>
                <w:w w:val="95"/>
              </w:rPr>
              <w:t>Exchange Agreement dated as of June 29, 2012 between Platinum Long Term Growth VII, LLC and VistaGen Therapeutics. Inc., incorporated by reference from Exhibit 10.58 to the Company’s Annual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Report on Form 10-K filed on July 2,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color w:val="auto"/>
              </w:rPr>
              <w:t>10.63</w:t>
            </w:r>
          </w:p>
        </w:tc>
        <w:tc>
          <w:tcPr>
            <w:tcW w:w="320" w:type="dxa"/>
            <w:vAlign w:val="bottom"/>
          </w:tcPr>
          <w:p>
            <w:pPr>
              <w:spacing w:after="0"/>
              <w:rPr>
                <w:sz w:val="11"/>
                <w:szCs w:val="11"/>
                <w:color w:val="auto"/>
              </w:rPr>
            </w:pPr>
          </w:p>
        </w:tc>
        <w:tc>
          <w:tcPr>
            <w:tcW w:w="10500" w:type="dxa"/>
            <w:vAlign w:val="bottom"/>
          </w:tcPr>
          <w:p>
            <w:pPr>
              <w:ind w:left="320"/>
              <w:spacing w:after="0" w:line="136" w:lineRule="exact"/>
              <w:rPr>
                <w:sz w:val="20"/>
                <w:szCs w:val="20"/>
                <w:color w:val="auto"/>
              </w:rPr>
            </w:pPr>
            <w:r>
              <w:rPr>
                <w:rFonts w:ascii="Arial" w:cs="Arial" w:eastAsia="Arial" w:hAnsi="Arial"/>
                <w:sz w:val="12"/>
                <w:szCs w:val="12"/>
                <w:color w:val="auto"/>
                <w:w w:val="94"/>
              </w:rPr>
              <w:t>Unsecured Promissory Note in the face amount of $1,000,000 issued to Morrison &amp; Foerster LLP on August 31, 2012 (Replacement Note A), incorporated by reference from Exhibit 10.3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ind w:left="320"/>
              <w:spacing w:after="0"/>
              <w:rPr>
                <w:sz w:val="20"/>
                <w:szCs w:val="20"/>
                <w:color w:val="auto"/>
              </w:rPr>
            </w:pPr>
            <w:r>
              <w:rPr>
                <w:rFonts w:ascii="Arial" w:cs="Arial" w:eastAsia="Arial" w:hAnsi="Arial"/>
                <w:sz w:val="12"/>
                <w:szCs w:val="12"/>
                <w:color w:val="auto"/>
              </w:rPr>
              <w:t>Current Report on Form 8-K filed on September 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10.64</w:t>
            </w:r>
          </w:p>
        </w:tc>
        <w:tc>
          <w:tcPr>
            <w:tcW w:w="320" w:type="dxa"/>
            <w:vAlign w:val="bottom"/>
            <w:shd w:val="clear" w:color="auto" w:fill="CCEEFF"/>
          </w:tcPr>
          <w:p>
            <w:pPr>
              <w:spacing w:after="0"/>
              <w:rPr>
                <w:sz w:val="11"/>
                <w:szCs w:val="11"/>
                <w:color w:val="auto"/>
              </w:rPr>
            </w:pPr>
          </w:p>
        </w:tc>
        <w:tc>
          <w:tcPr>
            <w:tcW w:w="10500" w:type="dxa"/>
            <w:vAlign w:val="bottom"/>
            <w:shd w:val="clear" w:color="auto" w:fill="CCEEFF"/>
          </w:tcPr>
          <w:p>
            <w:pPr>
              <w:ind w:left="320"/>
              <w:spacing w:after="0" w:line="136" w:lineRule="exact"/>
              <w:rPr>
                <w:sz w:val="20"/>
                <w:szCs w:val="20"/>
                <w:color w:val="auto"/>
              </w:rPr>
            </w:pPr>
            <w:r>
              <w:rPr>
                <w:rFonts w:ascii="Arial" w:cs="Arial" w:eastAsia="Arial" w:hAnsi="Arial"/>
                <w:sz w:val="12"/>
                <w:szCs w:val="12"/>
                <w:color w:val="auto"/>
                <w:w w:val="94"/>
              </w:rPr>
              <w:t>Unsecured Promissory Note in the face amount of $1,379,376 issued to Morrison &amp; Foerster LLP on August 31, 2012 (Replacement Note B), incorporated by reference from Exhibit 10.4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Current Report on Form 8-K filed on September 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color w:val="auto"/>
              </w:rPr>
              <w:t>10.65</w:t>
            </w:r>
          </w:p>
        </w:tc>
        <w:tc>
          <w:tcPr>
            <w:tcW w:w="320" w:type="dxa"/>
            <w:vAlign w:val="bottom"/>
          </w:tcPr>
          <w:p>
            <w:pPr>
              <w:spacing w:after="0"/>
              <w:rPr>
                <w:sz w:val="11"/>
                <w:szCs w:val="11"/>
                <w:color w:val="auto"/>
              </w:rPr>
            </w:pPr>
          </w:p>
        </w:tc>
        <w:tc>
          <w:tcPr>
            <w:tcW w:w="10500" w:type="dxa"/>
            <w:vAlign w:val="bottom"/>
          </w:tcPr>
          <w:p>
            <w:pPr>
              <w:ind w:left="320"/>
              <w:spacing w:after="0" w:line="136" w:lineRule="exact"/>
              <w:rPr>
                <w:sz w:val="20"/>
                <w:szCs w:val="20"/>
                <w:color w:val="auto"/>
              </w:rPr>
            </w:pPr>
            <w:r>
              <w:rPr>
                <w:rFonts w:ascii="Arial" w:cs="Arial" w:eastAsia="Arial" w:hAnsi="Arial"/>
                <w:sz w:val="12"/>
                <w:szCs w:val="12"/>
                <w:color w:val="auto"/>
                <w:w w:val="92"/>
              </w:rPr>
              <w:t>Stock Purchase Warrant issued to Morrison &amp; Foerster LLP on August 31, 2012 to purchase 1,379,376 shares of the Company’s common stock (New Morrison &amp; Foerster Warrant), incorporated by reference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ind w:left="320"/>
              <w:spacing w:after="0"/>
              <w:rPr>
                <w:sz w:val="20"/>
                <w:szCs w:val="20"/>
                <w:color w:val="auto"/>
              </w:rPr>
            </w:pPr>
            <w:r>
              <w:rPr>
                <w:rFonts w:ascii="Arial" w:cs="Arial" w:eastAsia="Arial" w:hAnsi="Arial"/>
                <w:sz w:val="12"/>
                <w:szCs w:val="12"/>
                <w:color w:val="auto"/>
              </w:rPr>
              <w:t>from Exhibit 10.5 to the Company’s Current Report on Form 8-K filed on September 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10.66</w:t>
            </w:r>
          </w:p>
        </w:tc>
        <w:tc>
          <w:tcPr>
            <w:tcW w:w="320" w:type="dxa"/>
            <w:vAlign w:val="bottom"/>
            <w:shd w:val="clear" w:color="auto" w:fill="CCEEFF"/>
          </w:tcPr>
          <w:p>
            <w:pPr>
              <w:spacing w:after="0"/>
              <w:rPr>
                <w:sz w:val="11"/>
                <w:szCs w:val="11"/>
                <w:color w:val="auto"/>
              </w:rPr>
            </w:pPr>
          </w:p>
        </w:tc>
        <w:tc>
          <w:tcPr>
            <w:tcW w:w="10500" w:type="dxa"/>
            <w:vAlign w:val="bottom"/>
            <w:shd w:val="clear" w:color="auto" w:fill="CCEEFF"/>
          </w:tcPr>
          <w:p>
            <w:pPr>
              <w:ind w:left="320"/>
              <w:spacing w:after="0" w:line="136" w:lineRule="exact"/>
              <w:rPr>
                <w:sz w:val="20"/>
                <w:szCs w:val="20"/>
                <w:color w:val="auto"/>
              </w:rPr>
            </w:pPr>
            <w:r>
              <w:rPr>
                <w:rFonts w:ascii="Arial" w:cs="Arial" w:eastAsia="Arial" w:hAnsi="Arial"/>
                <w:sz w:val="12"/>
                <w:szCs w:val="12"/>
                <w:color w:val="auto"/>
                <w:w w:val="97"/>
              </w:rPr>
              <w:t>Warrant to Purchase Common Stock issued to Morrison &amp; Foerster LLP on August 31, 2012 to purchase 425,000 shares of the Company’s common stock (Amended Morrison &amp; Foerster Warrant),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incorporated by reference from Exhibit 10.6 to the Company’s Current Report on Form 8-K filed on September 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color w:val="auto"/>
              </w:rPr>
              <w:t>10.67</w:t>
            </w:r>
          </w:p>
        </w:tc>
        <w:tc>
          <w:tcPr>
            <w:tcW w:w="320" w:type="dxa"/>
            <w:vAlign w:val="bottom"/>
          </w:tcPr>
          <w:p>
            <w:pPr>
              <w:spacing w:after="0"/>
              <w:rPr>
                <w:sz w:val="11"/>
                <w:szCs w:val="11"/>
                <w:color w:val="auto"/>
              </w:rPr>
            </w:pPr>
          </w:p>
        </w:tc>
        <w:tc>
          <w:tcPr>
            <w:tcW w:w="10500" w:type="dxa"/>
            <w:vAlign w:val="bottom"/>
          </w:tcPr>
          <w:p>
            <w:pPr>
              <w:ind w:left="320"/>
              <w:spacing w:after="0" w:line="136" w:lineRule="exact"/>
              <w:rPr>
                <w:sz w:val="20"/>
                <w:szCs w:val="20"/>
                <w:color w:val="auto"/>
              </w:rPr>
            </w:pPr>
            <w:r>
              <w:rPr>
                <w:rFonts w:ascii="Arial" w:cs="Arial" w:eastAsia="Arial" w:hAnsi="Arial"/>
                <w:sz w:val="12"/>
                <w:szCs w:val="12"/>
                <w:color w:val="auto"/>
                <w:w w:val="92"/>
              </w:rPr>
              <w:t>Note Exchange and Purchase Agreement dated as of October 11, 2012 by and between VistaGen Therapeutics, Inc. and Platinum Long Term Growth VII, LLP, incorporated by reference from Exhibit 10.1 to</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ind w:left="320"/>
              <w:spacing w:after="0"/>
              <w:rPr>
                <w:sz w:val="20"/>
                <w:szCs w:val="20"/>
                <w:color w:val="auto"/>
              </w:rPr>
            </w:pPr>
            <w:r>
              <w:rPr>
                <w:rFonts w:ascii="Arial" w:cs="Arial" w:eastAsia="Arial" w:hAnsi="Arial"/>
                <w:sz w:val="12"/>
                <w:szCs w:val="12"/>
                <w:color w:val="auto"/>
              </w:rPr>
              <w:t>the 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10.68</w:t>
            </w:r>
          </w:p>
        </w:tc>
        <w:tc>
          <w:tcPr>
            <w:tcW w:w="320" w:type="dxa"/>
            <w:vAlign w:val="bottom"/>
            <w:shd w:val="clear" w:color="auto" w:fill="CCEEFF"/>
          </w:tcPr>
          <w:p>
            <w:pPr>
              <w:spacing w:after="0"/>
              <w:rPr>
                <w:sz w:val="11"/>
                <w:szCs w:val="11"/>
                <w:color w:val="auto"/>
              </w:rPr>
            </w:pPr>
          </w:p>
        </w:tc>
        <w:tc>
          <w:tcPr>
            <w:tcW w:w="10500" w:type="dxa"/>
            <w:vAlign w:val="bottom"/>
            <w:shd w:val="clear" w:color="auto" w:fill="CCEEFF"/>
          </w:tcPr>
          <w:p>
            <w:pPr>
              <w:ind w:left="320"/>
              <w:spacing w:after="0" w:line="136" w:lineRule="exact"/>
              <w:rPr>
                <w:sz w:val="20"/>
                <w:szCs w:val="20"/>
                <w:color w:val="auto"/>
              </w:rPr>
            </w:pPr>
            <w:r>
              <w:rPr>
                <w:rFonts w:ascii="Arial" w:cs="Arial" w:eastAsia="Arial" w:hAnsi="Arial"/>
                <w:sz w:val="12"/>
                <w:szCs w:val="12"/>
                <w:color w:val="auto"/>
                <w:w w:val="93"/>
              </w:rPr>
              <w:t>Form of Senior Secured Convertible Promissory Note issued to Platinum Long Term Growth VII, LLP under the Note Exchange and Purchase Agreement, incorporated by reference from Exhibit 10.2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color w:val="auto"/>
              </w:rPr>
              <w:t>10.69</w:t>
            </w:r>
          </w:p>
        </w:tc>
        <w:tc>
          <w:tcPr>
            <w:tcW w:w="320" w:type="dxa"/>
            <w:vAlign w:val="bottom"/>
          </w:tcPr>
          <w:p>
            <w:pPr>
              <w:spacing w:after="0"/>
              <w:rPr>
                <w:sz w:val="11"/>
                <w:szCs w:val="11"/>
                <w:color w:val="auto"/>
              </w:rPr>
            </w:pPr>
          </w:p>
        </w:tc>
        <w:tc>
          <w:tcPr>
            <w:tcW w:w="10500" w:type="dxa"/>
            <w:vAlign w:val="bottom"/>
          </w:tcPr>
          <w:p>
            <w:pPr>
              <w:ind w:left="320"/>
              <w:spacing w:after="0" w:line="136" w:lineRule="exact"/>
              <w:rPr>
                <w:sz w:val="20"/>
                <w:szCs w:val="20"/>
                <w:color w:val="auto"/>
              </w:rPr>
            </w:pPr>
            <w:r>
              <w:rPr>
                <w:rFonts w:ascii="Arial" w:cs="Arial" w:eastAsia="Arial" w:hAnsi="Arial"/>
                <w:sz w:val="12"/>
                <w:szCs w:val="12"/>
                <w:color w:val="auto"/>
                <w:w w:val="92"/>
              </w:rPr>
              <w:t>Form of Warrant to Purchase Shares of Common Stock issued to Platinum Long Term Growth VII, LLP under the Note Exchange and Purchase Agreement, incorporated by reference from Exhibit 10.3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ind w:left="32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15"/>
        </w:trPr>
        <w:tc>
          <w:tcPr>
            <w:tcW w:w="980" w:type="dxa"/>
            <w:vAlign w:val="bottom"/>
            <w:gridSpan w:val="3"/>
          </w:tcPr>
          <w:p>
            <w:pPr>
              <w:spacing w:after="0"/>
              <w:rPr>
                <w:rFonts w:ascii="Arial" w:cs="Arial" w:eastAsia="Arial" w:hAnsi="Arial"/>
                <w:sz w:val="10"/>
                <w:szCs w:val="10"/>
                <w:i w:val="1"/>
                <w:iCs w:val="1"/>
                <w:color w:val="0000EE"/>
              </w:rPr>
            </w:pPr>
            <w:hyperlink w:anchor="page6">
              <w:r>
                <w:rPr>
                  <w:rFonts w:ascii="Arial" w:cs="Arial" w:eastAsia="Arial" w:hAnsi="Arial"/>
                  <w:sz w:val="10"/>
                  <w:szCs w:val="10"/>
                  <w:i w:val="1"/>
                  <w:iCs w:val="1"/>
                  <w:color w:val="0000EE"/>
                </w:rPr>
                <w:t>Table of Contents</w:t>
              </w:r>
            </w:hyperlink>
          </w:p>
        </w:tc>
        <w:tc>
          <w:tcPr>
            <w:tcW w:w="10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10.70</w:t>
            </w:r>
          </w:p>
        </w:tc>
        <w:tc>
          <w:tcPr>
            <w:tcW w:w="320" w:type="dxa"/>
            <w:vAlign w:val="bottom"/>
            <w:shd w:val="clear" w:color="auto" w:fill="CCEEFF"/>
          </w:tcPr>
          <w:p>
            <w:pPr>
              <w:spacing w:after="0"/>
              <w:rPr>
                <w:sz w:val="11"/>
                <w:szCs w:val="11"/>
                <w:color w:val="auto"/>
              </w:rPr>
            </w:pPr>
          </w:p>
        </w:tc>
        <w:tc>
          <w:tcPr>
            <w:tcW w:w="10500" w:type="dxa"/>
            <w:vAlign w:val="bottom"/>
            <w:shd w:val="clear" w:color="auto" w:fill="CCEEFF"/>
          </w:tcPr>
          <w:p>
            <w:pPr>
              <w:ind w:left="300"/>
              <w:spacing w:after="0" w:line="136" w:lineRule="exact"/>
              <w:rPr>
                <w:sz w:val="20"/>
                <w:szCs w:val="20"/>
                <w:color w:val="auto"/>
              </w:rPr>
            </w:pPr>
            <w:r>
              <w:rPr>
                <w:rFonts w:ascii="Arial" w:cs="Arial" w:eastAsia="Arial" w:hAnsi="Arial"/>
                <w:sz w:val="12"/>
                <w:szCs w:val="12"/>
                <w:color w:val="auto"/>
                <w:w w:val="96"/>
              </w:rPr>
              <w:t>Amended and Restated Security Agreement as of October 11, 2012 between VistaGen Therapeutics, Inc. and Platinum Long Term Growth VII, LLP, incorporated by reference from Exhibit 10.4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color w:val="auto"/>
              </w:rPr>
              <w:t>10.71</w:t>
            </w:r>
          </w:p>
        </w:tc>
        <w:tc>
          <w:tcPr>
            <w:tcW w:w="320" w:type="dxa"/>
            <w:vAlign w:val="bottom"/>
          </w:tcPr>
          <w:p>
            <w:pPr>
              <w:spacing w:after="0"/>
              <w:rPr>
                <w:sz w:val="11"/>
                <w:szCs w:val="11"/>
                <w:color w:val="auto"/>
              </w:rPr>
            </w:pPr>
          </w:p>
        </w:tc>
        <w:tc>
          <w:tcPr>
            <w:tcW w:w="10500" w:type="dxa"/>
            <w:vAlign w:val="bottom"/>
          </w:tcPr>
          <w:p>
            <w:pPr>
              <w:ind w:left="300"/>
              <w:spacing w:after="0" w:line="136" w:lineRule="exact"/>
              <w:rPr>
                <w:sz w:val="20"/>
                <w:szCs w:val="20"/>
                <w:color w:val="auto"/>
              </w:rPr>
            </w:pPr>
            <w:r>
              <w:rPr>
                <w:rFonts w:ascii="Arial" w:cs="Arial" w:eastAsia="Arial" w:hAnsi="Arial"/>
                <w:sz w:val="12"/>
                <w:szCs w:val="12"/>
                <w:color w:val="auto"/>
                <w:w w:val="93"/>
              </w:rPr>
              <w:t>Intellectual Property Security and Stock Pledge Agreement as of October 11, 2012 between VistaGen California and Platinum Long Term Growth VII, LLP, incorporated by reference from Exhibit 10.5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ind w:left="30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10.72</w:t>
            </w:r>
          </w:p>
        </w:tc>
        <w:tc>
          <w:tcPr>
            <w:tcW w:w="320" w:type="dxa"/>
            <w:vAlign w:val="bottom"/>
            <w:shd w:val="clear" w:color="auto" w:fill="CCEEFF"/>
          </w:tcPr>
          <w:p>
            <w:pPr>
              <w:spacing w:after="0"/>
              <w:rPr>
                <w:sz w:val="11"/>
                <w:szCs w:val="11"/>
                <w:color w:val="auto"/>
              </w:rPr>
            </w:pPr>
          </w:p>
        </w:tc>
        <w:tc>
          <w:tcPr>
            <w:tcW w:w="10500" w:type="dxa"/>
            <w:vAlign w:val="bottom"/>
            <w:shd w:val="clear" w:color="auto" w:fill="CCEEFF"/>
          </w:tcPr>
          <w:p>
            <w:pPr>
              <w:ind w:left="300"/>
              <w:spacing w:after="0" w:line="136" w:lineRule="exact"/>
              <w:rPr>
                <w:sz w:val="20"/>
                <w:szCs w:val="20"/>
                <w:color w:val="auto"/>
              </w:rPr>
            </w:pPr>
            <w:r>
              <w:rPr>
                <w:rFonts w:ascii="Arial" w:cs="Arial" w:eastAsia="Arial" w:hAnsi="Arial"/>
                <w:sz w:val="12"/>
                <w:szCs w:val="12"/>
                <w:color w:val="auto"/>
                <w:w w:val="93"/>
              </w:rPr>
              <w:t>Negative Covenant Agreement dated October 11, 2012 between VistaGen California, Artemis Neuroscience, Inc. and Platinum Long Term Growth VII, LLP, incorporated by reference from Exhibit 10.6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color w:val="auto"/>
              </w:rPr>
              <w:t>10.73</w:t>
            </w:r>
          </w:p>
        </w:tc>
        <w:tc>
          <w:tcPr>
            <w:tcW w:w="320" w:type="dxa"/>
            <w:vAlign w:val="bottom"/>
          </w:tcPr>
          <w:p>
            <w:pPr>
              <w:spacing w:after="0"/>
              <w:rPr>
                <w:sz w:val="11"/>
                <w:szCs w:val="11"/>
                <w:color w:val="auto"/>
              </w:rPr>
            </w:pPr>
          </w:p>
        </w:tc>
        <w:tc>
          <w:tcPr>
            <w:tcW w:w="10500" w:type="dxa"/>
            <w:vAlign w:val="bottom"/>
          </w:tcPr>
          <w:p>
            <w:pPr>
              <w:ind w:left="300"/>
              <w:spacing w:after="0" w:line="136" w:lineRule="exact"/>
              <w:rPr>
                <w:sz w:val="20"/>
                <w:szCs w:val="20"/>
                <w:color w:val="auto"/>
              </w:rPr>
            </w:pPr>
            <w:r>
              <w:rPr>
                <w:rFonts w:ascii="Arial" w:cs="Arial" w:eastAsia="Arial" w:hAnsi="Arial"/>
                <w:sz w:val="12"/>
                <w:szCs w:val="12"/>
                <w:color w:val="auto"/>
                <w:w w:val="92"/>
              </w:rPr>
              <w:t>Amendment to Note Exchange and Purchase Agreement as of November 14, 2012 between VistaGen Therapeutics Inc. and Platinum Long Term Growth VII, LLP, incorporated by reference from Exhibit 10.1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ind w:left="300"/>
              <w:spacing w:after="0"/>
              <w:rPr>
                <w:sz w:val="20"/>
                <w:szCs w:val="20"/>
                <w:color w:val="auto"/>
              </w:rPr>
            </w:pPr>
            <w:r>
              <w:rPr>
                <w:rFonts w:ascii="Arial" w:cs="Arial" w:eastAsia="Arial" w:hAnsi="Arial"/>
                <w:sz w:val="12"/>
                <w:szCs w:val="12"/>
                <w:color w:val="auto"/>
              </w:rPr>
              <w:t>to the Company’s Current Report on Form 8-K filed on November 20,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10.75</w:t>
            </w:r>
          </w:p>
        </w:tc>
        <w:tc>
          <w:tcPr>
            <w:tcW w:w="320" w:type="dxa"/>
            <w:vAlign w:val="bottom"/>
            <w:shd w:val="clear" w:color="auto" w:fill="CCEEFF"/>
          </w:tcPr>
          <w:p>
            <w:pPr>
              <w:spacing w:after="0"/>
              <w:rPr>
                <w:sz w:val="11"/>
                <w:szCs w:val="11"/>
                <w:color w:val="auto"/>
              </w:rPr>
            </w:pPr>
          </w:p>
        </w:tc>
        <w:tc>
          <w:tcPr>
            <w:tcW w:w="10500" w:type="dxa"/>
            <w:vAlign w:val="bottom"/>
            <w:shd w:val="clear" w:color="auto" w:fill="CCEEFF"/>
          </w:tcPr>
          <w:p>
            <w:pPr>
              <w:ind w:left="300"/>
              <w:spacing w:after="0" w:line="136" w:lineRule="exact"/>
              <w:rPr>
                <w:sz w:val="20"/>
                <w:szCs w:val="20"/>
                <w:color w:val="auto"/>
              </w:rPr>
            </w:pPr>
            <w:r>
              <w:rPr>
                <w:rFonts w:ascii="Arial" w:cs="Arial" w:eastAsia="Arial" w:hAnsi="Arial"/>
                <w:sz w:val="12"/>
                <w:szCs w:val="12"/>
                <w:color w:val="auto"/>
                <w:w w:val="93"/>
              </w:rPr>
              <w:t>Amendment No. 2 to Note Exchange and Purchase Agreement as of January 31, 2013 between VistaGen Therapeutics Inc. and Platinum Long Term Growth VII, LLP, incorporated by reference from Exhibit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10.1 to the Company’s Quarterly Report on Form 10-Q filed on February 14,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color w:val="auto"/>
              </w:rPr>
              <w:t>10.76</w:t>
            </w:r>
          </w:p>
        </w:tc>
        <w:tc>
          <w:tcPr>
            <w:tcW w:w="320" w:type="dxa"/>
            <w:vAlign w:val="bottom"/>
          </w:tcPr>
          <w:p>
            <w:pPr>
              <w:spacing w:after="0"/>
              <w:rPr>
                <w:sz w:val="11"/>
                <w:szCs w:val="11"/>
                <w:color w:val="auto"/>
              </w:rPr>
            </w:pPr>
          </w:p>
        </w:tc>
        <w:tc>
          <w:tcPr>
            <w:tcW w:w="10500" w:type="dxa"/>
            <w:vAlign w:val="bottom"/>
          </w:tcPr>
          <w:p>
            <w:pPr>
              <w:ind w:left="300"/>
              <w:spacing w:after="0" w:line="136" w:lineRule="exact"/>
              <w:rPr>
                <w:sz w:val="20"/>
                <w:szCs w:val="20"/>
                <w:color w:val="auto"/>
              </w:rPr>
            </w:pPr>
            <w:r>
              <w:rPr>
                <w:rFonts w:ascii="Arial" w:cs="Arial" w:eastAsia="Arial" w:hAnsi="Arial"/>
                <w:sz w:val="12"/>
                <w:szCs w:val="12"/>
                <w:color w:val="auto"/>
                <w:w w:val="92"/>
              </w:rPr>
              <w:t>Amendment No. 3 to Note Exchange and Purchase Agreement as of February 22, 2013 between VistaGen Therapeutics Inc. and Platinum Long Term Growth VII, LLP, incorporated by reference from Exhibit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ind w:left="300"/>
              <w:spacing w:after="0"/>
              <w:rPr>
                <w:sz w:val="20"/>
                <w:szCs w:val="20"/>
                <w:color w:val="auto"/>
              </w:rPr>
            </w:pPr>
            <w:r>
              <w:rPr>
                <w:rFonts w:ascii="Arial" w:cs="Arial" w:eastAsia="Arial" w:hAnsi="Arial"/>
                <w:sz w:val="12"/>
                <w:szCs w:val="12"/>
                <w:color w:val="auto"/>
              </w:rPr>
              <w:t>10.1 to the Company’s Current Report on Form 8-K filed on February 28,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10.77</w:t>
            </w:r>
          </w:p>
        </w:tc>
        <w:tc>
          <w:tcPr>
            <w:tcW w:w="320" w:type="dxa"/>
            <w:vAlign w:val="bottom"/>
            <w:shd w:val="clear" w:color="auto" w:fill="CCEEFF"/>
          </w:tcPr>
          <w:p>
            <w:pPr>
              <w:spacing w:after="0"/>
              <w:rPr>
                <w:sz w:val="11"/>
                <w:szCs w:val="11"/>
                <w:color w:val="auto"/>
              </w:rPr>
            </w:pPr>
          </w:p>
        </w:tc>
        <w:tc>
          <w:tcPr>
            <w:tcW w:w="10500" w:type="dxa"/>
            <w:vAlign w:val="bottom"/>
            <w:shd w:val="clear" w:color="auto" w:fill="CCEEFF"/>
          </w:tcPr>
          <w:p>
            <w:pPr>
              <w:ind w:left="300"/>
              <w:spacing w:after="0" w:line="136" w:lineRule="exact"/>
              <w:rPr>
                <w:sz w:val="20"/>
                <w:szCs w:val="20"/>
                <w:color w:val="auto"/>
              </w:rPr>
            </w:pPr>
            <w:r>
              <w:rPr>
                <w:rFonts w:ascii="Arial" w:cs="Arial" w:eastAsia="Arial" w:hAnsi="Arial"/>
                <w:sz w:val="12"/>
                <w:szCs w:val="12"/>
                <w:color w:val="auto"/>
                <w:w w:val="93"/>
              </w:rPr>
              <w:t>Form of Warrant to Purchase Common Stock issued to independent members of the Company’s Board of Directors and its executive officers on March 3, 2013, incorporated by reference from Exhibit 10.1 to</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the Company’s Current Report on Form 8-K filed on March 6,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color w:val="auto"/>
              </w:rPr>
              <w:t>10.78</w:t>
            </w:r>
          </w:p>
        </w:tc>
        <w:tc>
          <w:tcPr>
            <w:tcW w:w="320" w:type="dxa"/>
            <w:vAlign w:val="bottom"/>
          </w:tcPr>
          <w:p>
            <w:pPr>
              <w:spacing w:after="0"/>
              <w:rPr>
                <w:sz w:val="11"/>
                <w:szCs w:val="11"/>
                <w:color w:val="auto"/>
              </w:rPr>
            </w:pPr>
          </w:p>
        </w:tc>
        <w:tc>
          <w:tcPr>
            <w:tcW w:w="10500" w:type="dxa"/>
            <w:vAlign w:val="bottom"/>
          </w:tcPr>
          <w:p>
            <w:pPr>
              <w:ind w:left="300"/>
              <w:spacing w:after="0" w:line="136" w:lineRule="exact"/>
              <w:rPr>
                <w:sz w:val="20"/>
                <w:szCs w:val="20"/>
                <w:color w:val="auto"/>
              </w:rPr>
            </w:pPr>
            <w:r>
              <w:rPr>
                <w:rFonts w:ascii="Arial" w:cs="Arial" w:eastAsia="Arial" w:hAnsi="Arial"/>
                <w:sz w:val="12"/>
                <w:szCs w:val="12"/>
                <w:color w:val="auto"/>
                <w:w w:val="93"/>
              </w:rPr>
              <w:t>Securities Purchase Agreement between VistaGen Therapeutics, Inc., and Autilion AG dated April 8, 2013, incorporated by reference from Exhibit 10.1 to the Company’s Current Report on Form 8-K filed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ind w:left="300"/>
              <w:spacing w:after="0"/>
              <w:rPr>
                <w:sz w:val="20"/>
                <w:szCs w:val="20"/>
                <w:color w:val="auto"/>
              </w:rPr>
            </w:pPr>
            <w:r>
              <w:rPr>
                <w:rFonts w:ascii="Arial" w:cs="Arial" w:eastAsia="Arial" w:hAnsi="Arial"/>
                <w:sz w:val="12"/>
                <w:szCs w:val="12"/>
                <w:color w:val="auto"/>
              </w:rPr>
              <w:t>April 10,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10.79</w:t>
            </w:r>
          </w:p>
        </w:tc>
        <w:tc>
          <w:tcPr>
            <w:tcW w:w="320" w:type="dxa"/>
            <w:vAlign w:val="bottom"/>
            <w:shd w:val="clear" w:color="auto" w:fill="CCEEFF"/>
          </w:tcPr>
          <w:p>
            <w:pPr>
              <w:spacing w:after="0"/>
              <w:rPr>
                <w:sz w:val="11"/>
                <w:szCs w:val="11"/>
                <w:color w:val="auto"/>
              </w:rPr>
            </w:pPr>
          </w:p>
        </w:tc>
        <w:tc>
          <w:tcPr>
            <w:tcW w:w="10500" w:type="dxa"/>
            <w:vAlign w:val="bottom"/>
            <w:shd w:val="clear" w:color="auto" w:fill="CCEEFF"/>
          </w:tcPr>
          <w:p>
            <w:pPr>
              <w:ind w:left="300"/>
              <w:spacing w:after="0" w:line="136" w:lineRule="exact"/>
              <w:rPr>
                <w:sz w:val="20"/>
                <w:szCs w:val="20"/>
                <w:color w:val="auto"/>
              </w:rPr>
            </w:pPr>
            <w:r>
              <w:rPr>
                <w:rFonts w:ascii="Arial" w:cs="Arial" w:eastAsia="Arial" w:hAnsi="Arial"/>
                <w:sz w:val="12"/>
                <w:szCs w:val="12"/>
                <w:color w:val="auto"/>
                <w:w w:val="95"/>
              </w:rPr>
              <w:t>Voting Agreement between VistaGen Therapeutics, Inc., and Autilion AG dated April 8, 2013, incorporated by reference from Exhibit 10.2 to the Company’s Current Report on Form 8-K filed on April 10,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color w:val="auto"/>
              </w:rPr>
              <w:t>10.80</w:t>
            </w:r>
          </w:p>
        </w:tc>
        <w:tc>
          <w:tcPr>
            <w:tcW w:w="320" w:type="dxa"/>
            <w:vAlign w:val="bottom"/>
          </w:tcPr>
          <w:p>
            <w:pPr>
              <w:spacing w:after="0"/>
              <w:rPr>
                <w:sz w:val="11"/>
                <w:szCs w:val="11"/>
                <w:color w:val="auto"/>
              </w:rPr>
            </w:pPr>
          </w:p>
        </w:tc>
        <w:tc>
          <w:tcPr>
            <w:tcW w:w="10500" w:type="dxa"/>
            <w:vAlign w:val="bottom"/>
          </w:tcPr>
          <w:p>
            <w:pPr>
              <w:ind w:left="300"/>
              <w:spacing w:after="0" w:line="136" w:lineRule="exact"/>
              <w:rPr>
                <w:sz w:val="20"/>
                <w:szCs w:val="20"/>
                <w:color w:val="auto"/>
              </w:rPr>
            </w:pPr>
            <w:r>
              <w:rPr>
                <w:rFonts w:ascii="Arial" w:cs="Arial" w:eastAsia="Arial" w:hAnsi="Arial"/>
                <w:sz w:val="12"/>
                <w:szCs w:val="12"/>
                <w:color w:val="auto"/>
                <w:w w:val="93"/>
              </w:rPr>
              <w:t>Note Conversion Agreement as of April 4, 2013 between VistaGen Therapeutics Inc. and Platinum Long Term Growth VII, LLP, incorporated by reference from Exhibit 10.3 to the Company’s Current Report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ind w:left="300"/>
              <w:spacing w:after="0"/>
              <w:rPr>
                <w:sz w:val="20"/>
                <w:szCs w:val="20"/>
                <w:color w:val="auto"/>
              </w:rPr>
            </w:pPr>
            <w:r>
              <w:rPr>
                <w:rFonts w:ascii="Arial" w:cs="Arial" w:eastAsia="Arial" w:hAnsi="Arial"/>
                <w:sz w:val="12"/>
                <w:szCs w:val="12"/>
                <w:color w:val="auto"/>
              </w:rPr>
              <w:t>on Form 8-K filed on April 10,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10.81</w:t>
            </w:r>
          </w:p>
        </w:tc>
        <w:tc>
          <w:tcPr>
            <w:tcW w:w="320" w:type="dxa"/>
            <w:vAlign w:val="bottom"/>
            <w:shd w:val="clear" w:color="auto" w:fill="CCEEFF"/>
          </w:tcPr>
          <w:p>
            <w:pPr>
              <w:spacing w:after="0"/>
              <w:rPr>
                <w:sz w:val="11"/>
                <w:szCs w:val="11"/>
                <w:color w:val="auto"/>
              </w:rPr>
            </w:pPr>
          </w:p>
        </w:tc>
        <w:tc>
          <w:tcPr>
            <w:tcW w:w="10500" w:type="dxa"/>
            <w:vAlign w:val="bottom"/>
            <w:shd w:val="clear" w:color="auto" w:fill="CCEEFF"/>
          </w:tcPr>
          <w:p>
            <w:pPr>
              <w:ind w:left="300"/>
              <w:spacing w:after="0" w:line="136" w:lineRule="exact"/>
              <w:rPr>
                <w:sz w:val="20"/>
                <w:szCs w:val="20"/>
                <w:color w:val="auto"/>
              </w:rPr>
            </w:pPr>
            <w:r>
              <w:rPr>
                <w:rFonts w:ascii="Arial" w:cs="Arial" w:eastAsia="Arial" w:hAnsi="Arial"/>
                <w:sz w:val="12"/>
                <w:szCs w:val="12"/>
                <w:color w:val="auto"/>
                <w:w w:val="94"/>
              </w:rPr>
              <w:t>Assignment and Assumption Agreement between Autilion AG and Bergamo Acquisition Corp. PTE LTD dated April 12, 2013, incorporated by reference from Exhibit 10.81 to the Company’s Annual Report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on Form 10-K filed July 18,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color w:val="auto"/>
              </w:rPr>
              <w:t>10.82</w:t>
            </w:r>
          </w:p>
        </w:tc>
        <w:tc>
          <w:tcPr>
            <w:tcW w:w="320" w:type="dxa"/>
            <w:vAlign w:val="bottom"/>
          </w:tcPr>
          <w:p>
            <w:pPr>
              <w:spacing w:after="0"/>
              <w:rPr>
                <w:sz w:val="11"/>
                <w:szCs w:val="11"/>
                <w:color w:val="auto"/>
              </w:rPr>
            </w:pPr>
          </w:p>
        </w:tc>
        <w:tc>
          <w:tcPr>
            <w:tcW w:w="10500" w:type="dxa"/>
            <w:vAlign w:val="bottom"/>
          </w:tcPr>
          <w:p>
            <w:pPr>
              <w:ind w:left="300"/>
              <w:spacing w:after="0" w:line="136" w:lineRule="exact"/>
              <w:rPr>
                <w:sz w:val="20"/>
                <w:szCs w:val="20"/>
                <w:color w:val="auto"/>
              </w:rPr>
            </w:pPr>
            <w:r>
              <w:rPr>
                <w:rFonts w:ascii="Arial" w:cs="Arial" w:eastAsia="Arial" w:hAnsi="Arial"/>
                <w:sz w:val="12"/>
                <w:szCs w:val="12"/>
                <w:color w:val="auto"/>
                <w:w w:val="93"/>
              </w:rPr>
              <w:t>Amendment No. 1 to Securities Purchase Agreement dated April 30, 2013 between VistaGen Therapeutics, Inc. and Bergamo Acquisition Corp. PTE LTD, incorporated by reference from Exhibit 10.1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ind w:left="300"/>
              <w:spacing w:after="0"/>
              <w:rPr>
                <w:sz w:val="20"/>
                <w:szCs w:val="20"/>
                <w:color w:val="auto"/>
              </w:rPr>
            </w:pPr>
            <w:r>
              <w:rPr>
                <w:rFonts w:ascii="Arial" w:cs="Arial" w:eastAsia="Arial" w:hAnsi="Arial"/>
                <w:sz w:val="12"/>
                <w:szCs w:val="12"/>
                <w:color w:val="auto"/>
              </w:rPr>
              <w:t>Company’s Current Report on Form 8-K filed on May 1,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10.83</w:t>
            </w:r>
          </w:p>
        </w:tc>
        <w:tc>
          <w:tcPr>
            <w:tcW w:w="320" w:type="dxa"/>
            <w:vAlign w:val="bottom"/>
            <w:shd w:val="clear" w:color="auto" w:fill="CCEEFF"/>
          </w:tcPr>
          <w:p>
            <w:pPr>
              <w:spacing w:after="0"/>
              <w:rPr>
                <w:sz w:val="11"/>
                <w:szCs w:val="11"/>
                <w:color w:val="auto"/>
              </w:rPr>
            </w:pPr>
          </w:p>
        </w:tc>
        <w:tc>
          <w:tcPr>
            <w:tcW w:w="10500" w:type="dxa"/>
            <w:vAlign w:val="bottom"/>
            <w:shd w:val="clear" w:color="auto" w:fill="CCEEFF"/>
          </w:tcPr>
          <w:p>
            <w:pPr>
              <w:ind w:left="300"/>
              <w:spacing w:after="0" w:line="136" w:lineRule="exact"/>
              <w:rPr>
                <w:sz w:val="20"/>
                <w:szCs w:val="20"/>
                <w:color w:val="auto"/>
              </w:rPr>
            </w:pPr>
            <w:r>
              <w:rPr>
                <w:rFonts w:ascii="Arial" w:cs="Arial" w:eastAsia="Arial" w:hAnsi="Arial"/>
                <w:sz w:val="12"/>
                <w:szCs w:val="12"/>
                <w:color w:val="auto"/>
                <w:w w:val="92"/>
              </w:rPr>
              <w:t>Lease between Bayside Area Development, LLC and VistaGen Therapeutics, Inc. (California) dated April 24, 2013, incorporated by reference from Exhibit 10.83 to the Company’s Annual Report on Form 10-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K filed July 18, 2013.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10.84</w:t>
            </w:r>
          </w:p>
        </w:tc>
        <w:tc>
          <w:tcPr>
            <w:tcW w:w="320" w:type="dxa"/>
            <w:vAlign w:val="bottom"/>
          </w:tcPr>
          <w:p>
            <w:pPr>
              <w:spacing w:after="0"/>
              <w:rPr>
                <w:sz w:val="12"/>
                <w:szCs w:val="12"/>
                <w:color w:val="auto"/>
              </w:rPr>
            </w:pPr>
          </w:p>
        </w:tc>
        <w:tc>
          <w:tcPr>
            <w:tcW w:w="10500" w:type="dxa"/>
            <w:vAlign w:val="bottom"/>
          </w:tcPr>
          <w:p>
            <w:pPr>
              <w:ind w:left="300"/>
              <w:spacing w:after="0"/>
              <w:rPr>
                <w:sz w:val="20"/>
                <w:szCs w:val="20"/>
                <w:color w:val="auto"/>
              </w:rPr>
            </w:pPr>
            <w:r>
              <w:rPr>
                <w:rFonts w:ascii="Arial" w:cs="Arial" w:eastAsia="Arial" w:hAnsi="Arial"/>
                <w:sz w:val="12"/>
                <w:szCs w:val="12"/>
                <w:color w:val="auto"/>
                <w:w w:val="92"/>
              </w:rPr>
              <w:t>Indemnification Agreement effective May 20, 2013 between the Company and Jon S. Saxe, incorporated by reference from Exhibit 10.84 to the Company's Annual Report on Form 10-K filed on July 18,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10.85</w:t>
            </w:r>
          </w:p>
        </w:tc>
        <w:tc>
          <w:tcPr>
            <w:tcW w:w="320" w:type="dxa"/>
            <w:vAlign w:val="bottom"/>
            <w:shd w:val="clear" w:color="auto" w:fill="CCEEFF"/>
          </w:tcPr>
          <w:p>
            <w:pPr>
              <w:spacing w:after="0"/>
              <w:rPr>
                <w:sz w:val="11"/>
                <w:szCs w:val="11"/>
                <w:color w:val="auto"/>
              </w:rPr>
            </w:pPr>
          </w:p>
        </w:tc>
        <w:tc>
          <w:tcPr>
            <w:tcW w:w="10500" w:type="dxa"/>
            <w:vAlign w:val="bottom"/>
            <w:shd w:val="clear" w:color="auto" w:fill="CCEEFF"/>
          </w:tcPr>
          <w:p>
            <w:pPr>
              <w:ind w:left="300"/>
              <w:spacing w:after="0" w:line="136" w:lineRule="exact"/>
              <w:rPr>
                <w:sz w:val="20"/>
                <w:szCs w:val="20"/>
                <w:color w:val="auto"/>
              </w:rPr>
            </w:pPr>
            <w:r>
              <w:rPr>
                <w:rFonts w:ascii="Arial" w:cs="Arial" w:eastAsia="Arial" w:hAnsi="Arial"/>
                <w:sz w:val="12"/>
                <w:szCs w:val="12"/>
                <w:color w:val="auto"/>
                <w:w w:val="93"/>
              </w:rPr>
              <w:t>Indemnification Agreement effective May 20, 2013 between the Company and Shawn K. Singh, incorporated by reference from Exhibit 10.85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color w:val="auto"/>
              </w:rPr>
              <w:t>10.86</w:t>
            </w:r>
          </w:p>
        </w:tc>
        <w:tc>
          <w:tcPr>
            <w:tcW w:w="320" w:type="dxa"/>
            <w:vAlign w:val="bottom"/>
          </w:tcPr>
          <w:p>
            <w:pPr>
              <w:spacing w:after="0"/>
              <w:rPr>
                <w:sz w:val="11"/>
                <w:szCs w:val="11"/>
                <w:color w:val="auto"/>
              </w:rPr>
            </w:pPr>
          </w:p>
        </w:tc>
        <w:tc>
          <w:tcPr>
            <w:tcW w:w="10500" w:type="dxa"/>
            <w:vAlign w:val="bottom"/>
          </w:tcPr>
          <w:p>
            <w:pPr>
              <w:ind w:left="300"/>
              <w:spacing w:after="0" w:line="136" w:lineRule="exact"/>
              <w:rPr>
                <w:sz w:val="20"/>
                <w:szCs w:val="20"/>
                <w:color w:val="auto"/>
              </w:rPr>
            </w:pPr>
            <w:r>
              <w:rPr>
                <w:rFonts w:ascii="Arial" w:cs="Arial" w:eastAsia="Arial" w:hAnsi="Arial"/>
                <w:sz w:val="12"/>
                <w:szCs w:val="12"/>
                <w:color w:val="auto"/>
                <w:w w:val="91"/>
              </w:rPr>
              <w:t>Indemnification Agreement effective May 20, 2013 between the Company and H. Ralph Snodgrass, incorporated by reference from Exhibit 10.86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ind w:left="30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10.87</w:t>
            </w:r>
          </w:p>
        </w:tc>
        <w:tc>
          <w:tcPr>
            <w:tcW w:w="320" w:type="dxa"/>
            <w:vAlign w:val="bottom"/>
            <w:shd w:val="clear" w:color="auto" w:fill="CCEEFF"/>
          </w:tcPr>
          <w:p>
            <w:pPr>
              <w:spacing w:after="0"/>
              <w:rPr>
                <w:sz w:val="11"/>
                <w:szCs w:val="11"/>
                <w:color w:val="auto"/>
              </w:rPr>
            </w:pPr>
          </w:p>
        </w:tc>
        <w:tc>
          <w:tcPr>
            <w:tcW w:w="10500" w:type="dxa"/>
            <w:vAlign w:val="bottom"/>
            <w:shd w:val="clear" w:color="auto" w:fill="CCEEFF"/>
          </w:tcPr>
          <w:p>
            <w:pPr>
              <w:ind w:left="300"/>
              <w:spacing w:after="0" w:line="136" w:lineRule="exact"/>
              <w:rPr>
                <w:sz w:val="20"/>
                <w:szCs w:val="20"/>
                <w:color w:val="auto"/>
              </w:rPr>
            </w:pPr>
            <w:r>
              <w:rPr>
                <w:rFonts w:ascii="Arial" w:cs="Arial" w:eastAsia="Arial" w:hAnsi="Arial"/>
                <w:sz w:val="12"/>
                <w:szCs w:val="12"/>
                <w:color w:val="auto"/>
                <w:w w:val="92"/>
              </w:rPr>
              <w:t>Indemnification Agreement effective May 20, 2013 between the Company and Brian J. Underdown, incorporated by reference from Exhibit 10.87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color w:val="auto"/>
              </w:rPr>
              <w:t>10.88</w:t>
            </w:r>
          </w:p>
        </w:tc>
        <w:tc>
          <w:tcPr>
            <w:tcW w:w="320" w:type="dxa"/>
            <w:vAlign w:val="bottom"/>
          </w:tcPr>
          <w:p>
            <w:pPr>
              <w:spacing w:after="0"/>
              <w:rPr>
                <w:sz w:val="11"/>
                <w:szCs w:val="11"/>
                <w:color w:val="auto"/>
              </w:rPr>
            </w:pPr>
          </w:p>
        </w:tc>
        <w:tc>
          <w:tcPr>
            <w:tcW w:w="10500" w:type="dxa"/>
            <w:vAlign w:val="bottom"/>
          </w:tcPr>
          <w:p>
            <w:pPr>
              <w:ind w:left="300"/>
              <w:spacing w:after="0" w:line="136" w:lineRule="exact"/>
              <w:rPr>
                <w:sz w:val="20"/>
                <w:szCs w:val="20"/>
                <w:color w:val="auto"/>
              </w:rPr>
            </w:pPr>
            <w:r>
              <w:rPr>
                <w:rFonts w:ascii="Arial" w:cs="Arial" w:eastAsia="Arial" w:hAnsi="Arial"/>
                <w:sz w:val="12"/>
                <w:szCs w:val="12"/>
                <w:color w:val="auto"/>
                <w:w w:val="93"/>
              </w:rPr>
              <w:t>Indemnification Agreement effective May 20, 2013 between the Company and Jerrold D. Dotson, incorporated by reference from Exhibit 10.88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500" w:type="dxa"/>
            <w:vAlign w:val="bottom"/>
          </w:tcPr>
          <w:p>
            <w:pPr>
              <w:ind w:left="30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10.89</w:t>
            </w:r>
          </w:p>
        </w:tc>
        <w:tc>
          <w:tcPr>
            <w:tcW w:w="320" w:type="dxa"/>
            <w:vAlign w:val="bottom"/>
            <w:shd w:val="clear" w:color="auto" w:fill="CCEEFF"/>
          </w:tcPr>
          <w:p>
            <w:pPr>
              <w:spacing w:after="0"/>
              <w:rPr>
                <w:sz w:val="11"/>
                <w:szCs w:val="11"/>
                <w:color w:val="auto"/>
              </w:rPr>
            </w:pPr>
          </w:p>
        </w:tc>
        <w:tc>
          <w:tcPr>
            <w:tcW w:w="10500" w:type="dxa"/>
            <w:vAlign w:val="bottom"/>
            <w:shd w:val="clear" w:color="auto" w:fill="CCEEFF"/>
          </w:tcPr>
          <w:p>
            <w:pPr>
              <w:ind w:left="300"/>
              <w:spacing w:after="0" w:line="136" w:lineRule="exact"/>
              <w:rPr>
                <w:sz w:val="20"/>
                <w:szCs w:val="20"/>
                <w:color w:val="auto"/>
              </w:rPr>
            </w:pPr>
            <w:r>
              <w:rPr>
                <w:rFonts w:ascii="Arial" w:cs="Arial" w:eastAsia="Arial" w:hAnsi="Arial"/>
                <w:sz w:val="12"/>
                <w:szCs w:val="12"/>
                <w:color w:val="auto"/>
                <w:w w:val="93"/>
              </w:rPr>
              <w:t>Amendment and Waiver effective May 24, 2013 between the Company and Platinum Long Term Growth VII, LLC, incorporated by reference from Exhibit 10.1 to the Company’s Current Report on Form 8-K</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filed on June 3, 2013.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00" w:type="dxa"/>
            <w:vAlign w:val="bottom"/>
          </w:tcPr>
          <w:p>
            <w:pPr>
              <w:ind w:left="4640"/>
              <w:spacing w:after="0"/>
              <w:rPr>
                <w:sz w:val="20"/>
                <w:szCs w:val="20"/>
                <w:color w:val="auto"/>
              </w:rPr>
            </w:pPr>
            <w:r>
              <w:rPr>
                <w:rFonts w:ascii="Arial" w:cs="Arial" w:eastAsia="Arial" w:hAnsi="Arial"/>
                <w:sz w:val="12"/>
                <w:szCs w:val="12"/>
                <w:color w:val="auto"/>
              </w:rPr>
              <w:t>II-10</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05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175" w:name="page176"/>
    <w:bookmarkEnd w:id="175"/>
    <w:p>
      <w:pPr>
        <w:ind w:left="8"/>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10.90</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w w:val="94"/>
              </w:rPr>
              <w:t>Amendment No 2 to Securities Purchase Agreement dated June 27, 2013 between the Company, Autilion AG and Bergamo Acquisition Corp. PTE LTD, incorporated by reference from Exhibit 10.1 to the</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Company’s Current Report on Form 8-K filed on June 28, 2013.</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10.91</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3"/>
              </w:rPr>
              <w:t>Senior Secured Convertible Promissory Note, dated July 26, 2013 issued to Platinum Long Term Growth VII, LLP, incorporated by reference from Exhibit 10.1 to the Company’s Current Report on Form 8-K</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filed on August 2, 2013.</w:t>
            </w:r>
          </w:p>
        </w:tc>
      </w:tr>
      <w:tr>
        <w:trPr>
          <w:trHeight w:val="144"/>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10.92</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w w:val="91"/>
              </w:rPr>
              <w:t>Common Stock Warrant, dated July 26, 2013 issued to Platinum Long Term Growth VII, LLP, incorporated by reference from Exhibit 10.2 to the Company’s Current Report on Form 8-K filed on August 2, 2013.</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10.93</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2"/>
              </w:rPr>
              <w:t>Form of Subscription Agreement between the Company and investors in the Fall 2013 Unit Private Placement, incorporated by reference from Exhibit 10.93 to the Company’s Annual Report on Form 10-K filed</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on June 25,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10.94</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2"/>
              </w:rPr>
              <w:t>Form of Convertible Promissory Note between the Company and investors in the Fall 2013 Unit Private Placement, incorporated by reference from Exhibit 10.94 to the Company’s Annual Report on Form 10-K</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filed on June 25,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10.95</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2"/>
              </w:rPr>
              <w:t>Form of Common Stock Purchase Warrant between the Company and investors in the Fall 2013 Unit Private Placement, incorporated by reference from Exhibit 10.95 to the Company’s Annual Report on Form</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10-K filed on June 25,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10.96</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2"/>
              </w:rPr>
              <w:t>Form of Amendment to Convertible Promissory Note and Warrant between the Company and investors in the Fall 2013 Unit Private Placement, effective May 31, 2014, incorporated by reference from Exhibit</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10.96 to the Company’s Annual Report on Form 10-K filed on June 25,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10.97</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2"/>
              </w:rPr>
              <w:t>Form of Unit Subscription Agreement between the Company and investors in the Spring 2014 Unit Private Placement dated April 1, 2014, incorporated by reference from Exhibit 10.1 to the Company’s Current</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Report on Form 8-K filed on April 8,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10.98</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5"/>
              </w:rPr>
              <w:t>Form of Subordinate Convertible Promissory Note between the Company and investors in the Spring 2014 Unit Private Placement dated April 1, 2014, incorporated by reference from Exhibit 10.2 to the</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Company’s Current Report on Form 8-K filed on April 8,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10.99</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3"/>
              </w:rPr>
              <w:t>Form of Common Stock Purchase Warrant between the Company and investors in the Spring 2014 Unit Private Placement dated April 1, 2014, incorporated by reference from Exhibit 10.3 to the Company’s</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Current Report on Form 8-K filed on April 8,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10.100</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1"/>
              </w:rPr>
              <w:t>Common Stock Purchase Warrant between the Company and Platinum Long Term Growth Fund VII dated May 14, 2014, incorporated by reference from Exhibit 10.1 to the Company’s Current Report on Form</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8-K filed on May 19,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10.101</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2"/>
              </w:rPr>
              <w:t>Subordinate Convertible Promissory Note between the Company and Platinum Long Term Growth Fund VII dated May 14, 2014, incorporated by reference from Exhibit 10.2 to the Company’s Current Report</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on Form 8-K filed on May 19,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10.102</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7"/>
              </w:rPr>
              <w:t>Form of Promissory Note and Form of Warrant issued by the Company to Icahn School of Business at Mount Sinai effective April 10, 2014 in satisfaction of technology license maintenance fees and</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reimbursable patent costs, incorporated by reference from Exhibit 10.102 to the Company’s Annual Report on Form 10-K filed on June 25,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10.103</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5"/>
              </w:rPr>
              <w:t>Amendment No. 3 to Sponsored Research Collaboration Agreement, dated April 25, 2011, by and between VistaGen and University Health Network, incorporated by reference from Exhibit 10.103 to the</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Company’s Annual Report on Form 10-K filed on June 25,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10.104</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3"/>
              </w:rPr>
              <w:t>Amendment No. 5 to Sponsored Research Collaboration Agreement, dated October 10, 2012, by and between VistaGen and University Health Network, incorporated by reference from Exhibit 10.104 to the</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Company’s Annual Report on Form 10-K filed on June 25, 2014.</w:t>
            </w:r>
          </w:p>
        </w:tc>
      </w:tr>
      <w:tr>
        <w:trPr>
          <w:trHeight w:val="144"/>
        </w:trPr>
        <w:tc>
          <w:tcPr>
            <w:tcW w:w="820" w:type="dxa"/>
            <w:vAlign w:val="bottom"/>
          </w:tcPr>
          <w:p>
            <w:pPr>
              <w:spacing w:after="0"/>
              <w:rPr>
                <w:sz w:val="20"/>
                <w:szCs w:val="20"/>
                <w:color w:val="auto"/>
              </w:rPr>
            </w:pPr>
            <w:r>
              <w:rPr>
                <w:rFonts w:ascii="Arial" w:cs="Arial" w:eastAsia="Arial" w:hAnsi="Arial"/>
                <w:sz w:val="12"/>
                <w:szCs w:val="12"/>
                <w:color w:val="auto"/>
              </w:rPr>
              <w:t>21.1*</w:t>
            </w:r>
          </w:p>
        </w:tc>
        <w:tc>
          <w:tcPr>
            <w:tcW w:w="10660" w:type="dxa"/>
            <w:vAlign w:val="bottom"/>
          </w:tcPr>
          <w:p>
            <w:pPr>
              <w:ind w:left="480"/>
              <w:spacing w:after="0"/>
              <w:rPr>
                <w:sz w:val="20"/>
                <w:szCs w:val="20"/>
                <w:color w:val="auto"/>
              </w:rPr>
            </w:pPr>
            <w:r>
              <w:rPr>
                <w:rFonts w:ascii="Arial" w:cs="Arial" w:eastAsia="Arial" w:hAnsi="Arial"/>
                <w:sz w:val="12"/>
                <w:szCs w:val="12"/>
                <w:color w:val="auto"/>
              </w:rPr>
              <w:t>List of Subsidiaries.</w:t>
            </w:r>
          </w:p>
        </w:tc>
      </w:tr>
      <w:tr>
        <w:trPr>
          <w:trHeight w:val="144"/>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23.1</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Consent of OUM &amp; Co., LLP, independent registered public accounting firm (filed herewith)</w:t>
            </w:r>
          </w:p>
        </w:tc>
      </w:tr>
      <w:tr>
        <w:trPr>
          <w:trHeight w:val="153"/>
        </w:trPr>
        <w:tc>
          <w:tcPr>
            <w:tcW w:w="820" w:type="dxa"/>
            <w:vAlign w:val="bottom"/>
          </w:tcPr>
          <w:p>
            <w:pPr>
              <w:spacing w:after="0"/>
              <w:rPr>
                <w:sz w:val="20"/>
                <w:szCs w:val="20"/>
                <w:color w:val="auto"/>
              </w:rPr>
            </w:pPr>
            <w:r>
              <w:rPr>
                <w:rFonts w:ascii="Arial" w:cs="Arial" w:eastAsia="Arial" w:hAnsi="Arial"/>
                <w:sz w:val="12"/>
                <w:szCs w:val="12"/>
                <w:color w:val="auto"/>
              </w:rPr>
              <w:t>24.1</w:t>
            </w:r>
          </w:p>
        </w:tc>
        <w:tc>
          <w:tcPr>
            <w:tcW w:w="10660" w:type="dxa"/>
            <w:vAlign w:val="bottom"/>
          </w:tcPr>
          <w:p>
            <w:pPr>
              <w:ind w:left="480"/>
              <w:spacing w:after="0"/>
              <w:rPr>
                <w:sz w:val="20"/>
                <w:szCs w:val="20"/>
                <w:color w:val="auto"/>
              </w:rPr>
            </w:pPr>
            <w:r>
              <w:rPr>
                <w:rFonts w:ascii="Arial" w:cs="Arial" w:eastAsia="Arial" w:hAnsi="Arial"/>
                <w:sz w:val="12"/>
                <w:szCs w:val="12"/>
                <w:color w:val="auto"/>
              </w:rPr>
              <w:t>Power of Attorney, incorporated by reference from Exhibit 24.1 to the Company's Registration Statement on Form S-1 filed on May 12, 2014.</w:t>
            </w:r>
          </w:p>
        </w:tc>
      </w:tr>
    </w:tbl>
    <w:p>
      <w:pPr>
        <w:spacing w:after="0" w:line="126" w:lineRule="exact"/>
        <w:rPr>
          <w:sz w:val="20"/>
          <w:szCs w:val="20"/>
          <w:color w:val="auto"/>
        </w:rPr>
      </w:pPr>
    </w:p>
    <w:p>
      <w:pPr>
        <w:jc w:val="right"/>
        <w:ind w:left="5628" w:right="5620" w:hanging="5628"/>
        <w:spacing w:after="0" w:line="785" w:lineRule="auto"/>
        <w:tabs>
          <w:tab w:leader="none" w:pos="124" w:val="left"/>
        </w:tabs>
        <w:numPr>
          <w:ilvl w:val="0"/>
          <w:numId w:val="73"/>
        </w:numPr>
        <w:rPr>
          <w:rFonts w:ascii="Arial" w:cs="Arial" w:eastAsia="Arial" w:hAnsi="Arial"/>
          <w:sz w:val="11"/>
          <w:szCs w:val="11"/>
          <w:color w:val="auto"/>
        </w:rPr>
      </w:pPr>
      <w:r>
        <w:rPr>
          <w:rFonts w:ascii="Arial" w:cs="Arial" w:eastAsia="Arial" w:hAnsi="Arial"/>
          <w:sz w:val="11"/>
          <w:szCs w:val="11"/>
          <w:color w:val="auto"/>
        </w:rPr>
        <w:t>Incorporated by reference from the like-numbered exhibit filed with our Current Report on Form 8-K on May 16, 2011. 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99325" cy="18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176" w:name="page177"/>
    <w:bookmarkEnd w:id="176"/>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 Financial Statement Schedules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All financial schedules have been omitted because they are not applicable or the information is included in the Registrant’s financial statements or related notes.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17. Undertakings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undersigned Registrant hereby undertakes:</w:t>
      </w:r>
    </w:p>
    <w:p>
      <w:pPr>
        <w:spacing w:after="0" w:line="150" w:lineRule="exact"/>
        <w:rPr>
          <w:sz w:val="20"/>
          <w:szCs w:val="20"/>
          <w:color w:val="auto"/>
        </w:rPr>
      </w:pPr>
    </w:p>
    <w:p>
      <w:pPr>
        <w:ind w:left="600" w:hanging="176"/>
        <w:spacing w:after="0"/>
        <w:tabs>
          <w:tab w:leader="none" w:pos="60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To file, during any period in which offers or sales are being made, a post-effective amendment to this registration statement:</w:t>
      </w:r>
    </w:p>
    <w:p>
      <w:pPr>
        <w:spacing w:after="0" w:line="150" w:lineRule="exact"/>
        <w:rPr>
          <w:rFonts w:ascii="Arial" w:cs="Arial" w:eastAsia="Arial" w:hAnsi="Arial"/>
          <w:sz w:val="12"/>
          <w:szCs w:val="12"/>
          <w:color w:val="auto"/>
        </w:rPr>
      </w:pPr>
    </w:p>
    <w:p>
      <w:pPr>
        <w:ind w:left="1000" w:hanging="143"/>
        <w:spacing w:after="0"/>
        <w:tabs>
          <w:tab w:leader="none" w:pos="1000" w:val="left"/>
        </w:tabs>
        <w:numPr>
          <w:ilvl w:val="1"/>
          <w:numId w:val="74"/>
        </w:numPr>
        <w:rPr>
          <w:rFonts w:ascii="Arial" w:cs="Arial" w:eastAsia="Arial" w:hAnsi="Arial"/>
          <w:sz w:val="12"/>
          <w:szCs w:val="12"/>
          <w:color w:val="auto"/>
        </w:rPr>
      </w:pPr>
      <w:r>
        <w:rPr>
          <w:rFonts w:ascii="Arial" w:cs="Arial" w:eastAsia="Arial" w:hAnsi="Arial"/>
          <w:sz w:val="12"/>
          <w:szCs w:val="12"/>
          <w:color w:val="auto"/>
        </w:rPr>
        <w:t>To include any prospectus required by Section l0 (a)(3) of the Securities Act:</w:t>
      </w:r>
    </w:p>
    <w:p>
      <w:pPr>
        <w:spacing w:after="0" w:line="150" w:lineRule="exact"/>
        <w:rPr>
          <w:rFonts w:ascii="Arial" w:cs="Arial" w:eastAsia="Arial" w:hAnsi="Arial"/>
          <w:sz w:val="12"/>
          <w:szCs w:val="12"/>
          <w:color w:val="auto"/>
        </w:rPr>
      </w:pPr>
    </w:p>
    <w:p>
      <w:pPr>
        <w:jc w:val="both"/>
        <w:ind w:firstLine="857"/>
        <w:spacing w:after="0" w:line="259" w:lineRule="auto"/>
        <w:tabs>
          <w:tab w:leader="none" w:pos="1044" w:val="left"/>
        </w:tabs>
        <w:numPr>
          <w:ilvl w:val="1"/>
          <w:numId w:val="74"/>
        </w:numPr>
        <w:rPr>
          <w:rFonts w:ascii="Arial" w:cs="Arial" w:eastAsia="Arial" w:hAnsi="Arial"/>
          <w:sz w:val="12"/>
          <w:szCs w:val="12"/>
          <w:color w:val="auto"/>
        </w:rPr>
      </w:pPr>
      <w:r>
        <w:rPr>
          <w:rFonts w:ascii="Arial" w:cs="Arial" w:eastAsia="Arial" w:hAnsi="Arial"/>
          <w:sz w:val="12"/>
          <w:szCs w:val="12"/>
          <w:color w:val="auto"/>
        </w:rPr>
        <w:t>To reflect in the prospectus any facts or events which, individually or together,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4" w:lineRule="exact"/>
        <w:rPr>
          <w:rFonts w:ascii="Arial" w:cs="Arial" w:eastAsia="Arial" w:hAnsi="Arial"/>
          <w:sz w:val="12"/>
          <w:szCs w:val="12"/>
          <w:color w:val="auto"/>
        </w:rPr>
      </w:pPr>
    </w:p>
    <w:p>
      <w:pPr>
        <w:ind w:left="1060" w:hanging="203"/>
        <w:spacing w:after="0"/>
        <w:tabs>
          <w:tab w:leader="none" w:pos="1060" w:val="left"/>
        </w:tabs>
        <w:numPr>
          <w:ilvl w:val="1"/>
          <w:numId w:val="74"/>
        </w:numPr>
        <w:rPr>
          <w:rFonts w:ascii="Arial" w:cs="Arial" w:eastAsia="Arial" w:hAnsi="Arial"/>
          <w:sz w:val="11"/>
          <w:szCs w:val="11"/>
          <w:color w:val="auto"/>
        </w:rPr>
      </w:pPr>
      <w:r>
        <w:rPr>
          <w:rFonts w:ascii="Arial" w:cs="Arial" w:eastAsia="Arial" w:hAnsi="Arial"/>
          <w:sz w:val="11"/>
          <w:szCs w:val="11"/>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Arial" w:cs="Arial" w:eastAsia="Arial" w:hAnsi="Arial"/>
          <w:sz w:val="11"/>
          <w:szCs w:val="11"/>
          <w:color w:val="auto"/>
        </w:rPr>
      </w:pPr>
    </w:p>
    <w:p>
      <w:pPr>
        <w:ind w:firstLine="424"/>
        <w:spacing w:after="0" w:line="276" w:lineRule="auto"/>
        <w:tabs>
          <w:tab w:leader="none" w:pos="612"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14" w:lineRule="exact"/>
        <w:rPr>
          <w:rFonts w:ascii="Arial" w:cs="Arial" w:eastAsia="Arial" w:hAnsi="Arial"/>
          <w:sz w:val="12"/>
          <w:szCs w:val="12"/>
          <w:color w:val="auto"/>
        </w:rPr>
      </w:pPr>
    </w:p>
    <w:p>
      <w:pPr>
        <w:ind w:left="600" w:hanging="176"/>
        <w:spacing w:after="0"/>
        <w:tabs>
          <w:tab w:leader="none" w:pos="60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that remain unsold at the termination of the offering.</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Insofar as indemnification for liabilities arising under the Securities Act of l933 (the “</w:t>
      </w:r>
      <w:r>
        <w:rPr>
          <w:rFonts w:ascii="Arial" w:cs="Arial" w:eastAsia="Arial" w:hAnsi="Arial"/>
          <w:sz w:val="11"/>
          <w:szCs w:val="11"/>
          <w:i w:val="1"/>
          <w:iCs w:val="1"/>
          <w:color w:val="auto"/>
        </w:rPr>
        <w:t>Act</w:t>
      </w:r>
      <w:r>
        <w:rPr>
          <w:rFonts w:ascii="Arial" w:cs="Arial" w:eastAsia="Arial" w:hAnsi="Arial"/>
          <w:sz w:val="11"/>
          <w:szCs w:val="11"/>
          <w:color w:val="auto"/>
        </w:rPr>
        <w: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11" w:lineRule="exact"/>
        <w:rPr>
          <w:sz w:val="20"/>
          <w:szCs w:val="20"/>
          <w:color w:val="auto"/>
        </w:rPr>
      </w:pPr>
    </w:p>
    <w:p>
      <w:pPr>
        <w:ind w:left="600" w:hanging="176"/>
        <w:spacing w:after="0"/>
        <w:tabs>
          <w:tab w:leader="none" w:pos="60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That, for the purpose of determining liability under the Securities Act of 1933 to any purchaser:</w:t>
      </w:r>
    </w:p>
    <w:p>
      <w:pPr>
        <w:spacing w:after="0" w:line="150"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(i) If the Registrant is relying on Rule 430B:</w:t>
      </w:r>
    </w:p>
    <w:p>
      <w:pPr>
        <w:spacing w:after="0" w:line="168" w:lineRule="exact"/>
        <w:rPr>
          <w:rFonts w:ascii="Arial" w:cs="Arial" w:eastAsia="Arial" w:hAnsi="Arial"/>
          <w:sz w:val="12"/>
          <w:szCs w:val="12"/>
          <w:color w:val="auto"/>
        </w:rPr>
      </w:pPr>
    </w:p>
    <w:p>
      <w:pPr>
        <w:ind w:left="1060" w:hanging="203"/>
        <w:spacing w:after="0"/>
        <w:tabs>
          <w:tab w:leader="none" w:pos="1060" w:val="left"/>
        </w:tabs>
        <w:numPr>
          <w:ilvl w:val="1"/>
          <w:numId w:val="75"/>
        </w:numPr>
        <w:rPr>
          <w:rFonts w:ascii="Arial" w:cs="Arial" w:eastAsia="Arial" w:hAnsi="Arial"/>
          <w:sz w:val="11"/>
          <w:szCs w:val="11"/>
          <w:color w:val="auto"/>
        </w:rPr>
      </w:pPr>
      <w:r>
        <w:rPr>
          <w:rFonts w:ascii="Arial" w:cs="Arial" w:eastAsia="Arial" w:hAnsi="Arial"/>
          <w:sz w:val="11"/>
          <w:szCs w:val="11"/>
          <w:color w:val="auto"/>
        </w:rPr>
        <w:t>Each prospectus filed by the Registrant pursuant to Rule 424(b)(3) shall be deemed to be part of the registration statement as of the date the filed prospectus was deemed part of and included in the registration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statement; and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77" w:name="page178"/>
    <w:bookmarkEnd w:id="177"/>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firstLine="857"/>
        <w:spacing w:after="0" w:line="281" w:lineRule="auto"/>
        <w:tabs>
          <w:tab w:leader="none" w:pos="1059" w:val="left"/>
        </w:tabs>
        <w:numPr>
          <w:ilvl w:val="1"/>
          <w:numId w:val="76"/>
        </w:numPr>
        <w:rPr>
          <w:rFonts w:ascii="Arial" w:cs="Arial" w:eastAsia="Arial" w:hAnsi="Arial"/>
          <w:sz w:val="11"/>
          <w:szCs w:val="11"/>
          <w:color w:val="auto"/>
        </w:rPr>
      </w:pPr>
      <w:r>
        <w:rPr>
          <w:rFonts w:ascii="Arial" w:cs="Arial" w:eastAsia="Arial" w:hAnsi="Arial"/>
          <w:sz w:val="11"/>
          <w:szCs w:val="11"/>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34" w:lineRule="exact"/>
        <w:rPr>
          <w:rFonts w:ascii="Arial" w:cs="Arial" w:eastAsia="Arial" w:hAnsi="Arial"/>
          <w:sz w:val="11"/>
          <w:szCs w:val="11"/>
          <w:color w:val="auto"/>
        </w:rPr>
      </w:pPr>
    </w:p>
    <w:p>
      <w:pPr>
        <w:jc w:val="both"/>
        <w:ind w:firstLine="424"/>
        <w:spacing w:after="0" w:line="257" w:lineRule="auto"/>
        <w:tabs>
          <w:tab w:leader="none" w:pos="626" w:val="left"/>
        </w:tabs>
        <w:numPr>
          <w:ilvl w:val="0"/>
          <w:numId w:val="77"/>
        </w:numPr>
        <w:rPr>
          <w:rFonts w:ascii="Arial" w:cs="Arial" w:eastAsia="Arial" w:hAnsi="Arial"/>
          <w:sz w:val="12"/>
          <w:szCs w:val="12"/>
          <w:color w:val="auto"/>
        </w:rPr>
      </w:pPr>
      <w:r>
        <w:rPr>
          <w:rFonts w:ascii="Arial" w:cs="Arial" w:eastAsia="Arial" w:hAnsi="Arial"/>
          <w:sz w:val="12"/>
          <w:szCs w:val="12"/>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(5) That, for the purpose of determining liability of the Registrant under the Securities Act of 1933 to any purchaser in the initial distribution of the securities:</w:t>
      </w:r>
    </w:p>
    <w:p>
      <w:pPr>
        <w:spacing w:after="0" w:line="150" w:lineRule="exact"/>
        <w:rPr>
          <w:sz w:val="20"/>
          <w:szCs w:val="20"/>
          <w:color w:val="auto"/>
        </w:rPr>
      </w:pPr>
    </w:p>
    <w:p>
      <w:pPr>
        <w:ind w:firstLine="432"/>
        <w:spacing w:after="0" w:line="380" w:lineRule="auto"/>
        <w:rPr>
          <w:sz w:val="20"/>
          <w:szCs w:val="20"/>
          <w:color w:val="auto"/>
        </w:rPr>
      </w:pPr>
      <w:r>
        <w:rPr>
          <w:rFonts w:ascii="Arial" w:cs="Arial" w:eastAsia="Arial" w:hAnsi="Arial"/>
          <w:sz w:val="10"/>
          <w:szCs w:val="10"/>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8" w:lineRule="exact"/>
        <w:rPr>
          <w:sz w:val="20"/>
          <w:szCs w:val="20"/>
          <w:color w:val="auto"/>
        </w:rPr>
      </w:pPr>
    </w:p>
    <w:p>
      <w:pPr>
        <w:ind w:left="560" w:hanging="136"/>
        <w:spacing w:after="0"/>
        <w:tabs>
          <w:tab w:leader="none" w:pos="5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Any preliminary prospectus or prospectus of the undersigned Registrant relating to the offering required to be filed pursuant to Rule 424;</w:t>
      </w:r>
    </w:p>
    <w:p>
      <w:pPr>
        <w:spacing w:after="0" w:line="150" w:lineRule="exact"/>
        <w:rPr>
          <w:rFonts w:ascii="Arial" w:cs="Arial" w:eastAsia="Arial" w:hAnsi="Arial"/>
          <w:sz w:val="12"/>
          <w:szCs w:val="12"/>
          <w:color w:val="auto"/>
        </w:rPr>
      </w:pPr>
    </w:p>
    <w:p>
      <w:pPr>
        <w:ind w:left="600" w:hanging="176"/>
        <w:spacing w:after="0"/>
        <w:tabs>
          <w:tab w:leader="none" w:pos="60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78"/>
        </w:numPr>
        <w:rPr>
          <w:rFonts w:ascii="Arial" w:cs="Arial" w:eastAsia="Arial" w:hAnsi="Arial"/>
          <w:sz w:val="11"/>
          <w:szCs w:val="11"/>
          <w:color w:val="auto"/>
        </w:rPr>
      </w:pPr>
      <w:r>
        <w:rPr>
          <w:rFonts w:ascii="Arial" w:cs="Arial" w:eastAsia="Arial" w:hAnsi="Arial"/>
          <w:sz w:val="11"/>
          <w:szCs w:val="11"/>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Arial" w:cs="Arial" w:eastAsia="Arial" w:hAnsi="Arial"/>
          <w:sz w:val="11"/>
          <w:szCs w:val="11"/>
          <w:color w:val="auto"/>
        </w:rPr>
      </w:pPr>
    </w:p>
    <w:p>
      <w:pPr>
        <w:ind w:left="620" w:hanging="196"/>
        <w:spacing w:after="0"/>
        <w:tabs>
          <w:tab w:leader="none" w:pos="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Any other communication that is an offer in the offering made by the undersigned Registrant to the purchaser.</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78" w:name="page179"/>
    <w:bookmarkEnd w:id="178"/>
    <w:p>
      <w:pPr>
        <w:spacing w:after="0"/>
        <w:rPr>
          <w:rFonts w:ascii="Arial" w:cs="Arial" w:eastAsia="Arial" w:hAnsi="Arial"/>
          <w:sz w:val="10"/>
          <w:szCs w:val="10"/>
          <w:i w:val="1"/>
          <w:iCs w:val="1"/>
          <w:u w:val="single" w:color="auto"/>
          <w:color w:val="0000EE"/>
        </w:rPr>
      </w:pPr>
      <w:hyperlink w:anchor="page6">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2"/>
          <w:szCs w:val="12"/>
          <w:color w:val="auto"/>
        </w:rPr>
        <w:t>Pursuant to the requirements of the Securities Act of l933, the registrant has duly caused this Registration Statement to be signed on its behalf by the undersigned, thereunto duly authorized, in the City of South San Francisco, California on the 3</w:t>
      </w:r>
      <w:r>
        <w:rPr>
          <w:rFonts w:ascii="Arial" w:cs="Arial" w:eastAsia="Arial" w:hAnsi="Arial"/>
          <w:sz w:val="16"/>
          <w:szCs w:val="16"/>
          <w:color w:val="auto"/>
          <w:vertAlign w:val="superscript"/>
        </w:rPr>
        <w:t>rd</w:t>
      </w:r>
      <w:r>
        <w:rPr>
          <w:rFonts w:ascii="Arial" w:cs="Arial" w:eastAsia="Arial" w:hAnsi="Arial"/>
          <w:sz w:val="12"/>
          <w:szCs w:val="12"/>
          <w:color w:val="auto"/>
        </w:rPr>
        <w:t xml:space="preserve"> day of July 2014.</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VISTAGEN THERAPEUTICS, INC.</w:t>
      </w:r>
    </w:p>
    <w:p>
      <w:pPr>
        <w:spacing w:after="0" w:line="154"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Shawn K. Singh, JD</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Shawn K. Singh, JD</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Chief Executive Officer</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Principal Executive Officer</w:t>
      </w:r>
      <w:r>
        <w:rPr>
          <w:rFonts w:ascii="Arial" w:cs="Arial" w:eastAsia="Arial" w:hAnsi="Arial"/>
          <w:sz w:val="12"/>
          <w:szCs w:val="12"/>
          <w:color w:val="auto"/>
        </w:rPr>
        <w:t>)</w:t>
      </w:r>
    </w:p>
    <w:p>
      <w:pPr>
        <w:spacing w:after="0" w:line="141"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i w:val="1"/>
          <w:iCs w:val="1"/>
          <w:u w:val="single" w:color="auto"/>
          <w:color w:val="auto"/>
        </w:rPr>
        <w:t>/s/ Jerrold D. Dotson</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Jerrold D. Dotson</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Principal Financial and Accounting Officer</w:t>
      </w:r>
      <w:r>
        <w:rPr>
          <w:rFonts w:ascii="Arial" w:cs="Arial" w:eastAsia="Arial" w:hAnsi="Arial"/>
          <w:sz w:val="12"/>
          <w:szCs w:val="12"/>
          <w:color w:val="auto"/>
        </w:rPr>
        <w:t>)</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60" w:type="dxa"/>
            <w:vAlign w:val="bottom"/>
            <w:gridSpan w:val="5"/>
          </w:tcPr>
          <w:p>
            <w:pPr>
              <w:spacing w:after="0"/>
              <w:rPr>
                <w:sz w:val="20"/>
                <w:szCs w:val="20"/>
                <w:color w:val="auto"/>
              </w:rPr>
            </w:pPr>
            <w:r>
              <w:rPr>
                <w:rFonts w:ascii="Arial" w:cs="Arial" w:eastAsia="Arial" w:hAnsi="Arial"/>
                <w:sz w:val="12"/>
                <w:szCs w:val="12"/>
                <w:color w:val="auto"/>
                <w:w w:val="95"/>
              </w:rPr>
              <w:t>Pursuant to the requirements of the Securities Act of l933, this Registration Statement has been signed by the following persons in the capacities and on the dates indicated: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61"/>
        </w:trPr>
        <w:tc>
          <w:tcPr>
            <w:tcW w:w="460" w:type="dxa"/>
            <w:vAlign w:val="bottom"/>
          </w:tcPr>
          <w:p>
            <w:pPr>
              <w:spacing w:after="0"/>
              <w:rPr>
                <w:sz w:val="20"/>
                <w:szCs w:val="20"/>
                <w:color w:val="auto"/>
              </w:rPr>
            </w:pPr>
            <w:r>
              <w:rPr>
                <w:rFonts w:ascii="Arial" w:cs="Arial" w:eastAsia="Arial" w:hAnsi="Arial"/>
                <w:sz w:val="12"/>
                <w:szCs w:val="12"/>
                <w:color w:val="auto"/>
                <w:w w:val="85"/>
              </w:rPr>
              <w:t>Signature</w:t>
            </w:r>
          </w:p>
        </w:tc>
        <w:tc>
          <w:tcPr>
            <w:tcW w:w="33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12"/>
                <w:szCs w:val="12"/>
                <w:color w:val="auto"/>
              </w:rPr>
              <w:t>Title</w:t>
            </w:r>
          </w:p>
        </w:tc>
        <w:tc>
          <w:tcPr>
            <w:tcW w:w="720" w:type="dxa"/>
            <w:vAlign w:val="bottom"/>
          </w:tcPr>
          <w:p>
            <w:pPr>
              <w:spacing w:after="0"/>
              <w:rPr>
                <w:sz w:val="22"/>
                <w:szCs w:val="22"/>
                <w:color w:val="auto"/>
              </w:rPr>
            </w:pPr>
          </w:p>
        </w:tc>
        <w:tc>
          <w:tcPr>
            <w:tcW w:w="40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Date</w:t>
            </w:r>
          </w:p>
        </w:tc>
      </w:tr>
      <w:tr>
        <w:trPr>
          <w:trHeight w:val="20"/>
        </w:trPr>
        <w:tc>
          <w:tcPr>
            <w:tcW w:w="4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5"/>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w:t>
            </w:r>
          </w:p>
        </w:tc>
        <w:tc>
          <w:tcPr>
            <w:tcW w:w="3300" w:type="dxa"/>
            <w:vAlign w:val="bottom"/>
            <w:tcBorders>
              <w:bottom w:val="single" w:sz="8" w:color="auto"/>
            </w:tcBorders>
          </w:tcPr>
          <w:p>
            <w:pPr>
              <w:spacing w:after="0"/>
              <w:rPr>
                <w:sz w:val="24"/>
                <w:szCs w:val="24"/>
                <w:color w:val="auto"/>
              </w:rPr>
            </w:pPr>
          </w:p>
        </w:tc>
        <w:tc>
          <w:tcPr>
            <w:tcW w:w="1860" w:type="dxa"/>
            <w:vAlign w:val="bottom"/>
          </w:tcPr>
          <w:p>
            <w:pPr>
              <w:ind w:left="120"/>
              <w:spacing w:after="0"/>
              <w:rPr>
                <w:sz w:val="20"/>
                <w:szCs w:val="20"/>
                <w:color w:val="auto"/>
              </w:rPr>
            </w:pPr>
            <w:r>
              <w:rPr>
                <w:rFonts w:ascii="Arial" w:cs="Arial" w:eastAsia="Arial" w:hAnsi="Arial"/>
                <w:sz w:val="12"/>
                <w:szCs w:val="12"/>
                <w:color w:val="auto"/>
              </w:rPr>
              <w:t>Chief Executive Officer</w:t>
            </w: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20" w:type="dxa"/>
            <w:vAlign w:val="bottom"/>
            <w:gridSpan w:val="3"/>
          </w:tcPr>
          <w:p>
            <w:pPr>
              <w:jc w:val="center"/>
              <w:ind w:left="460"/>
              <w:spacing w:after="0"/>
              <w:rPr>
                <w:sz w:val="20"/>
                <w:szCs w:val="20"/>
                <w:color w:val="auto"/>
              </w:rPr>
            </w:pPr>
            <w:r>
              <w:rPr>
                <w:rFonts w:ascii="Arial" w:cs="Arial" w:eastAsia="Arial" w:hAnsi="Arial"/>
                <w:sz w:val="12"/>
                <w:szCs w:val="12"/>
                <w:color w:val="auto"/>
                <w:w w:val="92"/>
              </w:rPr>
              <w:t>July 3, 2014</w:t>
            </w:r>
          </w:p>
        </w:tc>
      </w:tr>
      <w:tr>
        <w:trPr>
          <w:trHeight w:val="151"/>
        </w:trPr>
        <w:tc>
          <w:tcPr>
            <w:tcW w:w="3760" w:type="dxa"/>
            <w:vAlign w:val="bottom"/>
            <w:gridSpan w:val="2"/>
          </w:tcPr>
          <w:p>
            <w:pPr>
              <w:spacing w:after="0"/>
              <w:rPr>
                <w:sz w:val="20"/>
                <w:szCs w:val="20"/>
                <w:color w:val="auto"/>
              </w:rPr>
            </w:pPr>
            <w:r>
              <w:rPr>
                <w:rFonts w:ascii="Arial" w:cs="Arial" w:eastAsia="Arial" w:hAnsi="Arial"/>
                <w:sz w:val="12"/>
                <w:szCs w:val="12"/>
                <w:color w:val="auto"/>
              </w:rPr>
              <w:t>Shawn K. Singh, JD</w:t>
            </w:r>
          </w:p>
        </w:tc>
        <w:tc>
          <w:tcPr>
            <w:tcW w:w="5000" w:type="dxa"/>
            <w:vAlign w:val="bottom"/>
            <w:gridSpan w:val="3"/>
          </w:tcPr>
          <w:p>
            <w:pPr>
              <w:ind w:left="120"/>
              <w:spacing w:after="0"/>
              <w:rPr>
                <w:sz w:val="20"/>
                <w:szCs w:val="20"/>
                <w:color w:val="auto"/>
              </w:rPr>
            </w:pPr>
            <w:r>
              <w:rPr>
                <w:rFonts w:ascii="Arial" w:cs="Arial" w:eastAsia="Arial" w:hAnsi="Arial"/>
                <w:sz w:val="12"/>
                <w:szCs w:val="12"/>
                <w:color w:val="auto"/>
              </w:rPr>
              <w:t>(Principal Executive Officer) and Director</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79"/>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w:t>
            </w:r>
          </w:p>
        </w:tc>
        <w:tc>
          <w:tcPr>
            <w:tcW w:w="3300" w:type="dxa"/>
            <w:vAlign w:val="bottom"/>
            <w:tcBorders>
              <w:bottom w:val="single" w:sz="8" w:color="auto"/>
            </w:tcBorders>
          </w:tcPr>
          <w:p>
            <w:pPr>
              <w:spacing w:after="0"/>
              <w:rPr>
                <w:sz w:val="24"/>
                <w:szCs w:val="24"/>
                <w:color w:val="auto"/>
              </w:rPr>
            </w:pPr>
          </w:p>
        </w:tc>
        <w:tc>
          <w:tcPr>
            <w:tcW w:w="5000" w:type="dxa"/>
            <w:vAlign w:val="bottom"/>
            <w:gridSpan w:val="3"/>
          </w:tcPr>
          <w:p>
            <w:pPr>
              <w:ind w:left="120"/>
              <w:spacing w:after="0"/>
              <w:rPr>
                <w:sz w:val="20"/>
                <w:szCs w:val="20"/>
                <w:color w:val="auto"/>
              </w:rPr>
            </w:pPr>
            <w:r>
              <w:rPr>
                <w:rFonts w:ascii="Arial" w:cs="Arial" w:eastAsia="Arial" w:hAnsi="Arial"/>
                <w:sz w:val="12"/>
                <w:szCs w:val="12"/>
                <w:color w:val="auto"/>
              </w:rPr>
              <w:t>President and Chief Scientific Officer and</w:t>
            </w:r>
          </w:p>
        </w:tc>
        <w:tc>
          <w:tcPr>
            <w:tcW w:w="1120" w:type="dxa"/>
            <w:vAlign w:val="bottom"/>
            <w:gridSpan w:val="3"/>
          </w:tcPr>
          <w:p>
            <w:pPr>
              <w:jc w:val="center"/>
              <w:ind w:left="460"/>
              <w:spacing w:after="0"/>
              <w:rPr>
                <w:sz w:val="20"/>
                <w:szCs w:val="20"/>
                <w:color w:val="auto"/>
              </w:rPr>
            </w:pPr>
            <w:r>
              <w:rPr>
                <w:rFonts w:ascii="Arial" w:cs="Arial" w:eastAsia="Arial" w:hAnsi="Arial"/>
                <w:sz w:val="12"/>
                <w:szCs w:val="12"/>
                <w:color w:val="auto"/>
                <w:w w:val="92"/>
              </w:rPr>
              <w:t>July 3, 2014</w:t>
            </w:r>
          </w:p>
        </w:tc>
      </w:tr>
      <w:tr>
        <w:trPr>
          <w:trHeight w:val="151"/>
        </w:trPr>
        <w:tc>
          <w:tcPr>
            <w:tcW w:w="3760" w:type="dxa"/>
            <w:vAlign w:val="bottom"/>
            <w:gridSpan w:val="2"/>
          </w:tcPr>
          <w:p>
            <w:pPr>
              <w:spacing w:after="0"/>
              <w:rPr>
                <w:sz w:val="20"/>
                <w:szCs w:val="20"/>
                <w:color w:val="auto"/>
              </w:rPr>
            </w:pPr>
            <w:r>
              <w:rPr>
                <w:rFonts w:ascii="Arial" w:cs="Arial" w:eastAsia="Arial" w:hAnsi="Arial"/>
                <w:sz w:val="12"/>
                <w:szCs w:val="12"/>
                <w:color w:val="auto"/>
              </w:rPr>
              <w:t>H. Ralph Snodgrass, Ph.D.</w:t>
            </w:r>
          </w:p>
        </w:tc>
        <w:tc>
          <w:tcPr>
            <w:tcW w:w="500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79"/>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w:t>
            </w:r>
          </w:p>
        </w:tc>
        <w:tc>
          <w:tcPr>
            <w:tcW w:w="3300" w:type="dxa"/>
            <w:vAlign w:val="bottom"/>
            <w:tcBorders>
              <w:bottom w:val="single" w:sz="8" w:color="auto"/>
            </w:tcBorders>
          </w:tcPr>
          <w:p>
            <w:pPr>
              <w:spacing w:after="0"/>
              <w:rPr>
                <w:sz w:val="24"/>
                <w:szCs w:val="24"/>
                <w:color w:val="auto"/>
              </w:rPr>
            </w:pPr>
          </w:p>
        </w:tc>
        <w:tc>
          <w:tcPr>
            <w:tcW w:w="500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1120" w:type="dxa"/>
            <w:vAlign w:val="bottom"/>
            <w:gridSpan w:val="3"/>
          </w:tcPr>
          <w:p>
            <w:pPr>
              <w:jc w:val="center"/>
              <w:ind w:left="460"/>
              <w:spacing w:after="0"/>
              <w:rPr>
                <w:sz w:val="20"/>
                <w:szCs w:val="20"/>
                <w:color w:val="auto"/>
              </w:rPr>
            </w:pPr>
            <w:r>
              <w:rPr>
                <w:rFonts w:ascii="Arial" w:cs="Arial" w:eastAsia="Arial" w:hAnsi="Arial"/>
                <w:sz w:val="12"/>
                <w:szCs w:val="12"/>
                <w:color w:val="auto"/>
                <w:w w:val="92"/>
              </w:rPr>
              <w:t>July 3, 2014</w:t>
            </w:r>
          </w:p>
        </w:tc>
      </w:tr>
      <w:tr>
        <w:trPr>
          <w:trHeight w:val="151"/>
        </w:trPr>
        <w:tc>
          <w:tcPr>
            <w:tcW w:w="3760" w:type="dxa"/>
            <w:vAlign w:val="bottom"/>
            <w:gridSpan w:val="2"/>
          </w:tcPr>
          <w:p>
            <w:pPr>
              <w:spacing w:after="0"/>
              <w:rPr>
                <w:sz w:val="20"/>
                <w:szCs w:val="20"/>
                <w:color w:val="auto"/>
              </w:rPr>
            </w:pPr>
            <w:r>
              <w:rPr>
                <w:rFonts w:ascii="Arial" w:cs="Arial" w:eastAsia="Arial" w:hAnsi="Arial"/>
                <w:sz w:val="12"/>
                <w:szCs w:val="12"/>
                <w:color w:val="auto"/>
              </w:rPr>
              <w:t>Jon S. Saxe</w:t>
            </w: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79"/>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w:t>
            </w:r>
          </w:p>
        </w:tc>
        <w:tc>
          <w:tcPr>
            <w:tcW w:w="3300" w:type="dxa"/>
            <w:vAlign w:val="bottom"/>
            <w:tcBorders>
              <w:bottom w:val="single" w:sz="8" w:color="auto"/>
            </w:tcBorders>
          </w:tcPr>
          <w:p>
            <w:pPr>
              <w:spacing w:after="0"/>
              <w:rPr>
                <w:sz w:val="24"/>
                <w:szCs w:val="24"/>
                <w:color w:val="auto"/>
              </w:rPr>
            </w:pPr>
          </w:p>
        </w:tc>
        <w:tc>
          <w:tcPr>
            <w:tcW w:w="500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1120" w:type="dxa"/>
            <w:vAlign w:val="bottom"/>
            <w:gridSpan w:val="3"/>
          </w:tcPr>
          <w:p>
            <w:pPr>
              <w:jc w:val="center"/>
              <w:ind w:left="460"/>
              <w:spacing w:after="0"/>
              <w:rPr>
                <w:sz w:val="20"/>
                <w:szCs w:val="20"/>
                <w:color w:val="auto"/>
              </w:rPr>
            </w:pPr>
            <w:r>
              <w:rPr>
                <w:rFonts w:ascii="Arial" w:cs="Arial" w:eastAsia="Arial" w:hAnsi="Arial"/>
                <w:sz w:val="12"/>
                <w:szCs w:val="12"/>
                <w:color w:val="auto"/>
                <w:w w:val="92"/>
              </w:rPr>
              <w:t>July 3, 2014</w:t>
            </w:r>
          </w:p>
        </w:tc>
      </w:tr>
      <w:tr>
        <w:trPr>
          <w:trHeight w:val="151"/>
        </w:trPr>
        <w:tc>
          <w:tcPr>
            <w:tcW w:w="3760" w:type="dxa"/>
            <w:vAlign w:val="bottom"/>
            <w:gridSpan w:val="2"/>
          </w:tcPr>
          <w:p>
            <w:pPr>
              <w:spacing w:after="0"/>
              <w:rPr>
                <w:sz w:val="20"/>
                <w:szCs w:val="20"/>
                <w:color w:val="auto"/>
              </w:rPr>
            </w:pPr>
            <w:r>
              <w:rPr>
                <w:rFonts w:ascii="Arial" w:cs="Arial" w:eastAsia="Arial" w:hAnsi="Arial"/>
                <w:sz w:val="12"/>
                <w:szCs w:val="12"/>
                <w:color w:val="auto"/>
              </w:rPr>
              <w:t>Brian J. Underdown</w:t>
            </w: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 By: /s/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396490" cy="11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96490" cy="114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Attorney-in-fact</w:t>
      </w:r>
    </w:p>
    <w:p>
      <w:pPr>
        <w:sectPr>
          <w:pgSz w:w="11900" w:h="16838" w:orient="portrait"/>
          <w:cols w:equalWidth="0" w:num="1">
            <w:col w:w="11480"/>
          </w:cols>
          <w:pgMar w:left="220" w:top="128" w:right="199" w:bottom="1440" w:gutter="0" w:footer="0" w:header="0"/>
        </w:sectPr>
      </w:pPr>
    </w:p>
    <w:bookmarkStart w:id="179" w:name="page180"/>
    <w:bookmarkEnd w:id="179"/>
    <w:p>
      <w:pPr>
        <w:jc w:val="right"/>
        <w:spacing w:after="0"/>
        <w:rPr>
          <w:sz w:val="20"/>
          <w:szCs w:val="20"/>
          <w:color w:val="auto"/>
        </w:rPr>
      </w:pPr>
      <w:r>
        <w:rPr>
          <w:rFonts w:ascii="Arial" w:cs="Arial" w:eastAsia="Arial" w:hAnsi="Arial"/>
          <w:sz w:val="12"/>
          <w:szCs w:val="12"/>
          <w:b w:val="1"/>
          <w:bCs w:val="1"/>
          <w:color w:val="auto"/>
        </w:rPr>
        <w:t>Exhibit 23.1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72"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We hereby consent to the use in this Registration Statement (No. 333-195901) on Form S-1, Amendment No. 2, of our report dated June 23, 2014 (which report expresses an unqualified opinion and includes an emphasis of matter paragraph concerning the Company’s ability to continue as a going concern) relating to the consolidated financial statements of VistaGen Therapeutics, Inc. which appears in such Registration Statement.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We also consent to the references to us under the heading “Experts” in such Registration Statement.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 OUM &amp; CO.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July 3, 2014</w:t>
      </w: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decimal"/>
      <w:start w:val="1"/>
    </w:lvl>
  </w:abstractNum>
  <w:abstractNum w:abstractNumId="1">
    <w:nsid w:val="2D517796"/>
    <w:multiLevelType w:val="hybridMultilevel"/>
    <w:lvl w:ilvl="0">
      <w:lvlJc w:val="left"/>
      <w:lvlText w:val="(%1)"/>
      <w:numFmt w:val="decimal"/>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lvl w:ilvl="1">
      <w:lvlJc w:val="left"/>
      <w:lvlText w:val="●"/>
      <w:numFmt w:val="bullet"/>
      <w:start w:val="1"/>
    </w:lvl>
  </w:abstractNum>
  <w:abstractNum w:abstractNumId="5">
    <w:nsid w:val="70A64E2A"/>
    <w:multiLevelType w:val="hybridMultilevel"/>
    <w:lvl w:ilvl="0">
      <w:lvlJc w:val="left"/>
      <w:lvlText w:val="●"/>
      <w:numFmt w:val="bullet"/>
      <w:start w:val="1"/>
    </w:lvl>
    <w:lvl w:ilvl="1">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lvl w:ilvl="1">
      <w:lvlJc w:val="left"/>
      <w:lvlText w:val="●"/>
      <w:numFmt w:val="bullet"/>
      <w:start w:val="1"/>
    </w:lvl>
  </w:abstractNum>
  <w:abstractNum w:abstractNumId="21">
    <w:nsid w:val="749ABB43"/>
    <w:multiLevelType w:val="hybridMultilevel"/>
    <w:lvl w:ilvl="0">
      <w:lvlJc w:val="left"/>
      <w:lvlText w:val="●"/>
      <w:numFmt w:val="bullet"/>
      <w:start w:val="1"/>
    </w:lvl>
    <w:lvl w:ilvl="1">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lvl w:ilvl="1">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lvl w:ilvl="1">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1)"/>
      <w:numFmt w:val="lowerLetter"/>
      <w:start w:val="1"/>
    </w:lvl>
  </w:abstractNum>
  <w:abstractNum w:abstractNumId="51">
    <w:nsid w:val="2F305DEF"/>
    <w:multiLevelType w:val="hybridMultilevel"/>
    <w:lvl w:ilvl="0">
      <w:lvlJc w:val="left"/>
      <w:lvlText w:val="(%1)"/>
      <w:numFmt w:val="decimal"/>
      <w:start w:val="9"/>
    </w:lvl>
  </w:abstractNum>
  <w:abstractNum w:abstractNumId="52">
    <w:nsid w:val="25A70BF7"/>
    <w:multiLevelType w:val="hybridMultilevel"/>
    <w:lvl w:ilvl="0">
      <w:lvlJc w:val="left"/>
      <w:lvlText w:val="(%1)"/>
      <w:numFmt w:val="decimal"/>
      <w:start w:val="1"/>
    </w:lvl>
    <w:lvl w:ilvl="1">
      <w:lvlJc w:val="left"/>
      <w:lvlText w:val="(%2)"/>
      <w:numFmt w:val="decimal"/>
      <w:start w:val="2"/>
    </w:lvl>
  </w:abstractNum>
  <w:abstractNum w:abstractNumId="53">
    <w:nsid w:val="1DBABF00"/>
    <w:multiLevelType w:val="hybridMultilevel"/>
    <w:lvl w:ilvl="0">
      <w:lvlJc w:val="left"/>
      <w:lvlText w:val="●"/>
      <w:numFmt w:val="bullet"/>
      <w:start w:val="1"/>
    </w:lvl>
    <w:lvl w:ilvl="1">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lvl w:ilvl="1">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
      <w:numFmt w:val="bullet"/>
      <w:start w:val="1"/>
    </w:lvl>
    <w:lvl w:ilvl="1">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1)"/>
      <w:numFmt w:val="decimal"/>
      <w:start w:val="1"/>
    </w:lvl>
  </w:abstractNum>
  <w:abstractNum w:abstractNumId="62">
    <w:nsid w:val="98A3148"/>
    <w:multiLevelType w:val="hybridMultilevel"/>
    <w:lvl w:ilvl="0">
      <w:lvlJc w:val="left"/>
      <w:lvlText w:val="(%1)"/>
      <w:numFmt w:val="decimal"/>
      <w:start w:val="7"/>
    </w:lvl>
  </w:abstractNum>
  <w:abstractNum w:abstractNumId="63">
    <w:nsid w:val="799D0247"/>
    <w:multiLevelType w:val="hybridMultilevel"/>
    <w:lvl w:ilvl="0">
      <w:lvlJc w:val="left"/>
      <w:lvlText w:val="%1."/>
      <w:numFmt w:val="decimal"/>
      <w:start w:val="10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lvl w:ilvl="1">
      <w:lvlJc w:val="left"/>
      <w:lvlText w:val="●"/>
      <w:numFmt w:val="bullet"/>
      <w:start w:val="1"/>
    </w:lvl>
  </w:abstractNum>
  <w:abstractNum w:abstractNumId="66">
    <w:nsid w:val="168E121F"/>
    <w:multiLevelType w:val="hybridMultilevel"/>
    <w:lvl w:ilvl="0">
      <w:lvlJc w:val="left"/>
      <w:lvlText w:val="(%1)"/>
      <w:numFmt w:val="decimal"/>
      <w:start w:val="1"/>
    </w:lvl>
  </w:abstractNum>
  <w:abstractNum w:abstractNumId="67">
    <w:nsid w:val="1EBA5D23"/>
    <w:multiLevelType w:val="hybridMultilevel"/>
    <w:lvl w:ilvl="0">
      <w:lvlJc w:val="left"/>
      <w:lvlText w:val="(%1)"/>
      <w:numFmt w:val="lowerRoman"/>
      <w:start w:val="3"/>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1)"/>
      <w:numFmt w:val="decimal"/>
      <w:start w:val="1"/>
    </w:lvl>
  </w:abstractNum>
  <w:abstractNum w:abstractNumId="70">
    <w:nsid w:val="540A471C"/>
    <w:multiLevelType w:val="hybridMultilevel"/>
    <w:lvl w:ilvl="0">
      <w:lvlJc w:val="left"/>
      <w:lvlText w:val="%1."/>
      <w:numFmt w:val="decimal"/>
      <w:start w:val="18"/>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1)"/>
      <w:numFmt w:val="decimal"/>
      <w:start w:val="1"/>
    </w:lvl>
    <w:lvl w:ilvl="1">
      <w:lvlJc w:val="left"/>
      <w:lvlText w:val="(%2)"/>
      <w:numFmt w:val="lowerRoman"/>
      <w:start w:val="1"/>
    </w:lvl>
  </w:abstractNum>
  <w:abstractNum w:abstractNumId="74">
    <w:nsid w:val="BF72B14"/>
    <w:multiLevelType w:val="hybridMultilevel"/>
    <w:lvl w:ilvl="0">
      <w:lvlJc w:val="left"/>
      <w:lvlText w:val="(%1)"/>
      <w:numFmt w:val="decimal"/>
      <w:start w:val="4"/>
    </w:lvl>
    <w:lvl w:ilvl="1">
      <w:lvlJc w:val="left"/>
      <w:lvlText w:val="(%2)"/>
      <w:numFmt w:val="upperLetter"/>
      <w:start w:val="1"/>
    </w:lvl>
  </w:abstractNum>
  <w:abstractNum w:abstractNumId="75">
    <w:nsid w:val="11447B73"/>
    <w:multiLevelType w:val="hybridMultilevel"/>
    <w:lvl w:ilvl="0">
      <w:lvlJc w:val="left"/>
      <w:lvlText w:val="%1"/>
      <w:numFmt w:val="lowerRoman"/>
      <w:start w:val="1"/>
    </w:lvl>
    <w:lvl w:ilvl="1">
      <w:lvlJc w:val="left"/>
      <w:lvlText w:val="(%2)"/>
      <w:numFmt w:val="upperLetter"/>
      <w:start w:val="2"/>
    </w:lvl>
  </w:abstractNum>
  <w:abstractNum w:abstractNumId="76">
    <w:nsid w:val="42963E5A"/>
    <w:multiLevelType w:val="hybridMultilevel"/>
    <w:lvl w:ilvl="0">
      <w:lvlJc w:val="left"/>
      <w:lvlText w:val="(%1)"/>
      <w:numFmt w:val="lowerRoman"/>
      <w:start w:val="2"/>
    </w:lvl>
    <w:lvl w:ilvl="1">
      <w:lvlJc w:val="left"/>
      <w:lvlText w:val="%2"/>
      <w:numFmt w:val="upperLetter"/>
      <w:start w:val="1"/>
    </w:lvl>
  </w:abstractNum>
  <w:abstractNum w:abstractNumId="77">
    <w:nsid w:val="A0382C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2020-01-27T22:08:04Z</dcterms:created>
  <dcterms:modified xsi:type="dcterms:W3CDTF">2020-01-27T22:08:04Z</dcterms:modified>
</cp:coreProperties>
</file>