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396875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40" w:hanging="976"/>
        <w:spacing w:after="0"/>
        <w:tabs>
          <w:tab w:leader="none" w:pos="12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1240" w:hanging="976"/>
        <w:spacing w:after="0"/>
        <w:tabs>
          <w:tab w:leader="none" w:pos="1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7" w:lineRule="exact"/>
        <w:rPr>
          <w:sz w:val="24"/>
          <w:szCs w:val="24"/>
          <w:color w:val="auto"/>
        </w:rPr>
      </w:pPr>
    </w:p>
    <w:tbl>
      <w:tblPr>
        <w:tblLayout w:type="fixed"/>
        <w:tblInd w:w="1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c>
          <w:tcPr>
            <w:tcW w:w="3660" w:type="dxa"/>
            <w:vAlign w:val="bottom"/>
          </w:tcPr>
          <w:p>
            <w:pPr>
              <w:jc w:val="right"/>
              <w:ind w:right="3492"/>
              <w:spacing w:after="0"/>
              <w:rPr>
                <w:sz w:val="20"/>
                <w:szCs w:val="20"/>
                <w:color w:val="auto"/>
              </w:rPr>
            </w:pPr>
            <w:r>
              <w:rPr>
                <w:rFonts w:ascii="Arial" w:cs="Arial" w:eastAsia="Arial" w:hAnsi="Arial"/>
                <w:sz w:val="18"/>
                <w:szCs w:val="18"/>
                <w:b w:val="1"/>
                <w:bCs w:val="1"/>
                <w:color w:val="auto"/>
              </w:rPr>
              <w:t>.</w:t>
            </w:r>
          </w:p>
        </w:tc>
      </w:tr>
      <w:tr>
        <w:trPr>
          <w:trHeight w:val="450"/>
        </w:trPr>
        <w:tc>
          <w:tcPr>
            <w:tcW w:w="2320" w:type="dxa"/>
            <w:vAlign w:val="bottom"/>
          </w:tcPr>
          <w:p>
            <w:pPr>
              <w:spacing w:after="0"/>
              <w:rPr>
                <w:sz w:val="24"/>
                <w:szCs w:val="24"/>
                <w:color w:val="auto"/>
              </w:rPr>
            </w:pPr>
          </w:p>
        </w:tc>
        <w:tc>
          <w:tcPr>
            <w:tcW w:w="5640" w:type="dxa"/>
            <w:vAlign w:val="bottom"/>
            <w:gridSpan w:val="4"/>
          </w:tcPr>
          <w:p>
            <w:pPr>
              <w:jc w:val="center"/>
              <w:ind w:right="1852"/>
              <w:spacing w:after="0"/>
              <w:rPr>
                <w:sz w:val="20"/>
                <w:szCs w:val="20"/>
                <w:color w:val="auto"/>
              </w:rPr>
            </w:pPr>
            <w:r>
              <w:rPr>
                <w:rFonts w:ascii="Arial" w:cs="Arial" w:eastAsia="Arial" w:hAnsi="Arial"/>
                <w:sz w:val="18"/>
                <w:szCs w:val="18"/>
                <w:b w:val="1"/>
                <w:bCs w:val="1"/>
                <w:color w:val="auto"/>
                <w:w w:val="88"/>
              </w:rPr>
              <w:t>Commission File Number: 001-37761</w:t>
            </w:r>
          </w:p>
        </w:tc>
      </w:tr>
      <w:tr>
        <w:trPr>
          <w:trHeight w:val="573"/>
        </w:trPr>
        <w:tc>
          <w:tcPr>
            <w:tcW w:w="7960" w:type="dxa"/>
            <w:vAlign w:val="bottom"/>
            <w:gridSpan w:val="5"/>
          </w:tcPr>
          <w:p>
            <w:pPr>
              <w:jc w:val="center"/>
              <w:ind w:left="258"/>
              <w:spacing w:after="0"/>
              <w:rPr>
                <w:sz w:val="20"/>
                <w:szCs w:val="20"/>
                <w:color w:val="auto"/>
              </w:rPr>
            </w:pPr>
            <w:r>
              <w:rPr>
                <w:rFonts w:ascii="Arial" w:cs="Arial" w:eastAsia="Arial" w:hAnsi="Arial"/>
                <w:sz w:val="32"/>
                <w:szCs w:val="32"/>
                <w:b w:val="1"/>
                <w:bCs w:val="1"/>
                <w:color w:val="auto"/>
                <w:w w:val="92"/>
              </w:rPr>
              <w:t>VistaGen Therapeutics, Inc.</w:t>
            </w:r>
          </w:p>
        </w:tc>
      </w:tr>
      <w:tr>
        <w:trPr>
          <w:trHeight w:val="222"/>
        </w:trPr>
        <w:tc>
          <w:tcPr>
            <w:tcW w:w="2320" w:type="dxa"/>
            <w:vAlign w:val="bottom"/>
          </w:tcPr>
          <w:p>
            <w:pPr>
              <w:spacing w:after="0"/>
              <w:rPr>
                <w:sz w:val="19"/>
                <w:szCs w:val="19"/>
                <w:color w:val="auto"/>
              </w:rPr>
            </w:pPr>
          </w:p>
        </w:tc>
        <w:tc>
          <w:tcPr>
            <w:tcW w:w="5640" w:type="dxa"/>
            <w:vAlign w:val="bottom"/>
            <w:gridSpan w:val="4"/>
          </w:tcPr>
          <w:p>
            <w:pPr>
              <w:jc w:val="center"/>
              <w:ind w:right="185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r>
      <w:tr>
        <w:trPr>
          <w:trHeight w:val="641"/>
        </w:trPr>
        <w:tc>
          <w:tcPr>
            <w:tcW w:w="2320" w:type="dxa"/>
            <w:vAlign w:val="bottom"/>
          </w:tcPr>
          <w:p>
            <w:pPr>
              <w:jc w:val="center"/>
              <w:ind w:left="58"/>
              <w:spacing w:after="0"/>
              <w:rPr>
                <w:sz w:val="20"/>
                <w:szCs w:val="20"/>
                <w:color w:val="auto"/>
              </w:rPr>
            </w:pPr>
            <w:r>
              <w:rPr>
                <w:rFonts w:ascii="Arial" w:cs="Arial" w:eastAsia="Arial" w:hAnsi="Arial"/>
                <w:sz w:val="18"/>
                <w:szCs w:val="18"/>
                <w:b w:val="1"/>
                <w:bCs w:val="1"/>
                <w:color w:val="auto"/>
                <w:w w:val="87"/>
              </w:rPr>
              <w:t>Nevada</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2"/>
          </w:tcPr>
          <w:p>
            <w:pPr>
              <w:jc w:val="center"/>
              <w:ind w:left="3152"/>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320" w:type="dxa"/>
            <w:vAlign w:val="bottom"/>
          </w:tcPr>
          <w:p>
            <w:pPr>
              <w:jc w:val="center"/>
              <w:ind w:left="78"/>
              <w:spacing w:after="0"/>
              <w:rPr>
                <w:sz w:val="20"/>
                <w:szCs w:val="20"/>
                <w:color w:val="auto"/>
              </w:rPr>
            </w:pPr>
            <w:r>
              <w:rPr>
                <w:rFonts w:ascii="Arial" w:cs="Arial" w:eastAsia="Arial" w:hAnsi="Arial"/>
                <w:sz w:val="18"/>
                <w:szCs w:val="18"/>
                <w:i w:val="1"/>
                <w:iCs w:val="1"/>
                <w:color w:val="auto"/>
                <w:w w:val="91"/>
              </w:rPr>
              <w:t>(State or other jurisdiction of</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60" w:type="dxa"/>
            <w:vAlign w:val="bottom"/>
          </w:tcPr>
          <w:p>
            <w:pPr>
              <w:jc w:val="center"/>
              <w:ind w:left="227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2320" w:type="dxa"/>
            <w:vAlign w:val="bottom"/>
          </w:tcPr>
          <w:p>
            <w:pPr>
              <w:jc w:val="center"/>
              <w:ind w:left="58"/>
              <w:spacing w:after="0"/>
              <w:rPr>
                <w:sz w:val="20"/>
                <w:szCs w:val="20"/>
                <w:color w:val="auto"/>
              </w:rPr>
            </w:pPr>
            <w:r>
              <w:rPr>
                <w:rFonts w:ascii="Arial" w:cs="Arial" w:eastAsia="Arial" w:hAnsi="Arial"/>
                <w:sz w:val="18"/>
                <w:szCs w:val="18"/>
                <w:i w:val="1"/>
                <w:iCs w:val="1"/>
                <w:color w:val="auto"/>
                <w:w w:val="92"/>
              </w:rPr>
              <w:t>incorporation or organization)</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60" w:type="dxa"/>
            <w:vAlign w:val="bottom"/>
          </w:tcPr>
          <w:p>
            <w:pPr>
              <w:jc w:val="center"/>
              <w:ind w:left="227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93"/>
        </w:trPr>
        <w:tc>
          <w:tcPr>
            <w:tcW w:w="14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6"/>
              </w:rPr>
              <w:t>Title of each class</w:t>
            </w:r>
          </w:p>
        </w:tc>
        <w:tc>
          <w:tcPr>
            <w:tcW w:w="1580" w:type="dxa"/>
            <w:vAlign w:val="bottom"/>
          </w:tcPr>
          <w:p>
            <w:pPr>
              <w:spacing w:after="0"/>
              <w:rPr>
                <w:sz w:val="24"/>
                <w:szCs w:val="24"/>
                <w:color w:val="auto"/>
              </w:rPr>
            </w:pPr>
          </w:p>
        </w:tc>
        <w:tc>
          <w:tcPr>
            <w:tcW w:w="224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Trading Symbol(s)</w:t>
            </w:r>
          </w:p>
        </w:tc>
        <w:tc>
          <w:tcPr>
            <w:tcW w:w="380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34"/>
        </w:trPr>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87"/>
              </w:rPr>
              <w:t>Common Stock, par value $0.001 per share</w:t>
            </w:r>
          </w:p>
        </w:tc>
        <w:tc>
          <w:tcPr>
            <w:tcW w:w="240" w:type="dxa"/>
            <w:vAlign w:val="bottom"/>
          </w:tcPr>
          <w:p>
            <w:pPr>
              <w:spacing w:after="0"/>
              <w:rPr>
                <w:sz w:val="20"/>
                <w:szCs w:val="20"/>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color w:val="auto"/>
                <w:w w:val="95"/>
              </w:rPr>
              <w:t>VTGN</w:t>
            </w:r>
          </w:p>
        </w:tc>
        <w:tc>
          <w:tcPr>
            <w:tcW w:w="68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0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8" w:lineRule="exact"/>
        <w:rPr>
          <w:sz w:val="24"/>
          <w:szCs w:val="24"/>
          <w:color w:val="auto"/>
        </w:rPr>
      </w:pPr>
    </w:p>
    <w:p>
      <w:pPr>
        <w:spacing w:after="0" w:line="33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436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436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980" w:type="dxa"/>
            <w:vAlign w:val="bottom"/>
            <w:gridSpan w:val="2"/>
          </w:tcPr>
          <w:p>
            <w:pPr>
              <w:ind w:left="740"/>
              <w:spacing w:after="0"/>
              <w:rPr>
                <w:sz w:val="20"/>
                <w:szCs w:val="20"/>
                <w:color w:val="auto"/>
              </w:rPr>
            </w:pPr>
            <w:r>
              <w:rPr>
                <w:rFonts w:ascii="Arial" w:cs="Arial" w:eastAsia="Arial" w:hAnsi="Arial"/>
                <w:sz w:val="18"/>
                <w:szCs w:val="18"/>
                <w:color w:val="auto"/>
                <w:w w:val="99"/>
              </w:rPr>
              <w:t>[X]</w:t>
            </w:r>
          </w:p>
        </w:tc>
      </w:tr>
      <w:tr>
        <w:trPr>
          <w:trHeight w:val="222"/>
        </w:trPr>
        <w:tc>
          <w:tcPr>
            <w:tcW w:w="2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36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9" w:lineRule="exact"/>
        <w:rPr>
          <w:sz w:val="24"/>
          <w:szCs w:val="24"/>
          <w:color w:val="auto"/>
        </w:rPr>
      </w:pPr>
    </w:p>
    <w:p>
      <w:pPr>
        <w:ind w:right="260"/>
        <w:spacing w:after="0" w:line="26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12, 2020, 73,998,057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5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6"/>
              </w:rPr>
              <w:t>TABLE OF CONTENTS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560" w:type="dxa"/>
            <w:vAlign w:val="bottom"/>
            <w:gridSpan w:val="3"/>
            <w:shd w:val="clear" w:color="auto" w:fill="CCEEFF"/>
          </w:tcPr>
          <w:p>
            <w:pPr>
              <w:jc w:val="center"/>
              <w:ind w:right="700"/>
              <w:spacing w:after="0"/>
              <w:rPr>
                <w:rFonts w:ascii="Arial" w:cs="Arial" w:eastAsia="Arial" w:hAnsi="Arial"/>
                <w:sz w:val="18"/>
                <w:szCs w:val="18"/>
                <w:b w:val="1"/>
                <w:bCs w:val="1"/>
                <w:u w:val="single" w:color="auto"/>
                <w:color w:val="0000EE"/>
                <w:w w:val="99"/>
              </w:rPr>
            </w:pPr>
            <w:hyperlink w:anchor="page3">
              <w:r>
                <w:rPr>
                  <w:rFonts w:ascii="Arial" w:cs="Arial" w:eastAsia="Arial" w:hAnsi="Arial"/>
                  <w:sz w:val="18"/>
                  <w:szCs w:val="18"/>
                  <w:b w:val="1"/>
                  <w:bCs w:val="1"/>
                  <w:u w:val="single" w:color="auto"/>
                  <w:color w:val="0000EE"/>
                  <w:w w:val="99"/>
                </w:rPr>
                <w:t>PART I. FINANCIAL INFORMATION</w:t>
              </w:r>
            </w:hyperlink>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Condensed Consolidated Financial Statements (Unaudited)</w:t>
              </w:r>
            </w:hyperlink>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0" w:type="dxa"/>
            <w:vAlign w:val="bottom"/>
            <w:gridSpan w:val="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September 30, 2020 and March 31, 2020</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and Comprehensive Loss for the three and six months ended September 30, 2020</w:t>
              </w:r>
            </w:hyperlink>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40" w:type="dxa"/>
            <w:vAlign w:val="bottom"/>
            <w:gridSpan w:val="5"/>
            <w:shd w:val="clear" w:color="auto" w:fill="CCEEFF"/>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and 2019</w:t>
              </w:r>
            </w:hyperlink>
          </w:p>
        </w:tc>
        <w:tc>
          <w:tcPr>
            <w:tcW w:w="9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0" w:type="dxa"/>
            <w:vAlign w:val="bottom"/>
            <w:gridSpan w:val="6"/>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six months ended September 30, 2020 and 2019</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9600" w:type="dxa"/>
            <w:vAlign w:val="bottom"/>
            <w:gridSpan w:val="6"/>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 of Changes in Stockholders’ Equity (Deficit) for the three and six months ended September 30,</w:t>
              </w:r>
            </w:hyperlink>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0000EE"/>
              <w:bottom w:val="single" w:sz="8" w:color="0000EE"/>
            </w:tcBorders>
            <w:gridSpan w:val="3"/>
            <w:shd w:val="clear" w:color="auto" w:fill="CCEEFF"/>
          </w:tcPr>
          <w:p>
            <w:pPr>
              <w:spacing w:after="0" w:line="195"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 and 2019</w:t>
              </w:r>
            </w:hyperlink>
          </w:p>
        </w:tc>
        <w:tc>
          <w:tcPr>
            <w:tcW w:w="8160" w:type="dxa"/>
            <w:vAlign w:val="bottom"/>
            <w:tcBorders>
              <w:top w:val="single" w:sz="8" w:color="0000EE"/>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980" w:type="dxa"/>
            <w:vAlign w:val="bottom"/>
            <w:tcBorders>
              <w:top w:val="single" w:sz="8" w:color="CCEEFF"/>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0" w:type="dxa"/>
            <w:vAlign w:val="bottom"/>
            <w:gridSpan w:val="6"/>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the Condensed Consolidated Financial Statements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7"/>
            <w:shd w:val="clear" w:color="auto" w:fill="CCEEFF"/>
          </w:tcPr>
          <w:p>
            <w:pPr>
              <w:ind w:left="1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 Management’s Discussion and Analysis of Financial Condition and Results of Operations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7"/>
          </w:tcPr>
          <w:p>
            <w:pPr>
              <w:ind w:left="1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4. Controls and Procedures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560" w:type="dxa"/>
            <w:vAlign w:val="bottom"/>
            <w:gridSpan w:val="3"/>
          </w:tcPr>
          <w:p>
            <w:pPr>
              <w:jc w:val="center"/>
              <w:ind w:right="720"/>
              <w:spacing w:after="0"/>
              <w:rPr>
                <w:rFonts w:ascii="Arial" w:cs="Arial" w:eastAsia="Arial" w:hAnsi="Arial"/>
                <w:sz w:val="18"/>
                <w:szCs w:val="18"/>
                <w:b w:val="1"/>
                <w:bCs w:val="1"/>
                <w:u w:val="single" w:color="auto"/>
                <w:color w:val="0000EE"/>
                <w:w w:val="99"/>
              </w:rPr>
            </w:pPr>
            <w:hyperlink w:anchor="page44">
              <w:r>
                <w:rPr>
                  <w:rFonts w:ascii="Arial" w:cs="Arial" w:eastAsia="Arial" w:hAnsi="Arial"/>
                  <w:sz w:val="18"/>
                  <w:szCs w:val="18"/>
                  <w:b w:val="1"/>
                  <w:bCs w:val="1"/>
                  <w:u w:val="single" w:color="auto"/>
                  <w:color w:val="0000EE"/>
                  <w:w w:val="99"/>
                </w:rPr>
                <w:t>PART II. OTHER INFORMATION</w:t>
              </w:r>
            </w:hyperlink>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7"/>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 Legal Proceedings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7"/>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1A. Risk Factors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7"/>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2. Unregistered Sales of Equity Securities and Use of Proceeds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79"/>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7"/>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3. Defaults Upon Senior Secured Securities</w:t>
              </w:r>
            </w:hyperlink>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gridSpan w:val="7"/>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6. Exhibits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79"/>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gridSpan w:val="7"/>
          </w:tcPr>
          <w:p>
            <w:pPr>
              <w:ind w:left="1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SIGNATURES</w:t>
              </w:r>
            </w:hyperlink>
          </w:p>
        </w:tc>
        <w:tc>
          <w:tcPr>
            <w:tcW w:w="980" w:type="dxa"/>
            <w:vAlign w:val="bottom"/>
          </w:tcPr>
          <w:p>
            <w:pPr>
              <w:jc w:val="center"/>
              <w:spacing w:after="0"/>
              <w:rPr>
                <w:sz w:val="20"/>
                <w:szCs w:val="20"/>
                <w:color w:val="auto"/>
              </w:rPr>
            </w:pPr>
            <w:r>
              <w:rPr>
                <w:rFonts w:ascii="Arial" w:cs="Arial" w:eastAsia="Arial" w:hAnsi="Arial"/>
                <w:sz w:val="18"/>
                <w:szCs w:val="18"/>
                <w:color w:val="auto"/>
                <w:w w:val="79"/>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680" w:type="dxa"/>
            <w:vAlign w:val="bottom"/>
          </w:tcPr>
          <w:p>
            <w:pPr>
              <w:ind w:left="4220"/>
              <w:spacing w:after="0"/>
              <w:rPr>
                <w:sz w:val="20"/>
                <w:szCs w:val="20"/>
                <w:color w:val="auto"/>
              </w:rPr>
            </w:pPr>
            <w:r>
              <w:rPr>
                <w:rFonts w:ascii="Arial" w:cs="Arial" w:eastAsia="Arial" w:hAnsi="Arial"/>
                <w:sz w:val="18"/>
                <w:szCs w:val="18"/>
                <w:b w:val="1"/>
                <w:bCs w:val="1"/>
                <w:color w:val="auto"/>
              </w:rPr>
              <w:t>VISTAGEN THERAPEUTICS, INC.</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ind w:left="3960"/>
              <w:spacing w:after="0"/>
              <w:rPr>
                <w:sz w:val="20"/>
                <w:szCs w:val="20"/>
                <w:color w:val="auto"/>
              </w:rPr>
            </w:pPr>
            <w:r>
              <w:rPr>
                <w:rFonts w:ascii="Arial" w:cs="Arial" w:eastAsia="Arial" w:hAnsi="Arial"/>
                <w:sz w:val="18"/>
                <w:szCs w:val="18"/>
                <w:b w:val="1"/>
                <w:bCs w:val="1"/>
                <w:color w:val="auto"/>
              </w:rPr>
              <w:t>(Amounts in Dollars, except share amounts)</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5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3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(Unaudited)</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5"/>
              </w:rPr>
              <w:t>(Note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$ 15,399,500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455,700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contract acquisition costs - current portion</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15,972,100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1,580,200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257,600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Right of use asset - operating lease</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3,403,000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3,579,600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offering costs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268,500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Deferred contract acquisition cost - non-current portion</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321,700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Security deposits and other assets</w:t>
            </w:r>
          </w:p>
        </w:tc>
        <w:tc>
          <w:tcPr>
            <w:tcW w:w="3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47,800</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$ 20,270,700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5,772,300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  1,176,400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1,836,600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186,900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Current notes payable, including accrued interest</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352,600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 - current portion</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1,244,000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Operating lease obligation - current portion</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338,500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313,400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Financing lease obligation - current portion</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3,301,900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2,771,300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Non-current liabilities: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portion of notes payable</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87,300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Accrued dividends on Series B Preferred Stock</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5,694,700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5,011,800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 - non-current portion</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3,422,000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Operating lease obligation - non-current portion</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3,540,900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3,715,600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Financing lease obligation - non-current portion</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Total non-current liabilities</w:t>
            </w:r>
          </w:p>
        </w:tc>
        <w:tc>
          <w:tcPr>
            <w:tcW w:w="3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12,746,200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8,730,400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16,048,100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11,501,700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w w:val="97"/>
              </w:rPr>
              <w:t>Preferred stock, $0.001 par value; 10,000,000 shares authorized at September 30, 2020 and March 31, 2020:</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Series A Preferred, 500,000 shares authorized, issued and outstanding at September 30, 2020 and March 31, 2020</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w w:val="93"/>
              </w:rPr>
              <w:t>Series B Preferred; 4,000,000 shares authorized at September 30, 2020 and March 31, 2020; 1,160,240 shares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issued and outstanding at September 30, 2020 and March 31, 2020</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Series C Preferred; 3,000,000 shares authorized at September 30, 2020 and March 31, 2020; 2,318,012 shares</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September 30, 2020 and March 31, 2020</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w w:val="96"/>
              </w:rPr>
              <w:t>Common stock, $0.001 par value; 175,000,000 shares authorized at September 30, 2020 and March 31, 2020;</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w w:val="91"/>
              </w:rPr>
              <w:t>74,133,722 and 49,348,707 shares issued and outstanding at September 30, 2020 and March 31, 2020, respectively</w:t>
            </w:r>
          </w:p>
        </w:tc>
        <w:tc>
          <w:tcPr>
            <w:tcW w:w="1520" w:type="dxa"/>
            <w:vAlign w:val="bottom"/>
            <w:gridSpan w:val="3"/>
          </w:tcPr>
          <w:p>
            <w:pPr>
              <w:jc w:val="right"/>
              <w:ind w:right="220"/>
              <w:spacing w:after="0"/>
              <w:rPr>
                <w:sz w:val="20"/>
                <w:szCs w:val="20"/>
                <w:color w:val="auto"/>
              </w:rPr>
            </w:pPr>
            <w:r>
              <w:rPr>
                <w:rFonts w:ascii="Arial" w:cs="Arial" w:eastAsia="Arial" w:hAnsi="Arial"/>
                <w:sz w:val="18"/>
                <w:szCs w:val="18"/>
                <w:color w:val="auto"/>
              </w:rPr>
              <w:t>74,100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216,444,600</w:t>
            </w:r>
          </w:p>
        </w:tc>
        <w:tc>
          <w:tcPr>
            <w:tcW w:w="1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3"/>
              </w:rPr>
              <w:t>200,092,800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40"/>
              <w:spacing w:after="0"/>
              <w:rPr>
                <w:sz w:val="20"/>
                <w:szCs w:val="20"/>
                <w:color w:val="auto"/>
              </w:rPr>
            </w:pPr>
            <w:r>
              <w:rPr>
                <w:rFonts w:ascii="Arial" w:cs="Arial" w:eastAsia="Arial" w:hAnsi="Arial"/>
                <w:sz w:val="18"/>
                <w:szCs w:val="18"/>
                <w:color w:val="auto"/>
              </w:rPr>
              <w:t>Treasury stock, at cost, 135,665 shares of common stock held at September 30, 2020 and March 31, 2020</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(3,968,100)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(208,332,000)</w:t>
            </w:r>
          </w:p>
        </w:tc>
        <w:tc>
          <w:tcPr>
            <w:tcW w:w="10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3"/>
              </w:rPr>
              <w:t>(201,907,400)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color w:val="auto"/>
              </w:rPr>
              <w:t>Total stockholders’ equity (deficit)</w:t>
            </w:r>
          </w:p>
        </w:tc>
        <w:tc>
          <w:tcPr>
            <w:tcW w:w="3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4,222,600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(5,729,400)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 (deficit)</w:t>
            </w:r>
          </w:p>
        </w:tc>
        <w:tc>
          <w:tcPr>
            <w:tcW w:w="1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$ 20,270,700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5,772,300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30" w:right="339" w:bottom="1072"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072" w:gutter="0" w:footer="0" w:header="0"/>
          <w:type w:val="continuous"/>
        </w:sectPr>
      </w:pPr>
    </w:p>
    <w:bookmarkStart w:id="3" w:name="page4"/>
    <w:bookmarkEnd w:id="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Three Months Ended</w:t>
            </w:r>
          </w:p>
        </w:tc>
        <w:tc>
          <w:tcPr>
            <w:tcW w:w="120" w:type="dxa"/>
            <w:vAlign w:val="bottom"/>
          </w:tcPr>
          <w:p>
            <w:pPr>
              <w:spacing w:after="0"/>
              <w:rPr>
                <w:sz w:val="18"/>
                <w:szCs w:val="18"/>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0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334,000</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334,000</w:t>
            </w: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2,358,200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4,205,200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4,089,400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8,519,100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1,269,500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1,146,100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2,660,100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3,056,200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3,627,700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5,351,300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6,749,500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11,575,300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(3,293,700)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(5,351,300)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(6,415,500)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(11,575,300)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(3,297,600)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(5,335,900)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(6,422,000)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(11,543,400)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loss and comprehensive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(3,297,800)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(5,335,900)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(6,424,600)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$(11,545,800)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(347,200)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(313,800)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(683,000)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(3,645,000)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(5,649,700)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(7,107,600)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(12,162,100)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per common share</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and diluted net loss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attributable to common stockholders per common share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67,082,935</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42,622,965</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59,245,209</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42,622,965</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12"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10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(6,424,600)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$(11,545,800)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1,085,500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1,456,500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fair value of common stock issued for services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Amortization of fair value of warrants issued for services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Receivable from supplier</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Right of use asset - operating lease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(149,700)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80"/>
              <w:spacing w:after="0"/>
              <w:rPr>
                <w:sz w:val="20"/>
                <w:szCs w:val="20"/>
                <w:color w:val="auto"/>
              </w:rPr>
            </w:pPr>
            <w:r>
              <w:rPr>
                <w:rFonts w:ascii="Arial" w:cs="Arial" w:eastAsia="Arial" w:hAnsi="Arial"/>
                <w:sz w:val="18"/>
                <w:szCs w:val="18"/>
                <w:color w:val="auto"/>
              </w:rPr>
              <w:t>Deferred sublicense revenue, net of deferred contract acquisition costs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4,352,400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(985,700)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(1,803,000)</w:t>
            </w: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(8,898,200)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flows from property and investing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manufacturing and other equipment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(98,800)</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12,961,300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Net proceeds from exercise of warrants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sale of common stock under equity line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2,841,600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Proceeds from issuance of note under Payroll Protection Plan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224,400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Repayment of notes payable</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(164,100)</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(128,200)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15,946,200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14,044,400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(9,027,900)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1,355,100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13,100,300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15,399,500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4,072,400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40"/>
              <w:spacing w:after="0"/>
              <w:rPr>
                <w:sz w:val="20"/>
                <w:szCs w:val="20"/>
                <w:color w:val="auto"/>
              </w:rPr>
            </w:pPr>
            <w:r>
              <w:rPr>
                <w:rFonts w:ascii="Arial" w:cs="Arial" w:eastAsia="Arial" w:hAnsi="Arial"/>
                <w:sz w:val="18"/>
                <w:szCs w:val="18"/>
                <w:color w:val="auto"/>
              </w:rPr>
              <w:t>Insurance premiums settled by issuing note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322,200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dividends on Series B Preferred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THREE AND SIX MONTHS ENDED SEPTEMBER 30, 2019 AND 2020</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0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w w:val="90"/>
              </w:rPr>
              <w:t>Series A</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Series B</w:t>
            </w:r>
          </w:p>
        </w:tc>
        <w:tc>
          <w:tcPr>
            <w:tcW w:w="1320" w:type="dxa"/>
            <w:vAlign w:val="bottom"/>
            <w:gridSpan w:val="5"/>
            <w:vMerge w:val="restart"/>
          </w:tcPr>
          <w:p>
            <w:pPr>
              <w:ind w:left="300"/>
              <w:spacing w:after="0"/>
              <w:rPr>
                <w:sz w:val="20"/>
                <w:szCs w:val="20"/>
                <w:color w:val="auto"/>
              </w:rPr>
            </w:pPr>
            <w:r>
              <w:rPr>
                <w:rFonts w:ascii="Arial" w:cs="Arial" w:eastAsia="Arial" w:hAnsi="Arial"/>
                <w:sz w:val="16"/>
                <w:szCs w:val="16"/>
                <w:b w:val="1"/>
                <w:bCs w:val="1"/>
                <w:color w:val="auto"/>
              </w:rPr>
              <w:t>Series C</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Arial" w:cs="Arial" w:eastAsia="Arial" w:hAnsi="Arial"/>
                <w:sz w:val="16"/>
                <w:szCs w:val="16"/>
                <w:b w:val="1"/>
                <w:bCs w:val="1"/>
                <w:color w:val="auto"/>
                <w:w w:val="99"/>
              </w:rPr>
              <w:t>Additional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5"/>
            <w:vMerge w:val="continue"/>
          </w:tcPr>
          <w:p>
            <w:pPr>
              <w:spacing w:after="0"/>
              <w:rPr>
                <w:sz w:val="16"/>
                <w:szCs w:val="16"/>
                <w:color w:val="auto"/>
              </w:rPr>
            </w:pPr>
          </w:p>
        </w:tc>
        <w:tc>
          <w:tcPr>
            <w:tcW w:w="1320" w:type="dxa"/>
            <w:vAlign w:val="bottom"/>
            <w:gridSpan w:val="5"/>
            <w:vMerge w:val="continue"/>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320" w:type="dxa"/>
            <w:vAlign w:val="bottom"/>
            <w:gridSpan w:val="6"/>
          </w:tcPr>
          <w:p>
            <w:pPr>
              <w:ind w:left="40"/>
              <w:spacing w:after="0"/>
              <w:rPr>
                <w:sz w:val="20"/>
                <w:szCs w:val="20"/>
                <w:color w:val="auto"/>
              </w:rPr>
            </w:pPr>
            <w:r>
              <w:rPr>
                <w:rFonts w:ascii="Arial" w:cs="Arial" w:eastAsia="Arial" w:hAnsi="Arial"/>
                <w:sz w:val="16"/>
                <w:szCs w:val="16"/>
                <w:b w:val="1"/>
                <w:bCs w:val="1"/>
                <w:color w:val="auto"/>
              </w:rPr>
              <w:t>Preferred Stock</w:t>
            </w:r>
          </w:p>
        </w:tc>
        <w:tc>
          <w:tcPr>
            <w:tcW w:w="1320" w:type="dxa"/>
            <w:vAlign w:val="bottom"/>
            <w:gridSpan w:val="5"/>
          </w:tcPr>
          <w:p>
            <w:pPr>
              <w:ind w:left="40"/>
              <w:spacing w:after="0"/>
              <w:rPr>
                <w:sz w:val="20"/>
                <w:szCs w:val="20"/>
                <w:color w:val="auto"/>
              </w:rPr>
            </w:pPr>
            <w:r>
              <w:rPr>
                <w:rFonts w:ascii="Arial" w:cs="Arial" w:eastAsia="Arial" w:hAnsi="Arial"/>
                <w:sz w:val="16"/>
                <w:szCs w:val="16"/>
                <w:b w:val="1"/>
                <w:bCs w:val="1"/>
                <w:color w:val="auto"/>
              </w:rPr>
              <w:t>Preferred Stock</w:t>
            </w:r>
          </w:p>
        </w:tc>
        <w:tc>
          <w:tcPr>
            <w:tcW w:w="1320" w:type="dxa"/>
            <w:vAlign w:val="bottom"/>
            <w:gridSpan w:val="5"/>
          </w:tcPr>
          <w:p>
            <w:pPr>
              <w:ind w:left="40"/>
              <w:spacing w:after="0"/>
              <w:rPr>
                <w:sz w:val="20"/>
                <w:szCs w:val="20"/>
                <w:color w:val="auto"/>
              </w:rPr>
            </w:pPr>
            <w:r>
              <w:rPr>
                <w:rFonts w:ascii="Arial" w:cs="Arial" w:eastAsia="Arial" w:hAnsi="Arial"/>
                <w:sz w:val="16"/>
                <w:szCs w:val="16"/>
                <w:b w:val="1"/>
                <w:bCs w:val="1"/>
                <w:color w:val="auto"/>
              </w:rPr>
              <w:t>Preferred Stock</w:t>
            </w:r>
          </w:p>
        </w:tc>
        <w:tc>
          <w:tcPr>
            <w:tcW w:w="1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8"/>
              </w:rPr>
              <w:t>Common Stock</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Paid-in</w:t>
            </w: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w w:val="94"/>
              </w:rPr>
              <w:t>Treasury</w:t>
            </w: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5"/>
              </w:rPr>
              <w:t>Accumulated</w:t>
            </w:r>
          </w:p>
        </w:tc>
        <w:tc>
          <w:tcPr>
            <w:tcW w:w="9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6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Shares</w:t>
            </w:r>
          </w:p>
        </w:tc>
        <w:tc>
          <w:tcPr>
            <w:tcW w:w="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Amoun</w:t>
            </w: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t</w:t>
            </w:r>
          </w:p>
        </w:tc>
        <w:tc>
          <w:tcPr>
            <w:tcW w:w="118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5"/>
              </w:rPr>
              <w:t>Shares  Amoun</w:t>
            </w:r>
          </w:p>
        </w:tc>
        <w:tc>
          <w:tcPr>
            <w:tcW w:w="140" w:type="dxa"/>
            <w:vAlign w:val="bottom"/>
          </w:tcPr>
          <w:p>
            <w:pPr>
              <w:ind w:left="20"/>
              <w:spacing w:after="0"/>
              <w:rPr>
                <w:sz w:val="20"/>
                <w:szCs w:val="20"/>
                <w:color w:val="auto"/>
              </w:rPr>
            </w:pPr>
            <w:r>
              <w:rPr>
                <w:rFonts w:ascii="Arial" w:cs="Arial" w:eastAsia="Arial" w:hAnsi="Arial"/>
                <w:sz w:val="16"/>
                <w:szCs w:val="16"/>
                <w:b w:val="1"/>
                <w:bCs w:val="1"/>
                <w:color w:val="auto"/>
              </w:rPr>
              <w:t>t</w:t>
            </w:r>
          </w:p>
        </w:tc>
        <w:tc>
          <w:tcPr>
            <w:tcW w:w="118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5"/>
              </w:rPr>
              <w:t>Shares  Amoun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t</w:t>
            </w:r>
          </w:p>
        </w:tc>
        <w:tc>
          <w:tcPr>
            <w:tcW w:w="72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97"/>
              </w:rPr>
              <w:t>Shares</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Amoun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t</w:t>
            </w:r>
          </w:p>
        </w:tc>
        <w:tc>
          <w:tcPr>
            <w:tcW w:w="8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Capital</w:t>
            </w:r>
          </w:p>
        </w:tc>
        <w:tc>
          <w:tcPr>
            <w:tcW w:w="660" w:type="dxa"/>
            <w:vAlign w:val="bottom"/>
            <w:gridSpan w:val="2"/>
          </w:tcPr>
          <w:p>
            <w:pPr>
              <w:ind w:left="80"/>
              <w:spacing w:after="0"/>
              <w:rPr>
                <w:sz w:val="20"/>
                <w:szCs w:val="20"/>
                <w:color w:val="auto"/>
              </w:rPr>
            </w:pPr>
            <w:r>
              <w:rPr>
                <w:rFonts w:ascii="Arial" w:cs="Arial" w:eastAsia="Arial" w:hAnsi="Arial"/>
                <w:sz w:val="16"/>
                <w:szCs w:val="16"/>
                <w:b w:val="1"/>
                <w:bCs w:val="1"/>
                <w:color w:val="auto"/>
              </w:rPr>
              <w:t>Stock</w:t>
            </w: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Deficit</w:t>
            </w:r>
          </w:p>
        </w:tc>
        <w:tc>
          <w:tcPr>
            <w:tcW w:w="9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 2019</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3"/>
              </w:rPr>
              <w:t>500,000</w:t>
            </w:r>
          </w:p>
        </w:tc>
        <w:tc>
          <w:tcPr>
            <w:tcW w:w="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7"/>
              </w:rPr>
              <w:t>500</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2"/>
              </w:rPr>
              <w:t>1,160,240$</w:t>
            </w: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4"/>
              </w:rPr>
              <w:t>1,200</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2"/>
              </w:rPr>
              <w:t>2,318,012$</w:t>
            </w: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4"/>
              </w:rPr>
              <w:t>2,300</w:t>
            </w:r>
          </w:p>
        </w:tc>
        <w:tc>
          <w:tcPr>
            <w:tcW w:w="1400" w:type="dxa"/>
            <w:vAlign w:val="bottom"/>
            <w:gridSpan w:val="4"/>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8"/>
              </w:rPr>
              <w:t>42,758,630$42,800</w:t>
            </w:r>
          </w:p>
        </w:tc>
        <w:tc>
          <w:tcPr>
            <w:tcW w:w="146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w w:val="76"/>
              </w:rPr>
              <w:t>$192,129,900$(3,968,100)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5"/>
              </w:rPr>
              <w:t>$(181,133,400)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$ 7,075,200</w:t>
            </w: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Accrued dividends on Series B</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(302,500)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w w:val="98"/>
              </w:rPr>
              <w:t>Stock-based compensation expense</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40"/>
              <w:spacing w:after="0"/>
              <w:rPr>
                <w:sz w:val="20"/>
                <w:szCs w:val="20"/>
                <w:color w:val="auto"/>
              </w:rPr>
            </w:pPr>
            <w:r>
              <w:rPr>
                <w:rFonts w:ascii="Arial" w:cs="Arial" w:eastAsia="Arial" w:hAnsi="Arial"/>
                <w:sz w:val="16"/>
                <w:szCs w:val="16"/>
                <w:color w:val="auto"/>
              </w:rPr>
              <w:t>1,063,000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1,063,000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w w:val="91"/>
              </w:rPr>
              <w:t>Net loss for the quarter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2019</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(6,209,900)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(6,209,900)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auto"/>
              </w:rPr>
              <w:t>Balances at June 30, 2019</w:t>
            </w:r>
          </w:p>
        </w:tc>
        <w:tc>
          <w:tcPr>
            <w:tcW w:w="6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500,000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7"/>
              </w:rPr>
              <w:t>500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1,160,240</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1,200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2,318,012</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2,300</w:t>
            </w:r>
          </w:p>
        </w:tc>
        <w:tc>
          <w:tcPr>
            <w:tcW w:w="14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1"/>
              </w:rPr>
              <w:t>42,758,630 42,800</w:t>
            </w:r>
          </w:p>
        </w:tc>
        <w:tc>
          <w:tcPr>
            <w:tcW w:w="244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w w:val="87"/>
              </w:rPr>
              <w:t>192,890,400(3,968,100) (187,343,300)</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1,625,800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Accrued dividends on Series B</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(313,800)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(313,800)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w w:val="98"/>
              </w:rPr>
              <w:t>Stock-based compensation expense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393,500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393,500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quarter ended</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2019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(5,335,900)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(5,335,900)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September 30, 2019</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3"/>
              </w:rPr>
              <w:t>500,000</w:t>
            </w:r>
          </w:p>
        </w:tc>
        <w:tc>
          <w:tcPr>
            <w:tcW w:w="3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7"/>
              </w:rPr>
              <w:t>500</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2"/>
              </w:rPr>
              <w:t>1,160,240$</w:t>
            </w: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4"/>
              </w:rPr>
              <w:t>1,200</w:t>
            </w: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2"/>
              </w:rPr>
              <w:t>2,318,012$</w:t>
            </w: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94"/>
              </w:rPr>
              <w:t>2,300</w:t>
            </w:r>
          </w:p>
        </w:tc>
        <w:tc>
          <w:tcPr>
            <w:tcW w:w="1400" w:type="dxa"/>
            <w:vAlign w:val="bottom"/>
            <w:gridSpan w:val="4"/>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8"/>
              </w:rPr>
              <w:t>42,758,630</w:t>
            </w:r>
            <w:r>
              <w:rPr>
                <w:rFonts w:ascii="Arial" w:cs="Arial" w:eastAsia="Arial" w:hAnsi="Arial"/>
                <w:sz w:val="16"/>
                <w:szCs w:val="16"/>
                <w:b w:val="1"/>
                <w:bCs w:val="1"/>
                <w:u w:val="single" w:color="auto"/>
                <w:color w:val="auto"/>
                <w:w w:val="88"/>
              </w:rPr>
              <w:t>$</w:t>
            </w:r>
            <w:r>
              <w:rPr>
                <w:rFonts w:ascii="Arial" w:cs="Arial" w:eastAsia="Arial" w:hAnsi="Arial"/>
                <w:sz w:val="16"/>
                <w:szCs w:val="16"/>
                <w:b w:val="1"/>
                <w:bCs w:val="1"/>
                <w:color w:val="auto"/>
                <w:w w:val="88"/>
              </w:rPr>
              <w:t>42,800</w:t>
            </w:r>
          </w:p>
        </w:tc>
        <w:tc>
          <w:tcPr>
            <w:tcW w:w="2440" w:type="dxa"/>
            <w:vAlign w:val="bottom"/>
            <w:gridSpan w:val="7"/>
            <w:shd w:val="clear" w:color="auto" w:fill="CCEEFF"/>
          </w:tcPr>
          <w:p>
            <w:pPr>
              <w:jc w:val="right"/>
              <w:ind w:right="20"/>
              <w:spacing w:after="0"/>
              <w:rPr>
                <w:sz w:val="20"/>
                <w:szCs w:val="20"/>
                <w:color w:val="auto"/>
              </w:rPr>
            </w:pPr>
            <w:r>
              <w:rPr>
                <w:rFonts w:ascii="Arial" w:cs="Arial" w:eastAsia="Arial" w:hAnsi="Arial"/>
                <w:sz w:val="16"/>
                <w:szCs w:val="16"/>
                <w:b w:val="1"/>
                <w:bCs w:val="1"/>
                <w:u w:val="single" w:color="auto"/>
                <w:color w:val="auto"/>
                <w:w w:val="80"/>
              </w:rPr>
              <w:t>$</w:t>
            </w:r>
            <w:r>
              <w:rPr>
                <w:rFonts w:ascii="Arial" w:cs="Arial" w:eastAsia="Arial" w:hAnsi="Arial"/>
                <w:sz w:val="16"/>
                <w:szCs w:val="16"/>
                <w:b w:val="1"/>
                <w:bCs w:val="1"/>
                <w:color w:val="auto"/>
                <w:w w:val="80"/>
              </w:rPr>
              <w:t>192,970,100</w:t>
            </w:r>
            <w:r>
              <w:rPr>
                <w:rFonts w:ascii="Arial" w:cs="Arial" w:eastAsia="Arial" w:hAnsi="Arial"/>
                <w:sz w:val="16"/>
                <w:szCs w:val="16"/>
                <w:b w:val="1"/>
                <w:bCs w:val="1"/>
                <w:u w:val="single" w:color="auto"/>
                <w:color w:val="auto"/>
                <w:w w:val="80"/>
              </w:rPr>
              <w:t>$</w:t>
            </w:r>
            <w:r>
              <w:rPr>
                <w:rFonts w:ascii="Arial" w:cs="Arial" w:eastAsia="Arial" w:hAnsi="Arial"/>
                <w:sz w:val="16"/>
                <w:szCs w:val="16"/>
                <w:b w:val="1"/>
                <w:bCs w:val="1"/>
                <w:color w:val="auto"/>
                <w:w w:val="80"/>
              </w:rPr>
              <w:t>(3,968,100)</w:t>
            </w:r>
            <w:r>
              <w:rPr>
                <w:rFonts w:ascii="Arial" w:cs="Arial" w:eastAsia="Arial" w:hAnsi="Arial"/>
                <w:sz w:val="16"/>
                <w:szCs w:val="16"/>
                <w:b w:val="1"/>
                <w:bCs w:val="1"/>
                <w:u w:val="single" w:color="auto"/>
                <w:color w:val="auto"/>
                <w:w w:val="80"/>
              </w:rPr>
              <w:t>$</w:t>
            </w:r>
            <w:r>
              <w:rPr>
                <w:rFonts w:ascii="Arial" w:cs="Arial" w:eastAsia="Arial" w:hAnsi="Arial"/>
                <w:sz w:val="16"/>
                <w:szCs w:val="16"/>
                <w:b w:val="1"/>
                <w:bCs w:val="1"/>
                <w:color w:val="auto"/>
                <w:w w:val="80"/>
              </w:rPr>
              <w:t>(192,679,200)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u w:val="single" w:color="auto"/>
                <w:color w:val="auto"/>
                <w:w w:val="88"/>
              </w:rPr>
              <w:t>$</w:t>
            </w:r>
            <w:r>
              <w:rPr>
                <w:rFonts w:ascii="Arial" w:cs="Arial" w:eastAsia="Arial" w:hAnsi="Arial"/>
                <w:sz w:val="16"/>
                <w:szCs w:val="16"/>
                <w:b w:val="1"/>
                <w:bCs w:val="1"/>
                <w:color w:val="auto"/>
                <w:w w:val="88"/>
              </w:rPr>
              <w:t>(3,630,400)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auto"/>
              </w:rPr>
              <w:t>Balances at March 31, 2020</w:t>
            </w:r>
          </w:p>
        </w:tc>
        <w:tc>
          <w:tcPr>
            <w:tcW w:w="6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500,000</w:t>
            </w:r>
          </w:p>
        </w:tc>
        <w:tc>
          <w:tcPr>
            <w:tcW w:w="3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7"/>
              </w:rPr>
              <w:t>500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w w:val="92"/>
              </w:rPr>
              <w:t>1,160,240$</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1,200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w w:val="92"/>
              </w:rPr>
              <w:t>2,318,012$</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2,300</w:t>
            </w:r>
          </w:p>
        </w:tc>
        <w:tc>
          <w:tcPr>
            <w:tcW w:w="14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88"/>
              </w:rPr>
              <w:t>49,348,707$49,300</w:t>
            </w:r>
          </w:p>
        </w:tc>
        <w:tc>
          <w:tcPr>
            <w:tcW w:w="1460" w:type="dxa"/>
            <w:vAlign w:val="bottom"/>
            <w:gridSpan w:val="4"/>
          </w:tcPr>
          <w:p>
            <w:pPr>
              <w:spacing w:after="0"/>
              <w:rPr>
                <w:sz w:val="20"/>
                <w:szCs w:val="20"/>
                <w:color w:val="auto"/>
              </w:rPr>
            </w:pPr>
            <w:r>
              <w:rPr>
                <w:rFonts w:ascii="Arial" w:cs="Arial" w:eastAsia="Arial" w:hAnsi="Arial"/>
                <w:sz w:val="16"/>
                <w:szCs w:val="16"/>
                <w:b w:val="1"/>
                <w:bCs w:val="1"/>
                <w:color w:val="auto"/>
                <w:w w:val="76"/>
              </w:rPr>
              <w:t>$200,092,800$(3,968,100)</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75"/>
              </w:rPr>
              <w:t>$(201,907,400)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8"/>
              </w:rPr>
              <w:t>$(5,729,400)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Proceeds from sale of units of</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80" w:type="dxa"/>
            <w:vAlign w:val="bottom"/>
            <w:gridSpan w:val="2"/>
          </w:tcPr>
          <w:p>
            <w:pPr>
              <w:spacing w:after="0"/>
              <w:rPr>
                <w:sz w:val="20"/>
                <w:szCs w:val="20"/>
                <w:color w:val="auto"/>
              </w:rPr>
            </w:pPr>
            <w:r>
              <w:rPr>
                <w:rFonts w:ascii="Arial" w:cs="Arial" w:eastAsia="Arial" w:hAnsi="Arial"/>
                <w:sz w:val="16"/>
                <w:szCs w:val="16"/>
                <w:color w:val="auto"/>
                <w:w w:val="97"/>
              </w:rPr>
              <w:t>common stock and warrants for cash</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spacing w:after="0"/>
              <w:rPr>
                <w:sz w:val="20"/>
                <w:szCs w:val="20"/>
                <w:color w:val="auto"/>
              </w:rPr>
            </w:pPr>
            <w:r>
              <w:rPr>
                <w:rFonts w:ascii="Arial" w:cs="Arial" w:eastAsia="Arial" w:hAnsi="Arial"/>
                <w:sz w:val="16"/>
                <w:szCs w:val="16"/>
                <w:color w:val="auto"/>
              </w:rPr>
              <w:t>in private placement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125,000</w:t>
            </w:r>
          </w:p>
        </w:tc>
        <w:tc>
          <w:tcPr>
            <w:tcW w:w="140" w:type="dxa"/>
            <w:vAlign w:val="bottom"/>
          </w:tcPr>
          <w:p>
            <w:pPr>
              <w:spacing w:after="0"/>
              <w:rPr>
                <w:sz w:val="17"/>
                <w:szCs w:val="17"/>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200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49,800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Net proceeds from sale of common</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stock under equity line</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6,201,995</w:t>
            </w: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6,200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2,741,300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2,747,500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Issuance of common stock at fair</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spacing w:after="0"/>
              <w:rPr>
                <w:sz w:val="20"/>
                <w:szCs w:val="20"/>
                <w:color w:val="auto"/>
              </w:rPr>
            </w:pPr>
            <w:r>
              <w:rPr>
                <w:rFonts w:ascii="Arial" w:cs="Arial" w:eastAsia="Arial" w:hAnsi="Arial"/>
                <w:sz w:val="16"/>
                <w:szCs w:val="16"/>
                <w:color w:val="auto"/>
              </w:rPr>
              <w:t>value for professional services</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233,645</w:t>
            </w:r>
          </w:p>
        </w:tc>
        <w:tc>
          <w:tcPr>
            <w:tcW w:w="140" w:type="dxa"/>
            <w:vAlign w:val="bottom"/>
          </w:tcPr>
          <w:p>
            <w:pPr>
              <w:spacing w:after="0"/>
              <w:rPr>
                <w:sz w:val="17"/>
                <w:szCs w:val="17"/>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200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124,800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Sale of common stock pursuant to</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w w:val="96"/>
              </w:rPr>
              <w:t>2019 Employee Stock Purchase Plan</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12,600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w w:val="99"/>
              </w:rPr>
              <w:t>Expenses related to S-3 registration</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80" w:type="dxa"/>
            <w:vAlign w:val="bottom"/>
            <w:gridSpan w:val="2"/>
          </w:tcPr>
          <w:p>
            <w:pPr>
              <w:spacing w:after="0"/>
              <w:rPr>
                <w:sz w:val="20"/>
                <w:szCs w:val="20"/>
                <w:color w:val="auto"/>
              </w:rPr>
            </w:pPr>
            <w:r>
              <w:rPr>
                <w:rFonts w:ascii="Arial" w:cs="Arial" w:eastAsia="Arial" w:hAnsi="Arial"/>
                <w:sz w:val="16"/>
                <w:szCs w:val="16"/>
                <w:color w:val="auto"/>
              </w:rPr>
              <w:t>statement for shares underlying</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spacing w:after="0"/>
              <w:rPr>
                <w:sz w:val="20"/>
                <w:szCs w:val="20"/>
                <w:color w:val="auto"/>
              </w:rPr>
            </w:pPr>
            <w:r>
              <w:rPr>
                <w:rFonts w:ascii="Arial" w:cs="Arial" w:eastAsia="Arial" w:hAnsi="Arial"/>
                <w:sz w:val="16"/>
                <w:szCs w:val="16"/>
                <w:color w:val="auto"/>
              </w:rPr>
              <w:t>outstanding warrants</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(29,400)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Accrued dividends on Series B</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(335,800)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(335,800)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w w:val="98"/>
              </w:rPr>
              <w:t>Stock-based compensation expense</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674,600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674,600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w w:val="91"/>
              </w:rPr>
              <w:t>Net loss for the quarter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2020</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(3,126,800)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(3,126,800)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auto"/>
              </w:rPr>
              <w:t>Balances at June 30, 2020</w:t>
            </w:r>
          </w:p>
        </w:tc>
        <w:tc>
          <w:tcPr>
            <w:tcW w:w="6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500,000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7"/>
              </w:rPr>
              <w:t>500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1,160,240</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1,200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rPr>
              <w:t>2,318,012</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2,300</w:t>
            </w:r>
          </w:p>
        </w:tc>
        <w:tc>
          <w:tcPr>
            <w:tcW w:w="14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1"/>
              </w:rPr>
              <w:t>55,937,472 55,900</w:t>
            </w:r>
          </w:p>
        </w:tc>
        <w:tc>
          <w:tcPr>
            <w:tcW w:w="244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w w:val="87"/>
              </w:rPr>
              <w:t>203,330,700(3,968,100) (205,034,200)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97"/>
              </w:rPr>
              <w:t>(5,611,700)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Net proceeds from sale of common</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spacing w:after="0"/>
              <w:rPr>
                <w:sz w:val="20"/>
                <w:szCs w:val="20"/>
                <w:color w:val="auto"/>
              </w:rPr>
            </w:pPr>
            <w:r>
              <w:rPr>
                <w:rFonts w:ascii="Arial" w:cs="Arial" w:eastAsia="Arial" w:hAnsi="Arial"/>
                <w:sz w:val="16"/>
                <w:szCs w:val="16"/>
                <w:color w:val="auto"/>
              </w:rPr>
              <w:t>stock in public offering</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gridSpan w:val="4"/>
          </w:tcPr>
          <w:p>
            <w:pPr>
              <w:jc w:val="right"/>
              <w:ind w:right="79"/>
              <w:spacing w:after="0"/>
              <w:rPr>
                <w:sz w:val="20"/>
                <w:szCs w:val="20"/>
                <w:color w:val="auto"/>
              </w:rPr>
            </w:pPr>
            <w:r>
              <w:rPr>
                <w:rFonts w:ascii="Arial" w:cs="Arial" w:eastAsia="Arial" w:hAnsi="Arial"/>
                <w:sz w:val="16"/>
                <w:szCs w:val="16"/>
                <w:color w:val="auto"/>
                <w:w w:val="91"/>
              </w:rPr>
              <w:t>17,868,250 17,900</w:t>
            </w:r>
          </w:p>
        </w:tc>
        <w:tc>
          <w:tcPr>
            <w:tcW w:w="800" w:type="dxa"/>
            <w:vAlign w:val="bottom"/>
            <w:gridSpan w:val="2"/>
          </w:tcPr>
          <w:p>
            <w:pPr>
              <w:ind w:left="40"/>
              <w:spacing w:after="0"/>
              <w:rPr>
                <w:sz w:val="20"/>
                <w:szCs w:val="20"/>
                <w:color w:val="auto"/>
              </w:rPr>
            </w:pPr>
            <w:r>
              <w:rPr>
                <w:rFonts w:ascii="Arial" w:cs="Arial" w:eastAsia="Arial" w:hAnsi="Arial"/>
                <w:sz w:val="16"/>
                <w:szCs w:val="16"/>
                <w:color w:val="auto"/>
                <w:w w:val="92"/>
              </w:rPr>
              <w:t>12,887,200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12,905,100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Net proceeds from exercise of</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warrants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228,000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200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113,800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Net proceeds from sale of common</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580" w:type="dxa"/>
            <w:vAlign w:val="bottom"/>
            <w:gridSpan w:val="2"/>
          </w:tcPr>
          <w:p>
            <w:pPr>
              <w:spacing w:after="0"/>
              <w:rPr>
                <w:sz w:val="20"/>
                <w:szCs w:val="20"/>
                <w:color w:val="auto"/>
              </w:rPr>
            </w:pPr>
            <w:r>
              <w:rPr>
                <w:rFonts w:ascii="Arial" w:cs="Arial" w:eastAsia="Arial" w:hAnsi="Arial"/>
                <w:sz w:val="16"/>
                <w:szCs w:val="16"/>
                <w:color w:val="auto"/>
              </w:rPr>
              <w:t>stock under equity line</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100,000</w:t>
            </w:r>
          </w:p>
        </w:tc>
        <w:tc>
          <w:tcPr>
            <w:tcW w:w="140" w:type="dxa"/>
            <w:vAlign w:val="bottom"/>
          </w:tcPr>
          <w:p>
            <w:pPr>
              <w:spacing w:after="0"/>
              <w:rPr>
                <w:sz w:val="17"/>
                <w:szCs w:val="17"/>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100</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49,200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49,300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Accrued dividends on Series B</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(347,200)</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(347,200)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w w:val="98"/>
              </w:rPr>
              <w:t>Stock-based compensation expense</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410,900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410,900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Net loss for the quarter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6"/>
                <w:szCs w:val="16"/>
                <w:color w:val="auto"/>
              </w:rPr>
              <w:t>September 30, 2020</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(3,297,800)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(3,297,800)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auto"/>
              </w:rPr>
              <w:t>Balances at September 30, 2020</w:t>
            </w:r>
          </w:p>
        </w:tc>
        <w:tc>
          <w:tcPr>
            <w:tcW w:w="6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500,000</w:t>
            </w:r>
          </w:p>
        </w:tc>
        <w:tc>
          <w:tcPr>
            <w:tcW w:w="3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7"/>
              </w:rPr>
              <w:t>500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w w:val="92"/>
              </w:rPr>
              <w:t>1,160,240$</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1,200</w:t>
            </w:r>
          </w:p>
        </w:tc>
        <w:tc>
          <w:tcPr>
            <w:tcW w:w="780" w:type="dxa"/>
            <w:vAlign w:val="bottom"/>
            <w:gridSpan w:val="3"/>
          </w:tcPr>
          <w:p>
            <w:pPr>
              <w:ind w:left="20"/>
              <w:spacing w:after="0"/>
              <w:rPr>
                <w:sz w:val="20"/>
                <w:szCs w:val="20"/>
                <w:color w:val="auto"/>
              </w:rPr>
            </w:pPr>
            <w:r>
              <w:rPr>
                <w:rFonts w:ascii="Arial" w:cs="Arial" w:eastAsia="Arial" w:hAnsi="Arial"/>
                <w:sz w:val="16"/>
                <w:szCs w:val="16"/>
                <w:b w:val="1"/>
                <w:bCs w:val="1"/>
                <w:color w:val="auto"/>
                <w:w w:val="92"/>
              </w:rPr>
              <w:t>2,318,012$</w:t>
            </w:r>
          </w:p>
        </w:tc>
        <w:tc>
          <w:tcPr>
            <w:tcW w:w="5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2,300</w:t>
            </w:r>
          </w:p>
        </w:tc>
        <w:tc>
          <w:tcPr>
            <w:tcW w:w="14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88"/>
              </w:rPr>
              <w:t>74,133,722</w:t>
            </w:r>
            <w:r>
              <w:rPr>
                <w:rFonts w:ascii="Arial" w:cs="Arial" w:eastAsia="Arial" w:hAnsi="Arial"/>
                <w:sz w:val="16"/>
                <w:szCs w:val="16"/>
                <w:b w:val="1"/>
                <w:bCs w:val="1"/>
                <w:u w:val="single" w:color="auto"/>
                <w:color w:val="auto"/>
                <w:w w:val="88"/>
              </w:rPr>
              <w:t>$</w:t>
            </w:r>
            <w:r>
              <w:rPr>
                <w:rFonts w:ascii="Arial" w:cs="Arial" w:eastAsia="Arial" w:hAnsi="Arial"/>
                <w:sz w:val="16"/>
                <w:szCs w:val="16"/>
                <w:b w:val="1"/>
                <w:bCs w:val="1"/>
                <w:color w:val="auto"/>
                <w:w w:val="88"/>
              </w:rPr>
              <w:t>74,100</w:t>
            </w:r>
          </w:p>
        </w:tc>
        <w:tc>
          <w:tcPr>
            <w:tcW w:w="2440" w:type="dxa"/>
            <w:vAlign w:val="bottom"/>
            <w:gridSpan w:val="7"/>
          </w:tcPr>
          <w:p>
            <w:pPr>
              <w:jc w:val="right"/>
              <w:ind w:right="20"/>
              <w:spacing w:after="0"/>
              <w:rPr>
                <w:sz w:val="20"/>
                <w:szCs w:val="20"/>
                <w:color w:val="auto"/>
              </w:rPr>
            </w:pPr>
            <w:r>
              <w:rPr>
                <w:rFonts w:ascii="Arial" w:cs="Arial" w:eastAsia="Arial" w:hAnsi="Arial"/>
                <w:sz w:val="16"/>
                <w:szCs w:val="16"/>
                <w:b w:val="1"/>
                <w:bCs w:val="1"/>
                <w:u w:val="single" w:color="auto"/>
                <w:color w:val="auto"/>
                <w:w w:val="80"/>
              </w:rPr>
              <w:t>$</w:t>
            </w:r>
            <w:r>
              <w:rPr>
                <w:rFonts w:ascii="Arial" w:cs="Arial" w:eastAsia="Arial" w:hAnsi="Arial"/>
                <w:sz w:val="16"/>
                <w:szCs w:val="16"/>
                <w:b w:val="1"/>
                <w:bCs w:val="1"/>
                <w:color w:val="auto"/>
                <w:w w:val="80"/>
              </w:rPr>
              <w:t>216,444,600</w:t>
            </w:r>
            <w:r>
              <w:rPr>
                <w:rFonts w:ascii="Arial" w:cs="Arial" w:eastAsia="Arial" w:hAnsi="Arial"/>
                <w:sz w:val="16"/>
                <w:szCs w:val="16"/>
                <w:b w:val="1"/>
                <w:bCs w:val="1"/>
                <w:u w:val="single" w:color="auto"/>
                <w:color w:val="auto"/>
                <w:w w:val="80"/>
              </w:rPr>
              <w:t>$</w:t>
            </w:r>
            <w:r>
              <w:rPr>
                <w:rFonts w:ascii="Arial" w:cs="Arial" w:eastAsia="Arial" w:hAnsi="Arial"/>
                <w:sz w:val="16"/>
                <w:szCs w:val="16"/>
                <w:b w:val="1"/>
                <w:bCs w:val="1"/>
                <w:color w:val="auto"/>
                <w:w w:val="80"/>
              </w:rPr>
              <w:t>(3,968,100)</w:t>
            </w:r>
            <w:r>
              <w:rPr>
                <w:rFonts w:ascii="Arial" w:cs="Arial" w:eastAsia="Arial" w:hAnsi="Arial"/>
                <w:sz w:val="16"/>
                <w:szCs w:val="16"/>
                <w:b w:val="1"/>
                <w:bCs w:val="1"/>
                <w:u w:val="single" w:color="auto"/>
                <w:color w:val="auto"/>
                <w:w w:val="80"/>
              </w:rPr>
              <w:t>$</w:t>
            </w:r>
            <w:r>
              <w:rPr>
                <w:rFonts w:ascii="Arial" w:cs="Arial" w:eastAsia="Arial" w:hAnsi="Arial"/>
                <w:sz w:val="16"/>
                <w:szCs w:val="16"/>
                <w:b w:val="1"/>
                <w:bCs w:val="1"/>
                <w:color w:val="auto"/>
                <w:w w:val="80"/>
              </w:rPr>
              <w:t>(208,332,000)</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w w:val="87"/>
              </w:rPr>
              <w:t>$ 4,222,600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340"/>
          </w:cols>
          <w:pgMar w:left="320" w:top="130" w:right="239" w:bottom="145"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7" w:name="page8"/>
    <w:bookmarkEnd w:id="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clinical-stage biopharmaceutical company committed to developing and commercializing differentiated new generation medications that go beyond the current standard of care for anxiety,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Our pipeline includes three CNS drug candidates, each with a differentiated mechanism of action, an exceptional safety profile in all clinical studies to date, and therapeutic potential in multiple CNS markets. Additionally, our subsidiary,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xml:space="preserve">), has developed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 customized human heart cell-based cardiac bioassay system, to assess and develop potential small molecule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our CNS pipeline, or for out-licensing. We aim to become a fully-integrated biopharmaceutical company that develops and commercializes innovative CNS therapies for large and growing mental health and neurology markets where we believe current treatments are inadequate to meet the underserved needs of millions of patients and their caregivers worldwide.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PH94B is an innovative synthetic neuroactive pherine nasal spray with therapeutic potential in a wide range of mental health disorders involving anxiety or phobia. Self-administered in microgram-level doses, PH94B produces rapid onset anti-anxiety effects and does not require systemic uptake and distribution to do so. We are currently preparing PH94B for pivotal Phase 3 development as a potential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With its rapid-onset pharmacology, lack of systemic exposure and sedation, and its excellent safety profile to date, we believe PH94B has potential to displace benzodiazepines in the drug treatment paradigm for anxiety disorders. In addition to SAD, we believe PH94B also has potential as a novel treatment for adjustment disorder, postpartum anxiety, post-traumatic stress disorder, preprocedural anxiety, panic and many other anxiety-related disorders. The FDA has granted Fast Track designation (</w:t>
      </w:r>
      <w:r>
        <w:rPr>
          <w:rFonts w:ascii="Arial" w:cs="Arial" w:eastAsia="Arial" w:hAnsi="Arial"/>
          <w:sz w:val="16"/>
          <w:szCs w:val="16"/>
          <w:i w:val="1"/>
          <w:iCs w:val="1"/>
          <w:color w:val="auto"/>
        </w:rPr>
        <w:t>FTD</w:t>
      </w:r>
      <w:r>
        <w:rPr>
          <w:rFonts w:ascii="Arial" w:cs="Arial" w:eastAsia="Arial" w:hAnsi="Arial"/>
          <w:sz w:val="16"/>
          <w:szCs w:val="16"/>
          <w:color w:val="auto"/>
        </w:rPr>
        <w:t>) for development of PH94B as a potential acute treatment of anxiety in adults with SAD, which we believe to be the first such FTD granted by the FDA for a drug candidate for treatment of SAD.</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PH10 is an innovative synthetic neuroactive pherine delivered intranasally with therapeutic potential in a wide range of neuropsychiatric indications involving depression. Self-administered in microgram-level doses, and in contrast to currently available oral antidepressants, PH10 has potential to produce rapid-onset antidepressant effects without requiring systemic uptake and distribution. Based on its differentiated pharmacology and a successful exploratory Phase 2A study of PH10 in patients with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we are initially developing PH10 as a potential new generation rapid-onset stand-alone treatment of MDD. We believe PH10 also has potential as a novel rapid-onset treatment for postpartum depression, treatment-resistant depression and suicidal ideation.</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AV-101 is a novel, oral prodrug that targets the NMDAR (</w:t>
      </w:r>
      <w:r>
        <w:rPr>
          <w:rFonts w:ascii="Arial" w:cs="Arial" w:eastAsia="Arial" w:hAnsi="Arial"/>
          <w:sz w:val="16"/>
          <w:szCs w:val="16"/>
          <w:i w:val="1"/>
          <w:iCs w:val="1"/>
          <w:color w:val="auto"/>
        </w:rPr>
        <w:t>N-methyl-D-aspartate receptor</w:t>
      </w:r>
      <w:r>
        <w:rPr>
          <w:rFonts w:ascii="Arial" w:cs="Arial" w:eastAsia="Arial" w:hAnsi="Arial"/>
          <w:sz w:val="16"/>
          <w:szCs w:val="16"/>
          <w:color w:val="auto"/>
        </w:rPr>
        <w:t>), an ionotropic glutamate receptor in the brain. Abnormal NMDAR function is associated with numerous CNS diseases and disorders. AV-101’s active metabolite, 7-chloro-kynurenic acid (</w:t>
      </w:r>
      <w:r>
        <w:rPr>
          <w:rFonts w:ascii="Arial" w:cs="Arial" w:eastAsia="Arial" w:hAnsi="Arial"/>
          <w:sz w:val="16"/>
          <w:szCs w:val="16"/>
          <w:i w:val="1"/>
          <w:iCs w:val="1"/>
          <w:color w:val="auto"/>
        </w:rPr>
        <w:t>7-Cl-KYNA</w:t>
      </w:r>
      <w:r>
        <w:rPr>
          <w:rFonts w:ascii="Arial" w:cs="Arial" w:eastAsia="Arial" w:hAnsi="Arial"/>
          <w:sz w:val="16"/>
          <w:szCs w:val="16"/>
          <w:color w:val="auto"/>
        </w:rPr>
        <w:t>), is a potent and selective full antagonist of the glycine coagonist site of the NMDAR that inhibits the function of the NMDAR, but does not block the NMDAR like ketamine and other NMDAR antagonists. We have demonstrated in clinical trials that AV-101 is orally-available, well-tolerated and does not cause dissociative or hallucinogenic psychological side effects or safety concerns similar to those that may be caused by ketamine or other NMDAR antagonists. With its exceptionally few side effects and excellent safety profile, we believe AV-101 has potential to be an oral, new generation treatment for multiple CNS indications involving abnormal NMDAR function and where current the current standard of care is inadequate to meet underserved patient needs. The FDA has granted FTD for development of AV-101 as both a potential adjunctive treatment for MDD and as a non-opioid treatment for neuropathic pain. Based on successful preclinical studies of AV-101 in combination with probenecid, we are assessing potential Phase 1 development of the combination to enable potential exploratory Phase 2A studies in MDD, neuropathic pain, dyskinesia associated with levodopa therapy for Parkinson’s disease, epilepsy and/or suicidal ideation.</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VistaStem is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 technology and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discover and develop, novel small molecule NCEs for our CNS pipeline or for out-licensing. To advance potential cell therapy (</w:t>
      </w:r>
      <w:r>
        <w:rPr>
          <w:rFonts w:ascii="Arial" w:cs="Arial" w:eastAsia="Arial" w:hAnsi="Arial"/>
          <w:sz w:val="16"/>
          <w:szCs w:val="16"/>
          <w:i w:val="1"/>
          <w:iCs w:val="1"/>
          <w:color w:val="auto"/>
        </w:rPr>
        <w:t>CT</w:t>
      </w:r>
      <w:r>
        <w:rPr>
          <w:rFonts w:ascii="Arial" w:cs="Arial" w:eastAsia="Arial" w:hAnsi="Arial"/>
          <w:sz w:val="16"/>
          <w:szCs w:val="16"/>
          <w:color w:val="auto"/>
        </w:rPr>
        <w:t>) and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applications of VistaStem’s hPSC technologies related to heart cells, we have licensed to BlueRock Therapeutics LP, a next generation CT/RM company formed jointly by Bayer AG and Versant Ventures and now a subsidiary of Bayer AG, rights to develop and commercialize certain proprietary technologies relating to the production of cardiac stem cells for the treatment of heart disease. As a result of its acquisition of BlueRock Therapeutics LP in 2019, Bayer AG now holds such rights (the </w:t>
      </w:r>
      <w:r>
        <w:rPr>
          <w:rFonts w:ascii="Arial" w:cs="Arial" w:eastAsia="Arial" w:hAnsi="Arial"/>
          <w:sz w:val="16"/>
          <w:szCs w:val="16"/>
          <w:i w:val="1"/>
          <w:iCs w:val="1"/>
          <w:color w:val="auto"/>
        </w:rPr>
        <w:t>Bayer Agreement</w:t>
      </w:r>
      <w:r>
        <w:rPr>
          <w:rFonts w:ascii="Arial" w:cs="Arial" w:eastAsia="Arial" w:hAnsi="Arial"/>
          <w:sz w:val="16"/>
          <w:szCs w:val="16"/>
          <w:color w:val="auto"/>
        </w:rPr>
        <w:t xml:space="preserve">). The Bayer Agreement is described more completely in Note 11, </w:t>
      </w:r>
      <w:r>
        <w:rPr>
          <w:rFonts w:ascii="Arial" w:cs="Arial" w:eastAsia="Arial" w:hAnsi="Arial"/>
          <w:sz w:val="16"/>
          <w:szCs w:val="16"/>
          <w:i w:val="1"/>
          <w:iCs w:val="1"/>
          <w:color w:val="auto"/>
        </w:rPr>
        <w:t>Sublicensing and Collaboration Agreements</w:t>
      </w:r>
      <w:r>
        <w:rPr>
          <w:rFonts w:ascii="Arial" w:cs="Arial" w:eastAsia="Arial" w:hAnsi="Arial"/>
          <w:sz w:val="16"/>
          <w:szCs w:val="16"/>
          <w:color w:val="auto"/>
        </w:rPr>
        <w:t>.</w:t>
      </w:r>
    </w:p>
    <w:p>
      <w:pPr>
        <w:spacing w:after="0" w:line="172" w:lineRule="exact"/>
        <w:rPr>
          <w:sz w:val="20"/>
          <w:szCs w:val="20"/>
          <w:color w:val="auto"/>
        </w:rPr>
      </w:pPr>
    </w:p>
    <w:p>
      <w:pPr>
        <w:jc w:val="both"/>
        <w:ind w:right="20"/>
        <w:spacing w:after="0" w:line="219" w:lineRule="exact"/>
        <w:rPr>
          <w:sz w:val="20"/>
          <w:szCs w:val="20"/>
          <w:color w:val="auto"/>
        </w:rPr>
      </w:pPr>
      <w:r>
        <w:rPr>
          <w:rFonts w:ascii="Arial" w:cs="Arial" w:eastAsia="Arial" w:hAnsi="Arial"/>
          <w:sz w:val="16"/>
          <w:szCs w:val="16"/>
          <w:color w:val="auto"/>
        </w:rPr>
        <w:t>Our product candidates are protected through a combination of patents, trade secrets, and proprietary know</w:t>
      </w:r>
      <w:r>
        <w:rPr>
          <w:rFonts w:ascii="MS PGothic" w:cs="MS PGothic" w:eastAsia="MS PGothic" w:hAnsi="MS PGothic"/>
          <w:sz w:val="16"/>
          <w:szCs w:val="16"/>
          <w:color w:val="auto"/>
        </w:rPr>
        <w:t>‑</w:t>
      </w:r>
      <w:r>
        <w:rPr>
          <w:rFonts w:ascii="Arial" w:cs="Arial" w:eastAsia="Arial" w:hAnsi="Arial"/>
          <w:sz w:val="16"/>
          <w:szCs w:val="16"/>
          <w:color w:val="auto"/>
        </w:rPr>
        <w:t>how. If approved, they may also be eligible for periods of regulatory exclusivity. Our intellectual property portfolio includes issued U.S. and foreign patents, as well as U.S. and foreign patent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noted above, VistaStem Therapeutics, a California corporation, is our wholly-owned subsidiary. Our Condensed Consolidated Financial Statements in this Quarterly Report on Form 10-Q (</w:t>
      </w:r>
      <w:r>
        <w:rPr>
          <w:rFonts w:ascii="Arial" w:cs="Arial" w:eastAsia="Arial" w:hAnsi="Arial"/>
          <w:sz w:val="16"/>
          <w:szCs w:val="16"/>
          <w:i w:val="1"/>
          <w:iCs w:val="1"/>
          <w:color w:val="auto"/>
        </w:rPr>
        <w:t>Report</w:t>
      </w:r>
      <w:r>
        <w:rPr>
          <w:rFonts w:ascii="Arial" w:cs="Arial" w:eastAsia="Arial" w:hAnsi="Arial"/>
          <w:sz w:val="16"/>
          <w:szCs w:val="16"/>
          <w:color w:val="auto"/>
        </w:rPr>
        <w:t>) also include the accounts of VistaStem and VistaStem’s two wholly-owned inactive subsidiaries, Artemis Neuroscience, Inc., a Maryland corporation, and VistaStem Canada, Inc., a corporation organized under the laws of Ontario, Canada.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2020 has been derived from our audited consolidated financial statements at that date but does not include all disclosures required by U.S. GAAP. The operating results for the three and six months ended September 30, 2020 are not necessarily indicative of the operating results to be expected for our fiscal year ending March 31, 2021, or for any other future interim or other period.</w:t>
      </w:r>
    </w:p>
    <w:p>
      <w:pPr>
        <w:spacing w:after="0" w:line="17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2020 contained in our Annual Report on Form 10-K, as filed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on June 29, 2020.</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$208.3 million accumulated from inception (May 1998) through September 30, 2020. We expect losses and negative cash flows from operations to continue for the foreseeable future as we engage in further development of PH94B, PH10 and AV-101, execute our drug rescue programs and pursue potential drug development and regenerative medicine opportunities.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in May 1998 through September 30, 2020, we have financed our operations and technology acquisitions primarily through the issuance and sale of our equity and debt securities for cash proceeds of approximately $99.2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At September 30, 2020, we had cash and cash equivalents of approximately $15.4 million. As described more completely in Note 8,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in August 2020, we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xml:space="preserve">) pursuant to which we sold, in an underwritten public offering (the </w:t>
      </w:r>
      <w:r>
        <w:rPr>
          <w:rFonts w:ascii="Arial" w:cs="Arial" w:eastAsia="Arial" w:hAnsi="Arial"/>
          <w:sz w:val="16"/>
          <w:szCs w:val="16"/>
          <w:i w:val="1"/>
          <w:iCs w:val="1"/>
          <w:color w:val="auto"/>
        </w:rPr>
        <w:t>August 2020</w:t>
      </w:r>
      <w:r>
        <w:rPr>
          <w:rFonts w:ascii="Arial" w:cs="Arial" w:eastAsia="Arial" w:hAnsi="Arial"/>
          <w:sz w:val="16"/>
          <w:szCs w:val="16"/>
          <w:color w:val="auto"/>
        </w:rPr>
        <w:t xml:space="preserve"> </w:t>
      </w:r>
      <w:r>
        <w:rPr>
          <w:rFonts w:ascii="Arial" w:cs="Arial" w:eastAsia="Arial" w:hAnsi="Arial"/>
          <w:sz w:val="16"/>
          <w:szCs w:val="16"/>
          <w:i w:val="1"/>
          <w:iCs w:val="1"/>
          <w:color w:val="auto"/>
        </w:rPr>
        <w:t>Public Offering</w:t>
      </w:r>
      <w:r>
        <w:rPr>
          <w:rFonts w:ascii="Arial" w:cs="Arial" w:eastAsia="Arial" w:hAnsi="Arial"/>
          <w:sz w:val="16"/>
          <w:szCs w:val="16"/>
          <w:color w:val="auto"/>
        </w:rPr>
        <w:t>), an aggregate of 15,625,000 shares (the</w:t>
      </w:r>
      <w:r>
        <w:rPr>
          <w:rFonts w:ascii="Arial" w:cs="Arial" w:eastAsia="Arial" w:hAnsi="Arial"/>
          <w:sz w:val="16"/>
          <w:szCs w:val="16"/>
          <w:i w:val="1"/>
          <w:iCs w:val="1"/>
          <w:color w:val="auto"/>
        </w:rPr>
        <w:t xml:space="preserve"> Shares</w:t>
      </w:r>
      <w:r>
        <w:rPr>
          <w:rFonts w:ascii="Arial" w:cs="Arial" w:eastAsia="Arial" w:hAnsi="Arial"/>
          <w:sz w:val="16"/>
          <w:szCs w:val="16"/>
          <w:color w:val="auto"/>
        </w:rPr>
        <w:t>) of our common stock for a public offering price of $0.80 per Share, resulting in gross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us of $12,500,000. Under the terms of the Underwriting Agreement, we granted to the underwriter an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(the </w:t>
      </w:r>
      <w:r>
        <w:rPr>
          <w:rFonts w:ascii="Arial" w:cs="Arial" w:eastAsia="Arial" w:hAnsi="Arial"/>
          <w:sz w:val="16"/>
          <w:szCs w:val="16"/>
          <w:i w:val="1"/>
          <w:iCs w:val="1"/>
          <w:color w:val="auto"/>
        </w:rPr>
        <w:t>Option Shares</w:t>
      </w:r>
      <w:r>
        <w:rPr>
          <w:rFonts w:ascii="Arial" w:cs="Arial" w:eastAsia="Arial" w:hAnsi="Arial"/>
          <w:sz w:val="16"/>
          <w:szCs w:val="16"/>
          <w:color w:val="auto"/>
        </w:rPr>
        <w:t xml:space="preserve">) at a public offering price of $0.80 per Option Share. The underwriter exercised the Over-Allotment Option with respect to 2,243,250 Option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resulting in additional gross proceeds to us of $1,794,600. Net proceeds to us from the sale of the Shares and the Exercised Option Shares, after deducting underwriting discounts and commissions and offering expenses payable by us, were approximately $12.9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more completely described in Note 11, </w:t>
      </w:r>
      <w:r>
        <w:rPr>
          <w:rFonts w:ascii="Arial" w:cs="Arial" w:eastAsia="Arial" w:hAnsi="Arial"/>
          <w:sz w:val="16"/>
          <w:szCs w:val="16"/>
          <w:i w:val="1"/>
          <w:iCs w:val="1"/>
          <w:color w:val="auto"/>
        </w:rPr>
        <w:t>Sublicensing and Collaboration Agreements</w:t>
      </w:r>
      <w:r>
        <w:rPr>
          <w:rFonts w:ascii="Arial" w:cs="Arial" w:eastAsia="Arial" w:hAnsi="Arial"/>
          <w:sz w:val="16"/>
          <w:szCs w:val="16"/>
          <w:color w:val="auto"/>
        </w:rPr>
        <w:t xml:space="preserve">, in June 2020, we entered into a strategic licensing and collaboration agreement for the clinical development and commercialization of PH94B for acute treatment of anxiety in adults with SAD and other potential anxiety-related disorders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a biopharmaceutical company focused on developing and commercializing transformative pharmaceutical products for patients in Greater China and other parts of Asia, and funded by CBC Group, a global healthcare-focused venture capital firm. In October 2020, it was announced that EverInsight is to merge with AffaMed Therapeutics, also funded by CBC Group, which as a combined, complementary entity will focus on developing and commercializing therapeutics to address ophthalmologic and CNS disorders in Greater China and beyond. Under the terms of the EverInsight Agreement, EverInsight agreed to make a non-dilutive upfront license payment of $5.0 million to us, which we received in August 2020. Upon successful development and commercialization of PH94B in EverInsight’s territory, we are eligible to receive up to $172 million in additional development and commercial milestone payments, plus royalties on commercial sales in the licensed territory. The $5.0 million upfront license payment resulted in net cash proceeds to us of approximately $4.655 million after the sublicense payment we agreed to make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pursuant to our PH94B license from Pherin, and payment for consulting services related to the EverInsight Agreement.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As more completely described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on March 24, 2020, we entered into a purchase agreement and a registration rights agreement with Lincoln Park Capital Fund (</w:t>
      </w:r>
      <w:r>
        <w:rPr>
          <w:rFonts w:ascii="Arial" w:cs="Arial" w:eastAsia="Arial" w:hAnsi="Arial"/>
          <w:sz w:val="16"/>
          <w:szCs w:val="16"/>
          <w:i w:val="1"/>
          <w:iCs w:val="1"/>
          <w:color w:val="auto"/>
        </w:rPr>
        <w:t>Lincoln Park</w:t>
      </w:r>
      <w:r>
        <w:rPr>
          <w:rFonts w:ascii="Arial" w:cs="Arial" w:eastAsia="Arial" w:hAnsi="Arial"/>
          <w:sz w:val="16"/>
          <w:szCs w:val="16"/>
          <w:color w:val="auto"/>
        </w:rPr>
        <w:t xml:space="preserve">) pursuant to which Lincoln Park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To satisfy our obligations under the registration rights agreement,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March 31, 2020, which the SEC declared effective on April 14, 2020 (Registration No. 333-237514). Subsequent to the effectiveness of the LPC Registration Statement, through September 30, 2020, we sold 6,301,995 registered shares of our common stock to Lincoln Park and received gross cash proceeds of $2,891,200.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Although the transactions described above have generated approximately $20.0 million in net cash proceeds to us between April 1, 2020 and the date of this Report, we believe it is probable that our cash position at September 30, 2020, which reflects such net proceeds, will not be sufficient to fund our planned operations for the twelve months following the issuance of these financial statements, which raises substantial doubt that we can continue as a going concern. During the next twelve months, subject to securing appropriate and adequate additional financing, we plan to (i) prepare for and launch a pivotal Phase 3 clinical trial of PH94B for acute treatment of anxiety in adult patients with SAD, (ii) prepare for and launch a small exploratory Phase 2A study of PH94B for acute treatment of adult patients with adjustment disorder, (iii) prepare for and potentially launch small exploratory Phase 2A clinical studies of PH94B in postpartum anxiety, post-traumatic stress disorder and/or pre-procedural (i.e. pre-MRI) anxiety, (iv) assess and potentially launch a Phase 1 study of AV-101 in combination with probenecid to enable exploratory Phase 2A development of the combination for treatment of CNS disorders, and (v) conduct several nonclinical studies involving PH94B, PH10 and AV-101. When necessary and advantageous, we plan to raise additional capital through the sale of our equity securities in one or more (i) private placements to accredited investors, (ii) public offerings and/or (iii) in strategic licensing and development collaborations involving one or more of our drug candidates in markets outside the United States, similar to the EverInsight Agreement. Subject to certain restrictions, our Registration Statement on Form S-3 (Registration No. 333-234025)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which became effective on October 7, 2019 and was used to register the Shares and the Exercised Option Shares sold in the August 2020 Public Offering, remains available for future sales of our equity securities in one or more public offerings from time to time. While we may make additional sales of our equity securities under the S-3 Registration Statement, we do not have an obligation to do so. Further, at September 30, 2020 and through the date of this Report, there are approximately 2.04 million registered shares of our common stock remaining available for sale under the LPC Agreement. We have no obligation to sell any additional shares to LPC under the LPC Agreement.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we have been in the past, we expect that, when and as necessary, we will be successful in raising additional capital from the sale of our equity securities either in one or more public offerings or in one or more private placement transactions with individual accredited investors and institutions. In addition to the potential sale of our equity securities, we may also seek to enter research, development and/or commercialization collaborations similar to the EverInsight Agreement and the Bayer Agreement that could generate revenue or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EverInsight Agreement and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working capital requirements will depend on many factors, including, without limitation, potential impacts related to the current COVID-19 pandemic, the scope and nature of opportunities related to our success and the success of certain other companies in nonclinical and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manufacturing, research and development, investor and public relations, business development, legal, intellectual property acquisition and protection, public company compliance and other professional services and operating costs.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the foregoing, there can be no assurance that our current strategic collaborations under the EverInsight Agreement and the Bayer Agreement will generate revenue from future potential milestone payments, or that future financings or government or other strategic collaborations will be available to us in sufficient amounts, in a timely manner, or on terms acceptable to us, if at all. If we are unable to obtain substantial additional financing on a timely basis when needed in 2021 or thereafter,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generate revenue from collaborative research and development arrangements, licensing and technology transfer agreements, including strategic licenses or sublicenses, and government grants. We expect that our primary source of revenue beginning in the quarter ended September 30, 2020 will be from the EverInsight Agreement involving clinical development and commercialization of PH94B for acute treatment of anxiety in adults with SAD, and potentially other anxiety-related disorders, in Greater China, South Korea, and Southeast Asia. The terms of the EverInsight Agreement include a $5.0 million non-refundable upfront license fee which we received in August 2020, potential payments based upon achievement of certain development and commercial milestones, and royalties on product sales. We also have the Bayer Agreement, pursuant to which we recorded sublicense revenue in the third quarter of our fiscal year ended March 31, 2017, also described in Note 11, </w:t>
      </w:r>
      <w:r>
        <w:rPr>
          <w:rFonts w:ascii="Arial" w:cs="Arial" w:eastAsia="Arial" w:hAnsi="Arial"/>
          <w:sz w:val="16"/>
          <w:szCs w:val="16"/>
          <w:i w:val="1"/>
          <w:iCs w:val="1"/>
          <w:color w:val="auto"/>
        </w:rPr>
        <w:t>Sublicensing and Collaborative Agreements</w:t>
      </w:r>
      <w:r>
        <w:rPr>
          <w:rFonts w:ascii="Arial" w:cs="Arial" w:eastAsia="Arial" w:hAnsi="Arial"/>
          <w:sz w:val="16"/>
          <w:szCs w:val="16"/>
          <w:color w:val="auto"/>
        </w:rPr>
        <w:t>, as a potential revenue generating arrangement.</w:t>
      </w:r>
    </w:p>
    <w:p>
      <w:pPr>
        <w:spacing w:after="0" w:line="17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xml:space="preserve">) Topic 606,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 (iii) determine the transaction price, including variable consideration, if any;</w:t>
      </w:r>
    </w:p>
    <w:p>
      <w:pPr>
        <w:spacing w:after="0" w:line="2" w:lineRule="exact"/>
        <w:rPr>
          <w:sz w:val="20"/>
          <w:szCs w:val="20"/>
          <w:color w:val="auto"/>
        </w:rPr>
      </w:pPr>
    </w:p>
    <w:p>
      <w:pPr>
        <w:jc w:val="both"/>
        <w:ind w:firstLine="8"/>
        <w:spacing w:after="0" w:line="255" w:lineRule="auto"/>
        <w:tabs>
          <w:tab w:leader="none" w:pos="30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components are separable from the other aspects of the contractual relationship.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Collaboration arrangements can have several promised goods or services including a license for our intellectual property, product supply and development and regulatory services. When the customer could not obtain the intended benefit of the contract from a promised good or service without one or more other promises in the contract, the promise is determined to be not distinct in the context of the contract and is combined with other promises until the combined promises are distinct to identify performance obligations. We have determined that the EverInsight Agreement includes a single combined performance obligation that includes both the license to intellectual property and development and regulatory services.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Arrangements can include promises for optional additional items, which are considered marketing offers and are accounted for as separate contracts when the customer elects such options. Arrangements that include a promise for future supply of product for either clinical development or commercial supply and optional research and development services at the customer’s or the Company’s discretion are generally considered as options. We assess whether these options provide a material right to the customer and if so, such material rights are accounted for as separate performance obligations. When the customer exercises an option, any additional payments related to the option are recorded in revenue when the customer obtains control of the goods or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Arrangements may have both fixed and variable consideration. For collaboration agreements, the non-refundable upfront fees and product supply selling prices are considered fixed, while milestone payments are considered variable consideration when determining the transaction price. At the inception of each arrangement, we evaluate whether the development milestones are considered probable of being achieved and estimate an amount to be included in the transaction price using the most likely amount method. If it is probable that a significant revenue reversal would not occur, the value of the associated milestone is included in the transaction price. Milestone payments that are not within our control or the licensee’s control, such as approvals from regulators, are generally not considered probable of being achieved until such approvals are received.</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sales-based royalties, including commercial milestone payments based on the level of sales, for which the license is deemed to be the predominant item to which the royalties relate, we recognize revenue at the later of when (a) the related sales occur, or (b) the performance obligation to which some or all of the royalty has been allocated has been satisfied (or partially satisfied).</w:t>
      </w:r>
    </w:p>
    <w:p>
      <w:pPr>
        <w:spacing w:after="0" w:line="1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Consideration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part of the accounting for collaboration arrangements, we must develop assumptions that require judgment to determine the stand-alone selling price of each performance obligation identified in the contract. The transaction price is allocated to the identified performance obligations in proportion to their standalone selling prices (</w:t>
      </w:r>
      <w:r>
        <w:rPr>
          <w:rFonts w:ascii="Arial" w:cs="Arial" w:eastAsia="Arial" w:hAnsi="Arial"/>
          <w:sz w:val="16"/>
          <w:szCs w:val="16"/>
          <w:i w:val="1"/>
          <w:iCs w:val="1"/>
          <w:color w:val="auto"/>
        </w:rPr>
        <w:t>SSP</w:t>
      </w:r>
      <w:r>
        <w:rPr>
          <w:rFonts w:ascii="Arial" w:cs="Arial" w:eastAsia="Arial" w:hAnsi="Arial"/>
          <w:sz w:val="16"/>
          <w:szCs w:val="16"/>
          <w:color w:val="auto"/>
        </w:rPr>
        <w:t>) on a relative SSP basis. SSP is determined at contract inception and is not updated to reflect changes between contract inception and satisfaction of the performance obligations. In developing the SSP for a performance obligation, we consider applicable market conditions and relevant Company-specific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 Since the EverInsight Agreement includes a single combined performance obligation that is not distinct, there is no allocation of consideration.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Significant management judgment is required to determine the level of effort required under collaboration arrangements and the period over which we expect to complete our performance obligations under the arrangement. The performance period or measure of progress is estimated at the inception of the arrangement and re-evaluated in each reporting period. This re-evaluation may shorten or lengthen the period over which revenue is recognized. Changes to these estimates are recorded on a cumulative catch up basis. Revenue is recognized for products at a point in time and for licenses of functional intellectual property at the point in time the customer can use and benefit from the license. For performance obligations that are services, revenue is recognized over time using an output or input method. For performance obligations that are a combination of licenses to intellectual property and interdependent services, the nature of the combined performance obligation is considered when determining the method and measure of progress that best represents the satisfaction of the performance obligation. For the single combined performance obligation of the EverInsight Agreement, the measure of progress is stand-ready straight-line over the period in which we expect to perform the services related to the license of PH94B.</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difference between revenue recognized to-date and the consideration invoiced or received to-date is recognized as either a contract asset/unbilled revenue (revenue earned exceeds cash received) or a contract liability/deferred revenue (cash received exceeds revenue earned). At September 30, 2020, we have recorded deferred revenue of $4,666,000. The following table presents changes in our contract liabilities for the six months ended September 30, 2020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at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March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3"/>
              </w:rPr>
              <w:t>Additions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Deductions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5"/>
              </w:rPr>
              <w:t>30, 2020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portion</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1,244,000</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Revenue - non-current portion</w:t>
            </w:r>
          </w:p>
        </w:tc>
        <w:tc>
          <w:tcPr>
            <w:tcW w:w="8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3,756,000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(334,000)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3,422,000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5,000,000</w:t>
            </w: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(334,000)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4,666,000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single combined performance obligation under the EverInsight Agreement, the measure of progress is stand-ready straight-line over the period in which we expect to perform the services related to the license of PH94B. Accordingly, deferred revenue is being recognized on a straight-line basis over the period in which we expect to perform the services.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100" w:type="dxa"/>
            <w:vAlign w:val="bottom"/>
          </w:tcPr>
          <w:p>
            <w:pPr>
              <w:spacing w:after="0"/>
              <w:rPr>
                <w:sz w:val="20"/>
                <w:szCs w:val="20"/>
                <w:color w:val="auto"/>
              </w:rPr>
            </w:pPr>
            <w:r>
              <w:rPr>
                <w:rFonts w:ascii="Arial" w:cs="Arial" w:eastAsia="Arial" w:hAnsi="Arial"/>
                <w:sz w:val="18"/>
                <w:szCs w:val="18"/>
                <w:color w:val="auto"/>
              </w:rPr>
              <w:t>During the three and six months ended September 30, 2020 and 2019, we recognized the following revenue:</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9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Three and Six Months</w:t>
            </w:r>
          </w:p>
        </w:tc>
      </w:tr>
      <w:tr>
        <w:trPr>
          <w:trHeight w:val="216"/>
        </w:trPr>
        <w:tc>
          <w:tcPr>
            <w:tcW w:w="9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left="472"/>
              <w:spacing w:after="0"/>
              <w:rPr>
                <w:sz w:val="20"/>
                <w:szCs w:val="20"/>
                <w:color w:val="auto"/>
              </w:rPr>
            </w:pPr>
            <w:r>
              <w:rPr>
                <w:rFonts w:ascii="Arial" w:cs="Arial" w:eastAsia="Arial" w:hAnsi="Arial"/>
                <w:sz w:val="18"/>
                <w:szCs w:val="18"/>
                <w:b w:val="1"/>
                <w:bCs w:val="1"/>
                <w:color w:val="auto"/>
                <w:w w:val="87"/>
              </w:rPr>
              <w:t>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9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7"/>
              </w:rPr>
              <w:t>September 30,</w:t>
            </w:r>
          </w:p>
        </w:tc>
      </w:tr>
      <w:tr>
        <w:trPr>
          <w:trHeight w:val="252"/>
        </w:trPr>
        <w:tc>
          <w:tcPr>
            <w:tcW w:w="9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1"/>
                <w:szCs w:val="21"/>
                <w:color w:val="auto"/>
              </w:rPr>
            </w:pPr>
          </w:p>
        </w:tc>
      </w:tr>
      <w:tr>
        <w:trPr>
          <w:trHeight w:val="241"/>
        </w:trPr>
        <w:tc>
          <w:tcPr>
            <w:tcW w:w="9100" w:type="dxa"/>
            <w:vAlign w:val="bottom"/>
          </w:tcPr>
          <w:p>
            <w:pPr>
              <w:spacing w:after="0"/>
              <w:rPr>
                <w:sz w:val="20"/>
                <w:szCs w:val="20"/>
                <w:color w:val="auto"/>
              </w:rPr>
            </w:pPr>
            <w:r>
              <w:rPr>
                <w:rFonts w:ascii="Arial" w:cs="Arial" w:eastAsia="Arial" w:hAnsi="Arial"/>
                <w:sz w:val="18"/>
                <w:szCs w:val="18"/>
                <w:color w:val="auto"/>
              </w:rPr>
              <w:t>Revenue recognized in the period from:</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9100" w:type="dxa"/>
            <w:vAlign w:val="bottom"/>
          </w:tcPr>
          <w:p>
            <w:pPr>
              <w:spacing w:after="0"/>
              <w:rPr>
                <w:sz w:val="20"/>
                <w:szCs w:val="20"/>
                <w:color w:val="auto"/>
              </w:rPr>
            </w:pPr>
            <w:r>
              <w:rPr>
                <w:rFonts w:ascii="Arial" w:cs="Arial" w:eastAsia="Arial" w:hAnsi="Arial"/>
                <w:sz w:val="18"/>
                <w:szCs w:val="18"/>
                <w:color w:val="auto"/>
              </w:rPr>
              <w:t>Amounts included in contract liabilities at the beginning of the period:</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obligations satisfied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New activities in the period: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obligations satisfied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9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334,000</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quarter ended September 30, 2020, we made cash payments aggregating $345,000 for sublicense fees which we were obligated to make pursuant to our PH94B license from Pherin, and fees for consulting services exclusively related to the EverInsight Agreement. Additionally, on June 24, 2020, we issued 233,645 unregistered shares of our common stock, valued at $125,000, as partial compensation for consulting services exclusively related to the EverInsight Agreement. These sublicense fees and consulting payments and the fair value of the common stock issued, aggregating $470,000, were incurred solely as a result of obtaining the EverInsight Agreement, and, accordingly, have been capitalized as deferred contract acquisition costs in our Condensed Consolidated Balance Sheet. Capitalized contract acquisition costs are amortized over the period in which we expect to satisfy the performance obligations under the EverInsight Agreement and the amortization expense has been included in general and administrative expenses in our Condensed Consolidated Statement of Operations and Comprehensive Loss. In the quarter and six months ended September 30, 2020, we amortized $31,400 to general and administrative expense in recognition of the services performed under the arrangement. There has been no impairment loss in relation to the costs capitalized.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 acquisition costs for the six months ended September 30,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Balance at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March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w w:val="93"/>
              </w:rPr>
              <w:t>Additions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Deductions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5"/>
              </w:rPr>
              <w:t>30, 2020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current portion</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8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353,100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(31,400)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AV-101, and stem cell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contract research and development organizations,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compensation cost for all stock-based awards to employees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six months ended September 30,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jc w:val="right"/>
              <w:ind w:right="112"/>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Six Months Ended</w:t>
            </w:r>
          </w:p>
        </w:tc>
      </w:tr>
      <w:tr>
        <w:trPr>
          <w:trHeight w:val="237"/>
        </w:trPr>
        <w:tc>
          <w:tcPr>
            <w:tcW w:w="6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4"/>
          </w:tcPr>
          <w:p>
            <w:pPr>
              <w:jc w:val="right"/>
              <w:ind w:right="392"/>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r>
      <w:tr>
        <w:trPr>
          <w:trHeight w:val="250"/>
        </w:trPr>
        <w:tc>
          <w:tcPr>
            <w:tcW w:w="68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r>
      <w:tr>
        <w:trPr>
          <w:trHeight w:val="243"/>
        </w:trPr>
        <w:tc>
          <w:tcPr>
            <w:tcW w:w="6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8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558,100</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ind w:left="6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288,500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226,000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736,500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898,400</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410,900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393,500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1,085,500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1,456,500</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Expense amounts reported above include $1,300 and $3,800 in research and development expense for the three and six months ended September 30, 2020, respectively, and $1,300 and $2,800 in general and administrative expense for the three and six months ended September 30, 2020, respectively, attributable to our 2019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 xml:space="preserve">During the three and six months ended September 30, 2020, we granted from our 2019 Omnibus Equity Incentive Plan (the </w:t>
      </w:r>
      <w:r>
        <w:rPr>
          <w:rFonts w:ascii="Arial" w:cs="Arial" w:eastAsia="Arial" w:hAnsi="Arial"/>
          <w:sz w:val="18"/>
          <w:szCs w:val="18"/>
          <w:i w:val="1"/>
          <w:iCs w:val="1"/>
          <w:color w:val="auto"/>
        </w:rPr>
        <w:t>2019 Plan</w:t>
      </w:r>
      <w:r>
        <w:rPr>
          <w:rFonts w:ascii="Arial" w:cs="Arial" w:eastAsia="Arial" w:hAnsi="Arial"/>
          <w:sz w:val="18"/>
          <w:szCs w:val="18"/>
          <w:color w:val="auto"/>
        </w:rPr>
        <w:t>) options to purchase an aggregate of 120,000 shares and 2,065,000 shares, respectively, of our common stock at exercise prices at or above the closing market price of our common stock on the date of grant to the independent members of our Board, our officers and employees and certain consultants. The options generally vested 25% upon grant with the remaining shares vesting ratably over two years for independent directors, officers and employees, and over one to three years for consultants. We valued the options granted during the three and six months ended September 30, 2020 using the Black-Scholes Option Pricing Model and the following assumptions: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6"/>
              </w:rPr>
              <w:t>September 30, 2020</w:t>
            </w:r>
          </w:p>
        </w:tc>
        <w:tc>
          <w:tcPr>
            <w:tcW w:w="100" w:type="dxa"/>
            <w:vAlign w:val="bottom"/>
          </w:tcPr>
          <w:p>
            <w:pPr>
              <w:spacing w:after="0"/>
              <w:rPr>
                <w:sz w:val="20"/>
                <w:szCs w:val="20"/>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8"/>
              </w:rPr>
              <w:t>September 30, 2020</w:t>
            </w:r>
          </w:p>
        </w:tc>
        <w:tc>
          <w:tcPr>
            <w:tcW w:w="0" w:type="dxa"/>
            <w:vAlign w:val="bottom"/>
          </w:tcPr>
          <w:p>
            <w:pPr>
              <w:spacing w:after="0"/>
              <w:rPr>
                <w:sz w:val="1"/>
                <w:szCs w:val="1"/>
                <w:color w:val="auto"/>
              </w:rPr>
            </w:pPr>
          </w:p>
        </w:tc>
      </w:tr>
      <w:tr>
        <w:trPr>
          <w:trHeight w:val="201"/>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320"/>
              <w:spacing w:after="0" w:line="201" w:lineRule="exact"/>
              <w:rPr>
                <w:sz w:val="20"/>
                <w:szCs w:val="20"/>
                <w:color w:val="auto"/>
              </w:rPr>
            </w:pPr>
            <w:r>
              <w:rPr>
                <w:rFonts w:ascii="Arial" w:cs="Arial" w:eastAsia="Arial" w:hAnsi="Arial"/>
                <w:sz w:val="18"/>
                <w:szCs w:val="18"/>
                <w:b w:val="1"/>
                <w:bCs w:val="1"/>
                <w:color w:val="auto"/>
                <w:w w:val="86"/>
              </w:rPr>
              <w:t>Weighted</w:t>
            </w: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300"/>
              <w:spacing w:after="0" w:line="201" w:lineRule="exact"/>
              <w:rPr>
                <w:sz w:val="20"/>
                <w:szCs w:val="20"/>
                <w:color w:val="auto"/>
              </w:rPr>
            </w:pPr>
            <w:r>
              <w:rPr>
                <w:rFonts w:ascii="Arial" w:cs="Arial" w:eastAsia="Arial" w:hAnsi="Arial"/>
                <w:sz w:val="18"/>
                <w:szCs w:val="18"/>
                <w:b w:val="1"/>
                <w:bCs w:val="1"/>
                <w:color w:val="auto"/>
                <w:w w:val="86"/>
              </w:rPr>
              <w:t>Weighted</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60" w:type="dxa"/>
            <w:vAlign w:val="bottom"/>
            <w:gridSpan w:val="2"/>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Range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Range</w:t>
            </w:r>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3"/>
              </w:rPr>
              <w:t>$0.62 to 0.73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3"/>
              </w:rPr>
              <w:t>$0.40 to 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$0.62 to 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$0.40 to 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0.26% to</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0.35%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9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86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5.20 to 5.58</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20"/>
                <w:szCs w:val="20"/>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5.20 to 5.94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84.55% to</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82.93%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84.71%</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85.32%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84.14%</w:t>
            </w: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85.85%</w:t>
            </w: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Dividend rate</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2,065,000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 xml:space="preserve">At September 30, 2020, there were stock options outstanding under our 2016 Equity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and our 2019 Plan to purchase 12,068,088 shares of our common stock at a weighted average exercise price of $1.20 per share. At that date, there were also 4,665,162 shares of our common stock available for future issuance under the 2019 Plan. There are no additional shares available for issuance under our 2016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Right-of-Use Assets and Lease Liabilities</w:t>
      </w:r>
    </w:p>
    <w:p>
      <w:pPr>
        <w:spacing w:after="0" w:line="231"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On April 1, 2019, we adopted Financial Accounting Standards Board (</w:t>
      </w:r>
      <w:r>
        <w:rPr>
          <w:rFonts w:ascii="Arial" w:cs="Arial" w:eastAsia="Arial" w:hAnsi="Arial"/>
          <w:sz w:val="18"/>
          <w:szCs w:val="18"/>
          <w:i w:val="1"/>
          <w:iCs w:val="1"/>
          <w:color w:val="auto"/>
        </w:rPr>
        <w:t>FASB</w:t>
      </w:r>
      <w:r>
        <w:rPr>
          <w:rFonts w:ascii="Arial" w:cs="Arial" w:eastAsia="Arial" w:hAnsi="Arial"/>
          <w:sz w:val="18"/>
          <w:szCs w:val="18"/>
          <w:color w:val="auto"/>
        </w:rPr>
        <w:t>) Accounting Standards Update (</w:t>
      </w:r>
      <w:r>
        <w:rPr>
          <w:rFonts w:ascii="Arial" w:cs="Arial" w:eastAsia="Arial" w:hAnsi="Arial"/>
          <w:sz w:val="18"/>
          <w:szCs w:val="18"/>
          <w:i w:val="1"/>
          <w:iCs w:val="1"/>
          <w:color w:val="auto"/>
        </w:rPr>
        <w:t>ASU</w:t>
      </w:r>
      <w:r>
        <w:rPr>
          <w:rFonts w:ascii="Arial" w:cs="Arial" w:eastAsia="Arial" w:hAnsi="Arial"/>
          <w:sz w:val="18"/>
          <w:szCs w:val="18"/>
          <w:color w:val="auto"/>
        </w:rPr>
        <w:t xml:space="preserve">) No. 2016-02, </w:t>
      </w:r>
      <w:r>
        <w:rPr>
          <w:rFonts w:ascii="Arial" w:cs="Arial" w:eastAsia="Arial" w:hAnsi="Arial"/>
          <w:sz w:val="18"/>
          <w:szCs w:val="18"/>
          <w:i w:val="1"/>
          <w:iCs w:val="1"/>
          <w:color w:val="auto"/>
        </w:rPr>
        <w:t>Leases</w:t>
      </w:r>
      <w:r>
        <w:rPr>
          <w:rFonts w:ascii="Arial" w:cs="Arial" w:eastAsia="Arial" w:hAnsi="Arial"/>
          <w:sz w:val="18"/>
          <w:szCs w:val="18"/>
          <w:color w:val="auto"/>
        </w:rPr>
        <w:t>, which replaced the existing guidance in Accounting Standards Codification (</w:t>
      </w:r>
      <w:r>
        <w:rPr>
          <w:rFonts w:ascii="Arial" w:cs="Arial" w:eastAsia="Arial" w:hAnsi="Arial"/>
          <w:sz w:val="18"/>
          <w:szCs w:val="18"/>
          <w:i w:val="1"/>
          <w:iCs w:val="1"/>
          <w:color w:val="auto"/>
        </w:rPr>
        <w:t>ASC</w:t>
      </w:r>
      <w:r>
        <w:rPr>
          <w:rFonts w:ascii="Arial" w:cs="Arial" w:eastAsia="Arial" w:hAnsi="Arial"/>
          <w:sz w:val="18"/>
          <w:szCs w:val="18"/>
          <w:color w:val="auto"/>
        </w:rPr>
        <w:t xml:space="preserve">) 840, “Leases”, and its subsequent amendments including ASU No. 2018-11,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Targeted Improvements (</w:t>
      </w:r>
      <w:r>
        <w:rPr>
          <w:rFonts w:ascii="Arial" w:cs="Arial" w:eastAsia="Arial" w:hAnsi="Arial"/>
          <w:sz w:val="18"/>
          <w:szCs w:val="18"/>
          <w:i w:val="1"/>
          <w:iCs w:val="1"/>
          <w:color w:val="auto"/>
        </w:rPr>
        <w:t>ASC 842</w:t>
      </w:r>
      <w:r>
        <w:rPr>
          <w:rFonts w:ascii="Arial" w:cs="Arial" w:eastAsia="Arial" w:hAnsi="Arial"/>
          <w:sz w:val="18"/>
          <w:szCs w:val="18"/>
          <w:color w:val="auto"/>
        </w:rPr>
        <w:t>) using the modified transition method.</w:t>
      </w:r>
    </w:p>
    <w:p>
      <w:pPr>
        <w:spacing w:after="0" w:line="195"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spacing w:after="0" w:line="172" w:lineRule="exact"/>
        <w:rPr>
          <w:sz w:val="20"/>
          <w:szCs w:val="20"/>
          <w:color w:val="auto"/>
        </w:rPr>
      </w:pPr>
    </w:p>
    <w:p>
      <w:pPr>
        <w:jc w:val="both"/>
        <w:ind w:right="40"/>
        <w:spacing w:after="0" w:line="369" w:lineRule="auto"/>
        <w:rPr>
          <w:sz w:val="20"/>
          <w:szCs w:val="20"/>
          <w:color w:val="auto"/>
        </w:rPr>
      </w:pPr>
      <w:r>
        <w:rPr>
          <w:rFonts w:ascii="Arial" w:cs="Arial" w:eastAsia="Arial" w:hAnsi="Arial"/>
          <w:sz w:val="15"/>
          <w:szCs w:val="15"/>
          <w:color w:val="auto"/>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spacing w:after="0" w:line="11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9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 xml:space="preserve">Our accounting for financing leases, previously referred to as “capital leases” under earlier guidance, remained substantially unchanged with our adoption of ASC 842. Financing leases are included in property and equipment, net and as current and non-current financing lease liabilities in our condensed consolidated balance sheets.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ASC 842 and its impact on our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ind w:right="40"/>
        <w:spacing w:after="0" w:line="26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ectPr>
          <w:pgSz w:w="11900" w:h="16838" w:orient="portrait"/>
          <w:cols w:equalWidth="0" w:num="1">
            <w:col w:w="11280"/>
          </w:cols>
          <w:pgMar w:left="320" w:top="1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30" w:right="299" w:bottom="1440" w:gutter="0" w:footer="0" w:header="0"/>
          <w:type w:val="continuous"/>
        </w:sectPr>
      </w:pPr>
    </w:p>
    <w:bookmarkStart w:id="15" w:name="page16"/>
    <w:bookmarkEnd w:id="1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of our net loss for all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920" w:type="dxa"/>
            <w:vAlign w:val="bottom"/>
          </w:tcPr>
          <w:p>
            <w:pPr>
              <w:jc w:val="right"/>
              <w:ind w:right="272"/>
              <w:spacing w:after="0"/>
              <w:rPr>
                <w:sz w:val="20"/>
                <w:szCs w:val="20"/>
                <w:color w:val="auto"/>
              </w:rPr>
            </w:pPr>
            <w:r>
              <w:rPr>
                <w:rFonts w:ascii="Arial" w:cs="Arial" w:eastAsia="Arial" w:hAnsi="Arial"/>
                <w:sz w:val="18"/>
                <w:szCs w:val="18"/>
                <w:b w:val="1"/>
                <w:bCs w:val="1"/>
                <w:color w:val="auto"/>
              </w:rPr>
              <w:t>At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0"/>
              </w:rPr>
              <w:t>September</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At March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rPr>
              <w:t>30,</w:t>
            </w:r>
          </w:p>
        </w:tc>
        <w:tc>
          <w:tcPr>
            <w:tcW w:w="1120" w:type="dxa"/>
            <w:vAlign w:val="bottom"/>
            <w:gridSpan w:val="2"/>
          </w:tcPr>
          <w:p>
            <w:pPr>
              <w:jc w:val="right"/>
              <w:ind w:right="27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1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1,160,240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1,160,240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w w:val="95"/>
              </w:rPr>
              <w:t>Outstanding options under the Company's Amended and Restated 2016 (formerly 2008) Stock Incentive Plan and 2019</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00" w:type="dxa"/>
            <w:vAlign w:val="bottom"/>
            <w:gridSpan w:val="2"/>
          </w:tcPr>
          <w:p>
            <w:pPr>
              <w:spacing w:after="0"/>
              <w:rPr>
                <w:sz w:val="20"/>
                <w:szCs w:val="20"/>
                <w:color w:val="auto"/>
              </w:rPr>
            </w:pPr>
            <w:r>
              <w:rPr>
                <w:rFonts w:ascii="Arial" w:cs="Arial" w:eastAsia="Arial" w:hAnsi="Arial"/>
                <w:sz w:val="18"/>
                <w:szCs w:val="18"/>
                <w:color w:val="auto"/>
              </w:rPr>
              <w:t>Omnibus Equity Incentive Plan</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12,068,088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10,003,088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25,761,834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26,555,281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42,058,174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40,786,621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as amended</w:t>
      </w:r>
    </w:p>
    <w:p>
      <w:pPr>
        <w:spacing w:after="0" w:line="7" w:lineRule="exact"/>
        <w:rPr>
          <w:rFonts w:ascii="Arial" w:cs="Arial" w:eastAsia="Arial" w:hAnsi="Arial"/>
          <w:sz w:val="25"/>
          <w:szCs w:val="25"/>
          <w:color w:val="auto"/>
          <w:vertAlign w:val="superscript"/>
        </w:rPr>
      </w:pPr>
    </w:p>
    <w:p>
      <w:pPr>
        <w:ind w:left="340" w:right="20" w:hanging="332"/>
        <w:spacing w:after="0" w:line="232" w:lineRule="auto"/>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 excludes shares of unregistered common stock issuable in payment of dividends on Series B Preferred upon conversion</w:t>
      </w:r>
    </w:p>
    <w:p>
      <w:pPr>
        <w:spacing w:after="0" w:line="1" w:lineRule="exact"/>
        <w:rPr>
          <w:rFonts w:ascii="Arial" w:cs="Arial" w:eastAsia="Arial" w:hAnsi="Arial"/>
          <w:sz w:val="22"/>
          <w:szCs w:val="22"/>
          <w:color w:val="auto"/>
          <w:vertAlign w:val="superscript"/>
        </w:rPr>
      </w:pPr>
    </w:p>
    <w:p>
      <w:pPr>
        <w:ind w:left="340" w:right="20" w:hanging="332"/>
        <w:spacing w:after="0" w:line="209"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Certificate of Designation of the Relative Rights and Preferences of the Series C Convertible Preferred Stock, effective January 25,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that are measured on a recurring basis at fair value at September 30, 2020 or March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August 2020,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ASU 2020-06, Debt – Debt with Conversion and Other Options (Subtopic 470- 20) and Derivatives and Hedging – Contracts in Entity’s Own Equity (Subtopic 815-40): Accounting for Convertible Instruments and Contracts in an Entity’s Own Equity (</w:t>
      </w:r>
      <w:r>
        <w:rPr>
          <w:rFonts w:ascii="Arial" w:cs="Arial" w:eastAsia="Arial" w:hAnsi="Arial"/>
          <w:sz w:val="16"/>
          <w:szCs w:val="16"/>
          <w:i w:val="1"/>
          <w:iCs w:val="1"/>
          <w:color w:val="auto"/>
        </w:rPr>
        <w:t>ASU 2020-06</w:t>
      </w:r>
      <w:r>
        <w:rPr>
          <w:rFonts w:ascii="Arial" w:cs="Arial" w:eastAsia="Arial" w:hAnsi="Arial"/>
          <w:sz w:val="16"/>
          <w:szCs w:val="16"/>
          <w:color w:val="auto"/>
        </w:rPr>
        <w:t>), to reduce complexity in applying GAAP to certain financial instruments with characteristics of liabilities and equity.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guidance in ASU 2020-06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6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 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amendments in ASU 2020-06 further revise the guidance in ASC 260, Earnings Per Share, to require entities to calculate diluted earnings per share (EPS) for convertible instruments by using the if-converted method. In addition, entities must presume share settlement for purposes of calculating diluted EPS when an instrument may be settled in cash or shares.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amendments in ASU 2020-06 are effective for public companies for fiscal years beginning after December 15, 2021. Early adoption is permitted, but no earlier than fiscal years beginning after December 15, 2020. Entities should adopt the guidance as of the beginning of the fiscal year of adoption and cannot adopt the guidance in an interim reporting period. We are evaluating the impact of this new guidance, but do not believe that our adoption of ASU 2020-06 will have a material impact on our consolidated financial statements.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than ASU 2020-06 and as described in our Form 10-K for our fiscal year ended March 31, 2020, we do not expect that other accounting standards that have been issued or proposed by the FASB or other standards-setting bodies that do not require adoption until a future date will have a material impact on our consolidated financial statements upon adoption.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0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9100" w:type="dxa"/>
            <w:vAlign w:val="bottom"/>
          </w:tcPr>
          <w:p>
            <w:pPr>
              <w:spacing w:after="0"/>
              <w:rPr>
                <w:sz w:val="20"/>
                <w:szCs w:val="20"/>
                <w:color w:val="auto"/>
              </w:rPr>
            </w:pPr>
            <w:r>
              <w:rPr>
                <w:rFonts w:ascii="Arial" w:cs="Arial" w:eastAsia="Arial" w:hAnsi="Arial"/>
                <w:sz w:val="18"/>
                <w:szCs w:val="18"/>
                <w:color w:val="auto"/>
                <w:w w:val="96"/>
              </w:rPr>
              <w:t>Prepaid expenses and other current assets are composed of the following at September 30, 2020 and March 31, 2020:</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9100" w:type="dxa"/>
            <w:vAlign w:val="bottom"/>
          </w:tcPr>
          <w:p>
            <w:pPr>
              <w:spacing w:after="0"/>
              <w:rPr>
                <w:sz w:val="24"/>
                <w:szCs w:val="24"/>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September</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9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March 31,</w:t>
            </w:r>
          </w:p>
        </w:tc>
      </w:tr>
      <w:tr>
        <w:trPr>
          <w:trHeight w:val="252"/>
        </w:trPr>
        <w:tc>
          <w:tcPr>
            <w:tcW w:w="9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9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Clinical and nonclinical materials and contract services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277,800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107,200</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9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455,700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00" w:type="dxa"/>
            <w:vAlign w:val="bottom"/>
          </w:tcPr>
          <w:p>
            <w:pPr>
              <w:spacing w:after="0"/>
              <w:rPr>
                <w:sz w:val="20"/>
                <w:szCs w:val="20"/>
                <w:color w:val="auto"/>
              </w:rPr>
            </w:pPr>
            <w:r>
              <w:rPr>
                <w:rFonts w:ascii="Arial" w:cs="Arial" w:eastAsia="Arial" w:hAnsi="Arial"/>
                <w:sz w:val="18"/>
                <w:szCs w:val="18"/>
                <w:b w:val="1"/>
                <w:bCs w:val="1"/>
                <w:color w:val="auto"/>
              </w:rPr>
              <w:t>Note 5. Property and Equipment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1"/>
        </w:trPr>
        <w:tc>
          <w:tcPr>
            <w:tcW w:w="9100" w:type="dxa"/>
            <w:vAlign w:val="bottom"/>
          </w:tcPr>
          <w:p>
            <w:pPr>
              <w:spacing w:after="0"/>
              <w:rPr>
                <w:sz w:val="20"/>
                <w:szCs w:val="20"/>
                <w:color w:val="auto"/>
              </w:rPr>
            </w:pPr>
            <w:r>
              <w:rPr>
                <w:rFonts w:ascii="Arial" w:cs="Arial" w:eastAsia="Arial" w:hAnsi="Arial"/>
                <w:sz w:val="18"/>
                <w:szCs w:val="18"/>
                <w:color w:val="auto"/>
              </w:rPr>
              <w:t>Property and equipment is composed of the following at September 30, 2020 and March 31,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910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September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9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52"/>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March 31,</w:t>
            </w:r>
          </w:p>
        </w:tc>
      </w:tr>
      <w:tr>
        <w:trPr>
          <w:trHeight w:val="252"/>
        </w:trPr>
        <w:tc>
          <w:tcPr>
            <w:tcW w:w="9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43"/>
        </w:trPr>
        <w:tc>
          <w:tcPr>
            <w:tcW w:w="9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214,400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54,600</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84,600</w:t>
            </w: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9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1,345,000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1,246,100</w:t>
            </w: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910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(1,087,400)</w:t>
            </w: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(1,036,500)</w:t>
            </w:r>
          </w:p>
        </w:tc>
      </w:tr>
      <w:tr>
        <w:trPr>
          <w:trHeight w:val="216"/>
        </w:trPr>
        <w:tc>
          <w:tcPr>
            <w:tcW w:w="9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257,600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209,600</w:t>
            </w:r>
          </w:p>
        </w:tc>
        <w:tc>
          <w:tcPr>
            <w:tcW w:w="100" w:type="dxa"/>
            <w:vAlign w:val="bottom"/>
          </w:tcPr>
          <w:p>
            <w:pPr>
              <w:spacing w:after="0"/>
              <w:rPr>
                <w:sz w:val="18"/>
                <w:szCs w:val="18"/>
                <w:color w:val="auto"/>
              </w:rPr>
            </w:pPr>
          </w:p>
        </w:tc>
      </w:tr>
      <w:tr>
        <w:trPr>
          <w:trHeight w:val="20"/>
        </w:trPr>
        <w:tc>
          <w:tcPr>
            <w:tcW w:w="9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depreciation and amortization expense of $50,900 and $52,100 for the six-month periods ended September 30, 2020 and 2019, respectively. The amount reported above as construction in progress at September 30, 2020 reflects the cost of certain process equipment acquired in connection with the manufacture of PH94B drug product. The equipment has not yet been fully validated or placed in service at September 30, 2020. Included in amounts reported above for office furniture and equipment is the right-of-use asset related to a financing lease of certain office equipment. Amounts associated with assets subject to the financing lease at September 30, 2020 and March 31, 2020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September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9"/>
                <w:szCs w:val="19"/>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subject to financing lease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of office equipment subject to</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120"/>
              <w:spacing w:after="0"/>
              <w:rPr>
                <w:sz w:val="20"/>
                <w:szCs w:val="20"/>
                <w:color w:val="auto"/>
              </w:rPr>
            </w:pPr>
            <w:r>
              <w:rPr>
                <w:rFonts w:ascii="Arial" w:cs="Arial" w:eastAsia="Arial" w:hAnsi="Arial"/>
                <w:sz w:val="18"/>
                <w:szCs w:val="18"/>
                <w:color w:val="auto"/>
              </w:rPr>
              <w:t>financing lease</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Accrued Expenses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91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100" w:type="dxa"/>
            <w:vAlign w:val="bottom"/>
            <w:gridSpan w:val="2"/>
          </w:tcPr>
          <w:p>
            <w:pPr>
              <w:spacing w:after="0"/>
              <w:rPr>
                <w:sz w:val="20"/>
                <w:szCs w:val="20"/>
                <w:color w:val="auto"/>
              </w:rPr>
            </w:pPr>
            <w:r>
              <w:rPr>
                <w:rFonts w:ascii="Arial" w:cs="Arial" w:eastAsia="Arial" w:hAnsi="Arial"/>
                <w:sz w:val="18"/>
                <w:szCs w:val="18"/>
                <w:color w:val="auto"/>
              </w:rPr>
              <w:t>Accrued expenses are composed of the following at September 30, 2020 and March 31, 2020:</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September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ind w:right="92"/>
              <w:spacing w:after="0"/>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9080" w:type="dxa"/>
            <w:vAlign w:val="bottom"/>
          </w:tcPr>
          <w:p>
            <w:pPr>
              <w:ind w:left="20"/>
              <w:spacing w:after="0"/>
              <w:rPr>
                <w:sz w:val="20"/>
                <w:szCs w:val="20"/>
                <w:color w:val="auto"/>
              </w:rPr>
            </w:pPr>
            <w:r>
              <w:rPr>
                <w:rFonts w:ascii="Arial" w:cs="Arial" w:eastAsia="Arial" w:hAnsi="Arial"/>
                <w:sz w:val="18"/>
                <w:szCs w:val="18"/>
                <w:color w:val="auto"/>
              </w:rPr>
              <w:t>Accrued expenses for clinical and nonclinical</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materials, development and contract services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
              <w:spacing w:after="0"/>
              <w:rPr>
                <w:sz w:val="20"/>
                <w:szCs w:val="20"/>
                <w:color w:val="auto"/>
              </w:rPr>
            </w:pPr>
            <w:r>
              <w:rPr>
                <w:rFonts w:ascii="Arial" w:cs="Arial" w:eastAsia="Arial" w:hAnsi="Arial"/>
                <w:sz w:val="18"/>
                <w:szCs w:val="18"/>
                <w:color w:val="auto"/>
              </w:rPr>
              <w:t>Accrued professional services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186,900</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9080" w:type="dxa"/>
            <w:vAlign w:val="bottom"/>
            <w:tcBorders>
              <w:bottom w:val="single" w:sz="8" w:color="auto"/>
            </w:tcBorders>
          </w:tcPr>
          <w:p>
            <w:pPr>
              <w:ind w:left="546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Notes Payable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unsecured promissory notes at September 30, 2020 and March 31, 2020:</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8"/>
          </w:tcPr>
          <w:p>
            <w:pPr>
              <w:jc w:val="center"/>
              <w:ind w:left="492"/>
              <w:spacing w:after="0"/>
              <w:rPr>
                <w:sz w:val="20"/>
                <w:szCs w:val="20"/>
                <w:color w:val="auto"/>
              </w:rPr>
            </w:pPr>
            <w:r>
              <w:rPr>
                <w:rFonts w:ascii="Arial" w:cs="Arial" w:eastAsia="Arial" w:hAnsi="Arial"/>
                <w:sz w:val="18"/>
                <w:szCs w:val="18"/>
                <w:b w:val="1"/>
                <w:bCs w:val="1"/>
                <w:color w:val="auto"/>
                <w:w w:val="86"/>
              </w:rPr>
              <w:t>September 30, 2020</w:t>
            </w: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2"/>
              </w:rPr>
              <w:t>March 31, 2020</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Principal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Accrued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89"/>
              </w:rPr>
              <w:t>Principal</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Accrued</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Balance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Interest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w w:val="89"/>
              </w:rPr>
              <w:t>Balance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Interest</w:t>
            </w:r>
          </w:p>
        </w:tc>
        <w:tc>
          <w:tcPr>
            <w:tcW w:w="160" w:type="dxa"/>
            <w:vAlign w:val="bottom"/>
          </w:tcPr>
          <w:p>
            <w:pPr>
              <w:spacing w:after="0"/>
              <w:rPr>
                <w:sz w:val="21"/>
                <w:szCs w:val="21"/>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7.30% and 6.30% Notes payable to insurance premium financing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company (current)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214,500</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214,500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1% Note payable under Paycheck Protection Program</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225,400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(137,100)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(138,100)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Non-current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87,300</w:t>
            </w:r>
          </w:p>
        </w:tc>
        <w:tc>
          <w:tcPr>
            <w:tcW w:w="1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87,300</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 current notes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351,600</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352,600</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2020, we executed a 6.30% promissory note in the principal amount of $322,200 in connection with certain insurance policy premiums. The note is payable in monthly installments of $33,200, including principal and interest, through March 2021, and had an outstanding principal balance of $195,300 at September 30, 2020. In February 2020, we executed a 7.30% promissory note in the principal amount of $62,600 in connection with other insurance policy premiums. That note is payable in monthly installments of $6,500 including principal and interest, through December 2020 and had an outstanding principal balance of $19,200 at September 30, 2020.</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April 2020, we entered into a note payable agreement (the </w:t>
      </w:r>
      <w:r>
        <w:rPr>
          <w:rFonts w:ascii="Arial" w:cs="Arial" w:eastAsia="Arial" w:hAnsi="Arial"/>
          <w:sz w:val="16"/>
          <w:szCs w:val="16"/>
          <w:i w:val="1"/>
          <w:iCs w:val="1"/>
          <w:color w:val="auto"/>
        </w:rPr>
        <w:t>PPP Loan Agreement</w:t>
      </w:r>
      <w:r>
        <w:rPr>
          <w:rFonts w:ascii="Arial" w:cs="Arial" w:eastAsia="Arial" w:hAnsi="Arial"/>
          <w:sz w:val="16"/>
          <w:szCs w:val="16"/>
          <w:color w:val="auto"/>
        </w:rPr>
        <w:t xml:space="preserve">) with Silicon Valley Bank as lender (the </w:t>
      </w:r>
      <w:r>
        <w:rPr>
          <w:rFonts w:ascii="Arial" w:cs="Arial" w:eastAsia="Arial" w:hAnsi="Arial"/>
          <w:sz w:val="16"/>
          <w:szCs w:val="16"/>
          <w:i w:val="1"/>
          <w:iCs w:val="1"/>
          <w:color w:val="auto"/>
        </w:rPr>
        <w:t>Lender</w:t>
      </w:r>
      <w:r>
        <w:rPr>
          <w:rFonts w:ascii="Arial" w:cs="Arial" w:eastAsia="Arial" w:hAnsi="Arial"/>
          <w:sz w:val="16"/>
          <w:szCs w:val="16"/>
          <w:color w:val="auto"/>
        </w:rPr>
        <w:t>), pursuant to which we received net proceeds of $224,400 from a potentially forgivable loan from the U.S. Small Business Administration (</w:t>
      </w:r>
      <w:r>
        <w:rPr>
          <w:rFonts w:ascii="Arial" w:cs="Arial" w:eastAsia="Arial" w:hAnsi="Arial"/>
          <w:sz w:val="16"/>
          <w:szCs w:val="16"/>
          <w:i w:val="1"/>
          <w:iCs w:val="1"/>
          <w:color w:val="auto"/>
        </w:rPr>
        <w:t>SBA</w:t>
      </w:r>
      <w:r>
        <w:rPr>
          <w:rFonts w:ascii="Arial" w:cs="Arial" w:eastAsia="Arial" w:hAnsi="Arial"/>
          <w:sz w:val="16"/>
          <w:szCs w:val="16"/>
          <w:color w:val="auto"/>
        </w:rPr>
        <w:t>) pursuant to the Paycheck Protection Program (</w:t>
      </w:r>
      <w:r>
        <w:rPr>
          <w:rFonts w:ascii="Arial" w:cs="Arial" w:eastAsia="Arial" w:hAnsi="Arial"/>
          <w:sz w:val="16"/>
          <w:szCs w:val="16"/>
          <w:i w:val="1"/>
          <w:iCs w:val="1"/>
          <w:color w:val="auto"/>
        </w:rPr>
        <w:t>PPP</w:t>
      </w:r>
      <w:r>
        <w:rPr>
          <w:rFonts w:ascii="Arial" w:cs="Arial" w:eastAsia="Arial" w:hAnsi="Arial"/>
          <w:sz w:val="16"/>
          <w:szCs w:val="16"/>
          <w:color w:val="auto"/>
        </w:rPr>
        <w:t xml:space="preserve">) enacted by Congress under the Coronavirus Aid, Relief, and Economic Security Act (the </w:t>
      </w:r>
      <w:r>
        <w:rPr>
          <w:rFonts w:ascii="Arial" w:cs="Arial" w:eastAsia="Arial" w:hAnsi="Arial"/>
          <w:sz w:val="16"/>
          <w:szCs w:val="16"/>
          <w:i w:val="1"/>
          <w:iCs w:val="1"/>
          <w:color w:val="auto"/>
        </w:rPr>
        <w:t>CARES Act</w:t>
      </w:r>
      <w:r>
        <w:rPr>
          <w:rFonts w:ascii="Arial" w:cs="Arial" w:eastAsia="Arial" w:hAnsi="Arial"/>
          <w:sz w:val="16"/>
          <w:szCs w:val="16"/>
          <w:color w:val="auto"/>
        </w:rPr>
        <w:t xml:space="preserve">) administered by the SBA (the </w:t>
      </w:r>
      <w:r>
        <w:rPr>
          <w:rFonts w:ascii="Arial" w:cs="Arial" w:eastAsia="Arial" w:hAnsi="Arial"/>
          <w:sz w:val="16"/>
          <w:szCs w:val="16"/>
          <w:i w:val="1"/>
          <w:iCs w:val="1"/>
          <w:color w:val="auto"/>
        </w:rPr>
        <w:t>PPP</w:t>
      </w:r>
      <w:r>
        <w:rPr>
          <w:rFonts w:ascii="Arial" w:cs="Arial" w:eastAsia="Arial" w:hAnsi="Arial"/>
          <w:sz w:val="16"/>
          <w:szCs w:val="16"/>
          <w:color w:val="auto"/>
        </w:rPr>
        <w:t xml:space="preserve"> </w:t>
      </w:r>
      <w:r>
        <w:rPr>
          <w:rFonts w:ascii="Arial" w:cs="Arial" w:eastAsia="Arial" w:hAnsi="Arial"/>
          <w:sz w:val="16"/>
          <w:szCs w:val="16"/>
          <w:i w:val="1"/>
          <w:iCs w:val="1"/>
          <w:color w:val="auto"/>
        </w:rPr>
        <w:t>Loan</w:t>
      </w:r>
      <w:r>
        <w:rPr>
          <w:rFonts w:ascii="Arial" w:cs="Arial" w:eastAsia="Arial" w:hAnsi="Arial"/>
          <w:sz w:val="16"/>
          <w:szCs w:val="16"/>
          <w:color w:val="auto"/>
        </w:rPr>
        <w:t>). The PPP Loan matures on April 22, 2022. The PPP Loan accrues interest at a rate of 1.00% per annum, and interest will continue to accrue throughout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the PPP Loan is outstanding, or until it is forgiven. Under the CARES Act (including subsequent guidance issued by SBA and U.S. Department of the Treasury related thereto) and the PPP Loan Agreement, payments of both principal and interest are deferred until such time as the SBA remits our loan forgiveness amount to Lender. The CARES Act provides that all or a portion of the PPP Loan may be forgiven upon our request to the Lender, subject to requirements in the PPP Loan Agreement and the CARES Act. We submitted our request for forgiveness of the PPP Loan on September 23, 2020. While we currently believe that the use of the PPP Loan proceeds will meet the conditions for forgiveness under the PPP, there can be no assurance that we will obtain full or partial forgiveness of the loan.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 with Lincoln Park Capital Fund</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March 24, 2020, we entered into a purchase agreement and a registration rights agreement with Lincoln Park Capital Fund (</w:t>
      </w:r>
      <w:r>
        <w:rPr>
          <w:rFonts w:ascii="Arial" w:cs="Arial" w:eastAsia="Arial" w:hAnsi="Arial"/>
          <w:sz w:val="16"/>
          <w:szCs w:val="16"/>
          <w:i w:val="1"/>
          <w:iCs w:val="1"/>
          <w:color w:val="auto"/>
        </w:rPr>
        <w:t>LPC</w:t>
      </w:r>
      <w:r>
        <w:rPr>
          <w:rFonts w:ascii="Arial" w:cs="Arial" w:eastAsia="Arial" w:hAnsi="Arial"/>
          <w:sz w:val="16"/>
          <w:szCs w:val="16"/>
          <w:color w:val="auto"/>
        </w:rPr>
        <w:t xml:space="preserve">) pursuant to which LPC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On March 24, 2020, we sold 500,000 unregistered shares of our common stock (the </w:t>
      </w:r>
      <w:r>
        <w:rPr>
          <w:rFonts w:ascii="Arial" w:cs="Arial" w:eastAsia="Arial" w:hAnsi="Arial"/>
          <w:sz w:val="16"/>
          <w:szCs w:val="16"/>
          <w:i w:val="1"/>
          <w:iCs w:val="1"/>
          <w:color w:val="auto"/>
        </w:rPr>
        <w:t>Initial Purchase Shares</w:t>
      </w:r>
      <w:r>
        <w:rPr>
          <w:rFonts w:ascii="Arial" w:cs="Arial" w:eastAsia="Arial" w:hAnsi="Arial"/>
          <w:sz w:val="16"/>
          <w:szCs w:val="16"/>
          <w:color w:val="auto"/>
        </w:rPr>
        <w:t xml:space="preserve">) to LPC under the purchase agreement at a price of $0.50 per share for gross cash proceeds of $250,000 (the </w:t>
      </w:r>
      <w:r>
        <w:rPr>
          <w:rFonts w:ascii="Arial" w:cs="Arial" w:eastAsia="Arial" w:hAnsi="Arial"/>
          <w:sz w:val="16"/>
          <w:szCs w:val="16"/>
          <w:i w:val="1"/>
          <w:iCs w:val="1"/>
          <w:color w:val="auto"/>
        </w:rPr>
        <w:t>Initial Purchase</w:t>
      </w:r>
      <w:r>
        <w:rPr>
          <w:rFonts w:ascii="Arial" w:cs="Arial" w:eastAsia="Arial" w:hAnsi="Arial"/>
          <w:sz w:val="16"/>
          <w:szCs w:val="16"/>
          <w:color w:val="auto"/>
        </w:rPr>
        <w:t xml:space="preserve">) and we also issued 750,000 unregistered shares of our common stock to LPC under the terms of the LPC Agreement for its purchase commitments under the LPC Agreement (the </w:t>
      </w:r>
      <w:r>
        <w:rPr>
          <w:rFonts w:ascii="Arial" w:cs="Arial" w:eastAsia="Arial" w:hAnsi="Arial"/>
          <w:sz w:val="16"/>
          <w:szCs w:val="16"/>
          <w:i w:val="1"/>
          <w:iCs w:val="1"/>
          <w:color w:val="auto"/>
        </w:rPr>
        <w:t>Commitment Shares</w:t>
      </w:r>
      <w:r>
        <w:rPr>
          <w:rFonts w:ascii="Arial" w:cs="Arial" w:eastAsia="Arial" w:hAnsi="Arial"/>
          <w:sz w:val="16"/>
          <w:szCs w:val="16"/>
          <w:color w:val="auto"/>
        </w:rPr>
        <w:t xml:space="preserve">). To satisfy our obligations under the registration rights agreement associated with the LPC Agreement,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 on March 31, 2020 (Registration No. 333-237514), which the SEC declared effective on April 14, 2020 (the </w:t>
      </w:r>
      <w:r>
        <w:rPr>
          <w:rFonts w:ascii="Arial" w:cs="Arial" w:eastAsia="Arial" w:hAnsi="Arial"/>
          <w:sz w:val="16"/>
          <w:szCs w:val="16"/>
          <w:i w:val="1"/>
          <w:iCs w:val="1"/>
          <w:color w:val="auto"/>
        </w:rPr>
        <w:t>Commencement Date</w:t>
      </w:r>
      <w:r>
        <w:rPr>
          <w:rFonts w:ascii="Arial" w:cs="Arial" w:eastAsia="Arial" w:hAnsi="Arial"/>
          <w:sz w:val="16"/>
          <w:szCs w:val="16"/>
          <w:color w:val="auto"/>
        </w:rPr>
        <w:t>). The LPC Registration Statement included registration of the Initial Purchase Shares and the Commitment Shares. The fair value of the Commitment Shares, $284,400, determined based on the quoted closing market price of our common stock on March 24, 2020, is a component of deferred offering costs attributable to this offering, which costs are amortized ratably to additional paid-in capital as we sell shares of our common stock to LPC under the LPC Agreement. Subsequent to the Commencement Date and through September 30, 2020, we have sold an additional 6,301,995 registered shares of our common stock to LPC and received aggregate gross cash proceeds of $2,891,200. At September 30, 2020, there were approximately 2.04 million registered shares of our common stock remaining available for sale under the LPC Agreement; however, we have no obligation to sell any additional shares under the agreement.</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any business day during the term of the LPC Agreement, we have the right, in our sole discretion, to direct LPC to purchase up to 100,000 shares on such business day (the </w:t>
      </w:r>
      <w:r>
        <w:rPr>
          <w:rFonts w:ascii="Arial" w:cs="Arial" w:eastAsia="Arial" w:hAnsi="Arial"/>
          <w:sz w:val="16"/>
          <w:szCs w:val="16"/>
          <w:i w:val="1"/>
          <w:iCs w:val="1"/>
          <w:color w:val="auto"/>
        </w:rPr>
        <w:t>Regular Purchase</w:t>
      </w:r>
      <w:r>
        <w:rPr>
          <w:rFonts w:ascii="Arial" w:cs="Arial" w:eastAsia="Arial" w:hAnsi="Arial"/>
          <w:sz w:val="16"/>
          <w:szCs w:val="16"/>
          <w:color w:val="auto"/>
        </w:rPr>
        <w:t xml:space="preserve">) (subject to adjustment under certain circumstances as provided in the LPC Agreement). The purchase price per share for each such Regular Purchase will be based on prevailing market prices of our common stock immediately preceding the time of sale as computed under the LPC Agreement. In each case, LPC’s maximum commitment in any single Regular Purchase may not exceed $1,000,000. In addition to Regular Purchases, provided that we present LPC with a purchase notice for the full amount allowed for a Regular Purchase, we may also direct LPC to make </w:t>
      </w:r>
      <w:r>
        <w:rPr>
          <w:rFonts w:ascii="Arial" w:cs="Arial" w:eastAsia="Arial" w:hAnsi="Arial"/>
          <w:sz w:val="16"/>
          <w:szCs w:val="16"/>
          <w:color w:val="212529"/>
        </w:rPr>
        <w:t>accelerated purchases and</w:t>
      </w:r>
      <w:r>
        <w:rPr>
          <w:rFonts w:ascii="Arial" w:cs="Arial" w:eastAsia="Arial" w:hAnsi="Arial"/>
          <w:sz w:val="16"/>
          <w:szCs w:val="16"/>
          <w:color w:val="auto"/>
        </w:rPr>
        <w:t xml:space="preserve"> </w:t>
      </w:r>
      <w:r>
        <w:rPr>
          <w:rFonts w:ascii="Arial" w:cs="Arial" w:eastAsia="Arial" w:hAnsi="Arial"/>
          <w:sz w:val="16"/>
          <w:szCs w:val="16"/>
          <w:color w:val="212529"/>
        </w:rPr>
        <w:t>additional accelerated purchases as described in the LPC Agreement</w:t>
      </w:r>
      <w:r>
        <w:rPr>
          <w:rFonts w:ascii="Arial" w:cs="Arial" w:eastAsia="Arial" w:hAnsi="Arial"/>
          <w:sz w:val="16"/>
          <w:szCs w:val="16"/>
          <w:color w:val="000000"/>
        </w:rPr>
        <w:t>. Although LPC has no right to require us to sell any shares of our common stock to LPC,</w:t>
      </w:r>
      <w:r>
        <w:rPr>
          <w:rFonts w:ascii="Arial" w:cs="Arial" w:eastAsia="Arial" w:hAnsi="Arial"/>
          <w:sz w:val="16"/>
          <w:szCs w:val="16"/>
          <w:color w:val="212529"/>
        </w:rPr>
        <w:t xml:space="preserve"> </w:t>
      </w:r>
      <w:r>
        <w:rPr>
          <w:rFonts w:ascii="Arial" w:cs="Arial" w:eastAsia="Arial" w:hAnsi="Arial"/>
          <w:sz w:val="16"/>
          <w:szCs w:val="16"/>
          <w:color w:val="000000"/>
        </w:rPr>
        <w:t>LPC is obligated to make purchases as we direct, subject to certain conditions. In all instances, we may not sell shares of our common stock to LPC under the LPC Agreement if such sales would result in LPC beneficially owning more than 9.99% of our common stock. There are no upper limits on the price per share that LPC must pay for shares of our common stock.</w:t>
      </w:r>
    </w:p>
    <w:p>
      <w:pPr>
        <w:sectPr>
          <w:pgSz w:w="11900" w:h="16838" w:orient="portrait"/>
          <w:cols w:equalWidth="0" w:num="1">
            <w:col w:w="11240"/>
          </w:cols>
          <w:pgMar w:left="320" w:top="130" w:right="339" w:bottom="8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856" w:gutter="0" w:footer="0" w:header="0"/>
          <w:type w:val="continuous"/>
        </w:sectPr>
      </w:pPr>
    </w:p>
    <w:bookmarkStart w:id="19" w:name="page20"/>
    <w:bookmarkEnd w:id="1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Common Stock and Warrants in the Spring 2020 Private Placement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April 2020, in a self-directed private placement, we sold to an accredited investor units to purchase an aggregate of 125,000 unregistered shares of our common stock and four-year warrants to purchase 125,000 shares of our common stock at an exercise price of $0.50 per share and we received cash proceeds of $50,000 (the </w:t>
      </w:r>
      <w:r>
        <w:rPr>
          <w:rFonts w:ascii="Arial" w:cs="Arial" w:eastAsia="Arial" w:hAnsi="Arial"/>
          <w:sz w:val="18"/>
          <w:szCs w:val="18"/>
          <w:i w:val="1"/>
          <w:iCs w:val="1"/>
          <w:color w:val="auto"/>
        </w:rPr>
        <w:t>Spring 2020 Private Placement</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for shares underlying warrants issued in Private Placements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On May 1, 2020, we filed a registration statement on Form S-3 (Registration No. 333-237968) to register approximately 12.1 million shares of common stock underlying outstanding warrants that we had issued in earlier private placement offerings, including the Spring 2020 Private Placement, as well as common stock underlying warrants that had been previously issued to various consultants as full or partial compensation for their services. Included in the registration statement were shares of our common stock underlying approximately 5.8 million outstanding warrants to purchase shares of our common stock that had been modified in December 2019 to temporarily reduce, for a period of two years or, if sooner, until the expiration of the warrant, the exercise price of such warrants to $0.50 per share, in order to more closely align the exercise price of the warrants with the trading price of our common stock at that time (the </w:t>
      </w:r>
      <w:r>
        <w:rPr>
          <w:rFonts w:ascii="Arial" w:cs="Arial" w:eastAsia="Arial" w:hAnsi="Arial"/>
          <w:sz w:val="16"/>
          <w:szCs w:val="16"/>
          <w:i w:val="1"/>
          <w:iCs w:val="1"/>
          <w:color w:val="auto"/>
        </w:rPr>
        <w:t>Winter 2019</w:t>
      </w:r>
      <w:r>
        <w:rPr>
          <w:rFonts w:ascii="Arial" w:cs="Arial" w:eastAsia="Arial" w:hAnsi="Arial"/>
          <w:sz w:val="16"/>
          <w:szCs w:val="16"/>
          <w:color w:val="auto"/>
        </w:rPr>
        <w:t xml:space="preserve"> </w:t>
      </w:r>
      <w:r>
        <w:rPr>
          <w:rFonts w:ascii="Arial" w:cs="Arial" w:eastAsia="Arial" w:hAnsi="Arial"/>
          <w:sz w:val="16"/>
          <w:szCs w:val="16"/>
          <w:i w:val="1"/>
          <w:iCs w:val="1"/>
          <w:color w:val="auto"/>
        </w:rPr>
        <w:t>Warrant Modification</w:t>
      </w:r>
      <w:r>
        <w:rPr>
          <w:rFonts w:ascii="Arial" w:cs="Arial" w:eastAsia="Arial" w:hAnsi="Arial"/>
          <w:sz w:val="16"/>
          <w:szCs w:val="16"/>
          <w:color w:val="auto"/>
        </w:rPr>
        <w:t>). We also registered approximately 0.8 million shares of unregistered outstanding common stock held by former holders of warrants who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had exercised such warrants subsequent to the Winter 2019 Warrant Modification. Further, we registered the 125,000 shares of common stock issued in the Spring 2020 Private Placement. The SEC declared the registration statement effective on May 13, 2020 (the </w:t>
      </w:r>
      <w:r>
        <w:rPr>
          <w:rFonts w:ascii="Arial" w:cs="Arial" w:eastAsia="Arial" w:hAnsi="Arial"/>
          <w:sz w:val="16"/>
          <w:szCs w:val="16"/>
          <w:i w:val="1"/>
          <w:iCs w:val="1"/>
          <w:color w:val="auto"/>
        </w:rPr>
        <w:t>Warrant Registration Statement</w:t>
      </w:r>
      <w:r>
        <w:rPr>
          <w:rFonts w:ascii="Arial" w:cs="Arial" w:eastAsia="Arial" w:hAnsi="Arial"/>
          <w:sz w:val="16"/>
          <w:szCs w:val="16"/>
          <w:color w:val="auto"/>
        </w:rPr>
        <w:t>). As a result of the effectiveness of this registration statement, the shares of common stock underlying essentially all of our outstanding warrants have been registered. During July 2020, holders of warrants to purchase an aggregate of 228,000 shares of our common stock exercised such warrants, and we received aggregate cash proceeds of $114,000. We issued 228,000 registered shares of our common stock upon these exercises pursuant to the effectiveness of the Warrant Registration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Public Offering of Common Stock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August 2, 2020, we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xml:space="preserve">) with Maxim Group, LLC as representative of the underwriters named therein (the </w:t>
      </w:r>
      <w:r>
        <w:rPr>
          <w:rFonts w:ascii="Arial" w:cs="Arial" w:eastAsia="Arial" w:hAnsi="Arial"/>
          <w:sz w:val="16"/>
          <w:szCs w:val="16"/>
          <w:i w:val="1"/>
          <w:iCs w:val="1"/>
          <w:color w:val="auto"/>
        </w:rPr>
        <w:t>Underwriter</w:t>
      </w:r>
      <w:r>
        <w:rPr>
          <w:rFonts w:ascii="Arial" w:cs="Arial" w:eastAsia="Arial" w:hAnsi="Arial"/>
          <w:sz w:val="16"/>
          <w:szCs w:val="16"/>
          <w:color w:val="auto"/>
        </w:rPr>
        <w:t xml:space="preserve">), pursuant to which we sold to the Underwriter, in an underwritten public offering (the </w:t>
      </w:r>
      <w:r>
        <w:rPr>
          <w:rFonts w:ascii="Arial" w:cs="Arial" w:eastAsia="Arial" w:hAnsi="Arial"/>
          <w:sz w:val="16"/>
          <w:szCs w:val="16"/>
          <w:i w:val="1"/>
          <w:iCs w:val="1"/>
          <w:color w:val="auto"/>
        </w:rPr>
        <w:t>August 2020 Public Offering</w:t>
      </w:r>
      <w:r>
        <w:rPr>
          <w:rFonts w:ascii="Arial" w:cs="Arial" w:eastAsia="Arial" w:hAnsi="Arial"/>
          <w:sz w:val="16"/>
          <w:szCs w:val="16"/>
          <w:color w:val="auto"/>
        </w:rPr>
        <w:t xml:space="preserve">), an aggregate of 15,625,000 shares (the </w:t>
      </w:r>
      <w:r>
        <w:rPr>
          <w:rFonts w:ascii="Arial" w:cs="Arial" w:eastAsia="Arial" w:hAnsi="Arial"/>
          <w:sz w:val="16"/>
          <w:szCs w:val="16"/>
          <w:i w:val="1"/>
          <w:iCs w:val="1"/>
          <w:color w:val="auto"/>
        </w:rPr>
        <w:t>Shares</w:t>
      </w:r>
      <w:r>
        <w:rPr>
          <w:rFonts w:ascii="Arial" w:cs="Arial" w:eastAsia="Arial" w:hAnsi="Arial"/>
          <w:sz w:val="16"/>
          <w:szCs w:val="16"/>
          <w:color w:val="auto"/>
        </w:rPr>
        <w:t xml:space="preserve">) of our common stock for a public offering price of $0.80 per Share, resulting in gross proceeds to us of $12,500,000. The August 2020 Public Offering closed on August 5, 2020 at which time we sold the Shares to the Underwriter. Under the terms of the Underwriting Agreement, we granted to the Underwriter a 45-day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(the </w:t>
      </w:r>
      <w:r>
        <w:rPr>
          <w:rFonts w:ascii="Arial" w:cs="Arial" w:eastAsia="Arial" w:hAnsi="Arial"/>
          <w:sz w:val="16"/>
          <w:szCs w:val="16"/>
          <w:i w:val="1"/>
          <w:iCs w:val="1"/>
          <w:color w:val="auto"/>
        </w:rPr>
        <w:t>Option Shares</w:t>
      </w:r>
      <w:r>
        <w:rPr>
          <w:rFonts w:ascii="Arial" w:cs="Arial" w:eastAsia="Arial" w:hAnsi="Arial"/>
          <w:sz w:val="16"/>
          <w:szCs w:val="16"/>
          <w:color w:val="auto"/>
        </w:rPr>
        <w:t xml:space="preserve">) at a public offering price of $0.80 per share. On August 5, 2020, the Underwriter elected to exercise the Over-Allotment Option with respect to an aggregate of 2,243,250 Option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We completed the sale of the Exercised Option Shares on August 7, 2020 and received additional gross proceeds of $1,794,600. After deducting underwriting discounts and commissions and offering expenses payable by us, we received net proceeds of approximately $12.9 million from the sale of the Shares and the Exercised Option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summarizes warrants outstanding and exercisable as of September 30, 2020 including the warrants issued in the Spring 2020 Private Placement described above and excluding certain warrants that expired during the quarter ended September 30, 2020. The weighted average exercise price of both outstanding and exercisable warrants at September 30, 2020 is $1.53 per share.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2"/>
              </w:rPr>
              <w:t>Warrants</w:t>
            </w:r>
          </w:p>
        </w:tc>
        <w:tc>
          <w:tcPr>
            <w:tcW w:w="2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Warrants</w:t>
            </w:r>
          </w:p>
        </w:tc>
      </w:tr>
      <w:tr>
        <w:trPr>
          <w:trHeight w:val="243"/>
        </w:trPr>
        <w:tc>
          <w:tcPr>
            <w:tcW w:w="300" w:type="dxa"/>
            <w:vAlign w:val="bottom"/>
          </w:tcPr>
          <w:p>
            <w:pPr>
              <w:spacing w:after="0"/>
              <w:rPr>
                <w:sz w:val="21"/>
                <w:szCs w:val="21"/>
                <w:color w:val="auto"/>
              </w:rPr>
            </w:pPr>
          </w:p>
        </w:tc>
        <w:tc>
          <w:tcPr>
            <w:tcW w:w="1660" w:type="dxa"/>
            <w:vAlign w:val="bottom"/>
          </w:tcPr>
          <w:p>
            <w:pPr>
              <w:jc w:val="center"/>
              <w:ind w:left="472"/>
              <w:spacing w:after="0"/>
              <w:rPr>
                <w:sz w:val="20"/>
                <w:szCs w:val="20"/>
                <w:color w:val="auto"/>
              </w:rPr>
            </w:pPr>
            <w:r>
              <w:rPr>
                <w:rFonts w:ascii="Arial" w:cs="Arial" w:eastAsia="Arial" w:hAnsi="Arial"/>
                <w:sz w:val="18"/>
                <w:szCs w:val="18"/>
                <w:b w:val="1"/>
                <w:bCs w:val="1"/>
                <w:color w:val="auto"/>
                <w:w w:val="83"/>
              </w:rPr>
              <w:t>Exercise</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Outstanding at</w:t>
            </w: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Exercisable at</w:t>
            </w:r>
          </w:p>
        </w:tc>
      </w:tr>
      <w:tr>
        <w:trPr>
          <w:trHeight w:val="243"/>
        </w:trPr>
        <w:tc>
          <w:tcPr>
            <w:tcW w:w="300" w:type="dxa"/>
            <w:vAlign w:val="bottom"/>
          </w:tcPr>
          <w:p>
            <w:pPr>
              <w:spacing w:after="0"/>
              <w:rPr>
                <w:sz w:val="21"/>
                <w:szCs w:val="21"/>
                <w:color w:val="auto"/>
              </w:rPr>
            </w:pPr>
          </w:p>
        </w:tc>
        <w:tc>
          <w:tcPr>
            <w:tcW w:w="1660" w:type="dxa"/>
            <w:vAlign w:val="bottom"/>
          </w:tcPr>
          <w:p>
            <w:pPr>
              <w:jc w:val="center"/>
              <w:ind w:left="472"/>
              <w:spacing w:after="0"/>
              <w:rPr>
                <w:sz w:val="20"/>
                <w:szCs w:val="20"/>
                <w:color w:val="auto"/>
              </w:rPr>
            </w:pPr>
            <w:r>
              <w:rPr>
                <w:rFonts w:ascii="Arial" w:cs="Arial" w:eastAsia="Arial" w:hAnsi="Arial"/>
                <w:sz w:val="18"/>
                <w:szCs w:val="18"/>
                <w:b w:val="1"/>
                <w:bCs w:val="1"/>
                <w:color w:val="auto"/>
                <w:w w:val="86"/>
              </w:rPr>
              <w:t>Price</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280" w:type="dxa"/>
            <w:vAlign w:val="bottom"/>
          </w:tcPr>
          <w:p>
            <w:pPr>
              <w:spacing w:after="0"/>
              <w:rPr>
                <w:sz w:val="21"/>
                <w:szCs w:val="21"/>
                <w:color w:val="auto"/>
              </w:rPr>
            </w:pPr>
          </w:p>
        </w:tc>
        <w:tc>
          <w:tcPr>
            <w:tcW w:w="28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September 30,</w:t>
            </w:r>
          </w:p>
        </w:tc>
        <w:tc>
          <w:tcPr>
            <w:tcW w:w="2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September 30,</w:t>
            </w:r>
          </w:p>
        </w:tc>
      </w:tr>
      <w:tr>
        <w:trPr>
          <w:trHeight w:val="252"/>
        </w:trPr>
        <w:tc>
          <w:tcPr>
            <w:tcW w:w="300" w:type="dxa"/>
            <w:vAlign w:val="bottom"/>
          </w:tcPr>
          <w:p>
            <w:pPr>
              <w:spacing w:after="0"/>
              <w:rPr>
                <w:sz w:val="21"/>
                <w:szCs w:val="21"/>
                <w:color w:val="auto"/>
              </w:rPr>
            </w:pPr>
          </w:p>
        </w:tc>
        <w:tc>
          <w:tcPr>
            <w:tcW w:w="1660" w:type="dxa"/>
            <w:vAlign w:val="bottom"/>
          </w:tcPr>
          <w:p>
            <w:pPr>
              <w:jc w:val="center"/>
              <w:ind w:left="472"/>
              <w:spacing w:after="0"/>
              <w:rPr>
                <w:sz w:val="20"/>
                <w:szCs w:val="20"/>
                <w:color w:val="auto"/>
              </w:rPr>
            </w:pPr>
            <w:r>
              <w:rPr>
                <w:rFonts w:ascii="Arial" w:cs="Arial" w:eastAsia="Arial" w:hAnsi="Arial"/>
                <w:sz w:val="18"/>
                <w:szCs w:val="18"/>
                <w:b w:val="1"/>
                <w:bCs w:val="1"/>
                <w:color w:val="auto"/>
                <w:w w:val="89"/>
              </w:rPr>
              <w:t>per Share</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520" w:type="dxa"/>
            <w:vAlign w:val="bottom"/>
            <w:gridSpan w:val="2"/>
          </w:tcPr>
          <w:p>
            <w:pPr>
              <w:jc w:val="center"/>
              <w:ind w:left="192"/>
              <w:spacing w:after="0"/>
              <w:rPr>
                <w:sz w:val="20"/>
                <w:szCs w:val="20"/>
                <w:color w:val="auto"/>
              </w:rPr>
            </w:pPr>
            <w:r>
              <w:rPr>
                <w:rFonts w:ascii="Arial" w:cs="Arial" w:eastAsia="Arial" w:hAnsi="Arial"/>
                <w:sz w:val="18"/>
                <w:szCs w:val="18"/>
                <w:b w:val="1"/>
                <w:bCs w:val="1"/>
                <w:color w:val="auto"/>
                <w:w w:val="89"/>
              </w:rPr>
              <w:t>2020</w:t>
            </w:r>
          </w:p>
        </w:tc>
        <w:tc>
          <w:tcPr>
            <w:tcW w:w="56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4"/>
              </w:rPr>
              <w:t>2020</w:t>
            </w:r>
          </w:p>
        </w:tc>
        <w:tc>
          <w:tcPr>
            <w:tcW w:w="280" w:type="dxa"/>
            <w:vAlign w:val="bottom"/>
          </w:tcPr>
          <w:p>
            <w:pPr>
              <w:spacing w:after="0"/>
              <w:rPr>
                <w:sz w:val="21"/>
                <w:szCs w:val="21"/>
                <w:color w:val="auto"/>
              </w:rPr>
            </w:pPr>
          </w:p>
        </w:tc>
      </w:tr>
      <w:tr>
        <w:trPr>
          <w:trHeight w:val="243"/>
        </w:trPr>
        <w:tc>
          <w:tcPr>
            <w:tcW w:w="300" w:type="dxa"/>
            <w:vAlign w:val="bottom"/>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2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216"/>
        </w:trPr>
        <w:tc>
          <w:tcPr>
            <w:tcW w:w="1960" w:type="dxa"/>
            <w:vAlign w:val="bottom"/>
            <w:gridSpan w:val="2"/>
            <w:shd w:val="clear" w:color="auto" w:fill="CCEEFF"/>
          </w:tcPr>
          <w:p>
            <w:pPr>
              <w:jc w:val="right"/>
              <w:ind w:right="149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3/25/2021 to 4/30/2024</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7,923,312</w:t>
            </w:r>
          </w:p>
        </w:tc>
        <w:tc>
          <w:tcPr>
            <w:tcW w:w="5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7,798,312</w:t>
            </w:r>
          </w:p>
        </w:tc>
      </w:tr>
      <w:tr>
        <w:trPr>
          <w:trHeight w:val="216"/>
        </w:trPr>
        <w:tc>
          <w:tcPr>
            <w:tcW w:w="1960" w:type="dxa"/>
            <w:vAlign w:val="bottom"/>
            <w:gridSpan w:val="2"/>
          </w:tcPr>
          <w:p>
            <w:pPr>
              <w:jc w:val="right"/>
              <w:ind w:right="149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0.73</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7/25/2025</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3,870,077</w:t>
            </w:r>
          </w:p>
        </w:tc>
        <w:tc>
          <w:tcPr>
            <w:tcW w:w="56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3,870,077</w:t>
            </w:r>
          </w:p>
        </w:tc>
      </w:tr>
      <w:tr>
        <w:trPr>
          <w:trHeight w:val="216"/>
        </w:trPr>
        <w:tc>
          <w:tcPr>
            <w:tcW w:w="1960" w:type="dxa"/>
            <w:vAlign w:val="bottom"/>
            <w:gridSpan w:val="2"/>
            <w:shd w:val="clear" w:color="auto" w:fill="CCEEFF"/>
          </w:tcPr>
          <w:p>
            <w:pPr>
              <w:jc w:val="right"/>
              <w:ind w:right="149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0.805</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12/31/2022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80,431</w:t>
            </w:r>
          </w:p>
        </w:tc>
        <w:tc>
          <w:tcPr>
            <w:tcW w:w="5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80,431</w:t>
            </w:r>
          </w:p>
        </w:tc>
      </w:tr>
      <w:tr>
        <w:trPr>
          <w:trHeight w:val="216"/>
        </w:trPr>
        <w:tc>
          <w:tcPr>
            <w:tcW w:w="1960" w:type="dxa"/>
            <w:vAlign w:val="bottom"/>
            <w:gridSpan w:val="2"/>
          </w:tcPr>
          <w:p>
            <w:pPr>
              <w:jc w:val="right"/>
              <w:ind w:right="149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12/13/2022</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9,596,200</w:t>
            </w:r>
          </w:p>
        </w:tc>
        <w:tc>
          <w:tcPr>
            <w:tcW w:w="56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9,596,200</w:t>
            </w:r>
          </w:p>
        </w:tc>
      </w:tr>
      <w:tr>
        <w:trPr>
          <w:trHeight w:val="216"/>
        </w:trPr>
        <w:tc>
          <w:tcPr>
            <w:tcW w:w="1960" w:type="dxa"/>
            <w:vAlign w:val="bottom"/>
            <w:gridSpan w:val="2"/>
            <w:shd w:val="clear" w:color="auto" w:fill="CCEEFF"/>
          </w:tcPr>
          <w:p>
            <w:pPr>
              <w:jc w:val="right"/>
              <w:ind w:right="149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3/7/2023</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5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1,388,931</w:t>
            </w:r>
          </w:p>
        </w:tc>
      </w:tr>
      <w:tr>
        <w:trPr>
          <w:trHeight w:val="216"/>
        </w:trPr>
        <w:tc>
          <w:tcPr>
            <w:tcW w:w="1960" w:type="dxa"/>
            <w:vAlign w:val="bottom"/>
            <w:gridSpan w:val="2"/>
          </w:tcPr>
          <w:p>
            <w:pPr>
              <w:jc w:val="right"/>
              <w:ind w:right="149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12/31/2021</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56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r>
      <w:tr>
        <w:trPr>
          <w:trHeight w:val="216"/>
        </w:trPr>
        <w:tc>
          <w:tcPr>
            <w:tcW w:w="1960" w:type="dxa"/>
            <w:vAlign w:val="bottom"/>
            <w:gridSpan w:val="2"/>
            <w:shd w:val="clear" w:color="auto" w:fill="CCEEFF"/>
          </w:tcPr>
          <w:p>
            <w:pPr>
              <w:jc w:val="right"/>
              <w:ind w:right="149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5/16/2021</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2,705,883</w:t>
            </w:r>
          </w:p>
        </w:tc>
        <w:tc>
          <w:tcPr>
            <w:tcW w:w="5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2,705,883</w:t>
            </w:r>
          </w:p>
        </w:tc>
      </w:tr>
      <w:tr>
        <w:trPr>
          <w:trHeight w:val="216"/>
        </w:trPr>
        <w:tc>
          <w:tcPr>
            <w:tcW w:w="1960" w:type="dxa"/>
            <w:vAlign w:val="bottom"/>
            <w:gridSpan w:val="2"/>
          </w:tcPr>
          <w:p>
            <w:pPr>
              <w:jc w:val="right"/>
              <w:ind w:right="149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147,000</w:t>
            </w:r>
          </w:p>
        </w:tc>
        <w:tc>
          <w:tcPr>
            <w:tcW w:w="56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147,000</w:t>
            </w:r>
          </w:p>
        </w:tc>
      </w:tr>
      <w:tr>
        <w:trPr>
          <w:trHeight w:val="223"/>
        </w:trPr>
        <w:tc>
          <w:tcPr>
            <w:tcW w:w="3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25,761,834</w:t>
            </w:r>
          </w:p>
        </w:tc>
        <w:tc>
          <w:tcPr>
            <w:tcW w:w="560" w:type="dxa"/>
            <w:vAlign w:val="bottom"/>
          </w:tcPr>
          <w:p>
            <w:pPr>
              <w:spacing w:after="0"/>
              <w:rPr>
                <w:sz w:val="18"/>
                <w:szCs w:val="18"/>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25,636,834</w:t>
            </w:r>
          </w:p>
        </w:tc>
      </w:tr>
      <w:tr>
        <w:trPr>
          <w:trHeight w:val="20"/>
        </w:trPr>
        <w:tc>
          <w:tcPr>
            <w:tcW w:w="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2020, with the effectiveness of the Warrant Registration Statement in May 2020, the shares of common stock underlying essentially all of the outstanding warrants except those having an exercise price of $7.00 per share have been registered for resale by the warrant holders. Warrants to purchase 125,000 shares of common stock issued in the Spring 2020 Private Placement are exercisable at $0.50 per share and become exercisable on October 24, 2020. Additionally, no outstanding warrant is subject to any down round anti-dilution protection features and all of the outstanding warrants are exercisable by the holders only by payment in cash of the stated exercise price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was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now known as Cato Research LLC.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that we have in the past, and continue to engage for a wide range of material aspects related to the nonclinical and clinical development, manufacturing and regulatory affairs associated with our efforts to develop and commercialize PH94B, PH10, AV-101. In October 2018, CHC completed the sale of CRL to an independent third party. As a result of this transaction, CHC and/or CBV is no longer affiliated with or has any control over CRL. Prior to the sale of CRL, CBV held shares of our common stock and at September 30 2020, CBV held approximately 1.3% of our outstanding common stock.</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we incurred expenses of $273,700 and $1,610,900 during the quarters ended September 30, 2020 and 2019, respectively and $398,600 and $3,016,000 for the six months ended September 30, 2020 and 2019, respectively. At September 30, 2020 and March 31, 2020, we had recorded accounts payable and accrued expenses related to CRL aggregating $116,100 and $578,800, respectively. We anticipate periodic expenses for CRO services from CRL related to nonclinical and clinical development of, and regulatory affairs related to PH94B, PH10, AV-101 and other potential product candidates will remain significant in future periods.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Option Agreements with Pherin Pharmaceuticals, Inc.</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our fiscal year ended March 31, 2019, we issued an aggregate of 2,556,361 shares of our unregistered common stock having an issue-date fair market value of $4,250,000 to Pherin to acquire exclusive worldwide licenses to develop and commercialize PH94B and PH10. We recorded the acquisition of the licenses as research and development expense during our fiscal year ended March 31, 2019. We recorded no expense during the quarter ended September 30, 2020 and $30,000 during the quarter ended September 30, 2019, and $10,000 and $60,000, for the six months ended September 30, 2020 and 2019, respectively, as research and development expense for monthly support payments to Pherin under the terms of the PH94B and PH10 license agreements. Our liability for such monthly support payments terminated in April 2020 under the terms of the PH10 license agreement. During the quarter ended September 30, 2020, under the terms of the PH94B license agreement we made a milestone payment of $220,000 to Pherin related to the upfront payment received under the EverInsight Agreement. The payment is included as a component of Deferred Contract Acquisition Costs on the Condensed Consolidated Balance Sheet at September 30, 2020. We recorded no amounts payable to Pherin at September 30, 2020 or March 31, 2020. At September 30, 2020, Pherin held approximately 1.8% of our outstanding common stock.</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quarters ended September 30, 2020 and 2019, we engaged a consulting firm headed by one of the independent members of our Board to provide various market research studies, competitive analyses, and commercial advisory projects for certain of our CNS pipeline candidates pursuant to which we recorded research and development expense of $13,000 and $75,100 for the quarters ended September 30, 2020 and 2019, respectively and $28,000 and $102,800 for the six months ended September 30, 2020 and 2019, respectively. We recorded accounts payable and accrued expenses of $13,000 at September 30, 2020 and no amounts payable at March 31, 2020 related to these projects and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lease our headquarters office and laboratory space in South San Francisco, California under the terms of a lease that expires on July 31, 2022 and that provides an option to renew for an additional five years at then-current market rates. Consistent with the guidance in Accounting Standards Codification Topic 842, Leases (</w:t>
      </w:r>
      <w:r>
        <w:rPr>
          <w:rFonts w:ascii="Arial" w:cs="Arial" w:eastAsia="Arial" w:hAnsi="Arial"/>
          <w:sz w:val="16"/>
          <w:szCs w:val="16"/>
          <w:i w:val="1"/>
          <w:iCs w:val="1"/>
          <w:color w:val="auto"/>
        </w:rPr>
        <w:t>ASC 842</w:t>
      </w:r>
      <w:r>
        <w:rPr>
          <w:rFonts w:ascii="Arial" w:cs="Arial" w:eastAsia="Arial" w:hAnsi="Arial"/>
          <w:sz w:val="16"/>
          <w:szCs w:val="16"/>
          <w:color w:val="auto"/>
        </w:rPr>
        <w:t>), beginning April 1, 2019, we recorded this lease in our Condensed Consolidated Balance Sheet as an operating lease. For the purpose of determining the right-of-use asset and associated lease liability, we determined that the renewal of this lease is reasonably probable. The lease of our South San Francisco facilities does not include any restrictions or covenants requiring special treatment under ASC 842.</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 at September 30, 2020 and March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September</w:t>
            </w:r>
          </w:p>
        </w:tc>
        <w:tc>
          <w:tcPr>
            <w:tcW w:w="20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8"/>
              </w:rPr>
              <w:t>30, 2020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100" w:type="dxa"/>
            <w:vAlign w:val="bottom"/>
            <w:gridSpan w:val="2"/>
          </w:tcPr>
          <w:p>
            <w:pPr>
              <w:spacing w:after="0"/>
              <w:rPr>
                <w:sz w:val="20"/>
                <w:szCs w:val="20"/>
                <w:color w:val="auto"/>
              </w:rPr>
            </w:pPr>
            <w:r>
              <w:rPr>
                <w:rFonts w:ascii="Arial" w:cs="Arial" w:eastAsia="Arial" w:hAnsi="Arial"/>
                <w:sz w:val="18"/>
                <w:szCs w:val="18"/>
                <w:i w:val="1"/>
                <w:iCs w:val="1"/>
                <w:color w:val="auto"/>
              </w:rPr>
              <w:t>Assets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 of use asset – operating lease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3,403,000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3,579,600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Current operating lease obligation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338,500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313,400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Non-current operating lease obligation</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3,540,900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3,715,600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Total operating lease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3,879,400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4,029,000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following table summarizes the effect of operating lease costs in the Company’s condensed consolidated statements of operations for the three and six months ended September 30, 2020 and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0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For the Three Months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For the Six Months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Ended September 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89"/>
              </w:rPr>
              <w:t>Ended 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92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207,300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203,100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5"/>
        </w:trPr>
        <w:tc>
          <w:tcPr>
            <w:tcW w:w="20" w:type="dxa"/>
            <w:vAlign w:val="bottom"/>
          </w:tcPr>
          <w:p>
            <w:pPr>
              <w:spacing w:after="0"/>
              <w:rPr>
                <w:sz w:val="24"/>
                <w:szCs w:val="24"/>
                <w:color w:val="auto"/>
              </w:rPr>
            </w:pPr>
          </w:p>
        </w:tc>
        <w:tc>
          <w:tcPr>
            <w:tcW w:w="9240" w:type="dxa"/>
            <w:vAlign w:val="bottom"/>
            <w:gridSpan w:val="6"/>
          </w:tcPr>
          <w:p>
            <w:pPr>
              <w:jc w:val="right"/>
              <w:ind w:right="60"/>
              <w:spacing w:after="0"/>
              <w:rPr>
                <w:sz w:val="20"/>
                <w:szCs w:val="20"/>
                <w:color w:val="auto"/>
              </w:rPr>
            </w:pPr>
            <w:r>
              <w:rPr>
                <w:rFonts w:ascii="Arial" w:cs="Arial" w:eastAsia="Arial" w:hAnsi="Arial"/>
                <w:sz w:val="18"/>
                <w:szCs w:val="18"/>
                <w:color w:val="auto"/>
                <w:w w:val="91"/>
              </w:rPr>
              <w:t>The minimum (base rental) lease payments related to our South San Francisco operating lease are expected to be as follows: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Fiscal Years Ending March 31,</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six months)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2022</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2024</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Thereafter</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1,931,400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expense</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5,207,400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Less imputed interest</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(1,328,000)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Present value of operating lease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3,879,400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lease term, including the assumed five-year extension at the expiration of the current lease period, and the discount rate assumption for our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operating lease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83"/>
              </w:rPr>
              <w:t>As of September</w:t>
            </w:r>
          </w:p>
        </w:tc>
      </w:tr>
      <w:tr>
        <w:trPr>
          <w:trHeight w:val="237"/>
        </w:trPr>
        <w:tc>
          <w:tcPr>
            <w:tcW w:w="20" w:type="dxa"/>
            <w:vAlign w:val="bottom"/>
          </w:tcPr>
          <w:p>
            <w:pPr>
              <w:spacing w:after="0"/>
              <w:rPr>
                <w:sz w:val="20"/>
                <w:szCs w:val="20"/>
                <w:color w:val="auto"/>
              </w:rPr>
            </w:pPr>
          </w:p>
        </w:tc>
        <w:tc>
          <w:tcPr>
            <w:tcW w:w="10100" w:type="dxa"/>
            <w:vAlign w:val="bottom"/>
          </w:tcPr>
          <w:p>
            <w:pPr>
              <w:spacing w:after="0"/>
              <w:rPr>
                <w:sz w:val="20"/>
                <w:szCs w:val="20"/>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30, 2020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0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0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5"/>
              </w:rPr>
              <w:t>6.83</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Assumed discount rate</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w w:val="82"/>
              </w:rPr>
              <w:t>8.54%</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95" w:lineRule="exact"/>
        <w:rPr>
          <w:sz w:val="20"/>
          <w:szCs w:val="20"/>
          <w:color w:val="auto"/>
        </w:rPr>
      </w:pPr>
    </w:p>
    <w:p>
      <w:pPr>
        <w:jc w:val="both"/>
        <w:ind w:right="120"/>
        <w:spacing w:after="0" w:line="267" w:lineRule="auto"/>
        <w:rPr>
          <w:sz w:val="20"/>
          <w:szCs w:val="20"/>
          <w:color w:val="auto"/>
        </w:rPr>
      </w:pPr>
      <w:r>
        <w:rPr>
          <w:rFonts w:ascii="Arial" w:cs="Arial" w:eastAsia="Arial" w:hAnsi="Arial"/>
          <w:sz w:val="18"/>
          <w:szCs w:val="18"/>
          <w:color w:val="auto"/>
        </w:rPr>
        <w:t>Supplemental disclosure of cash flow information related to our operating lease included in cash flows used by operating activities in the condensed consolidated statements of cash flows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For the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For the</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87"/>
              </w:rPr>
              <w:t>Six Months EndedSix Months Ended</w:t>
            </w: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September 30,</w:t>
            </w:r>
          </w:p>
        </w:tc>
        <w:tc>
          <w:tcPr>
            <w:tcW w:w="260" w:type="dxa"/>
            <w:vAlign w:val="bottom"/>
          </w:tcPr>
          <w:p>
            <w:pPr>
              <w:spacing w:after="0"/>
              <w:rPr>
                <w:sz w:val="18"/>
                <w:szCs w:val="18"/>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6"/>
              </w:rPr>
              <w:t>September 30,</w:t>
            </w:r>
          </w:p>
        </w:tc>
      </w:tr>
      <w:tr>
        <w:trPr>
          <w:trHeight w:val="237"/>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374,200</w:t>
            </w:r>
          </w:p>
        </w:tc>
        <w:tc>
          <w:tcPr>
            <w:tcW w:w="1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September 30, 2020, we recorded no new right of use assets arising from new lease liabilities.</w:t>
      </w:r>
    </w:p>
    <w:p>
      <w:pPr>
        <w:spacing w:after="0" w:line="225"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for each of the three month periods ended September 30, 2020 and 2019, respectively, and $7,100 and $6,900 for the six months ended September 30, 2020 and 2019, respectively, attributable to this lease.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Sublicensing and Collaborative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PH94B Sublicense Agreement with EverInsight</w:t>
      </w:r>
    </w:p>
    <w:p>
      <w:pPr>
        <w:spacing w:after="0" w:line="225"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 xml:space="preserve">On June 24, 2020, we entered into a license and collaboration agreement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with EverInsight Therapeutics Inc., a company incorporated under the laws of the British Virgin Islands and funded by CBC Group, a global healthcare-focused venture capital firm (</w:t>
      </w:r>
      <w:r>
        <w:rPr>
          <w:rFonts w:ascii="Arial" w:cs="Arial" w:eastAsia="Arial" w:hAnsi="Arial"/>
          <w:sz w:val="16"/>
          <w:szCs w:val="16"/>
          <w:i w:val="1"/>
          <w:iCs w:val="1"/>
          <w:color w:val="auto"/>
        </w:rPr>
        <w:t>EverInsight</w:t>
      </w:r>
      <w:r>
        <w:rPr>
          <w:rFonts w:ascii="Arial" w:cs="Arial" w:eastAsia="Arial" w:hAnsi="Arial"/>
          <w:sz w:val="16"/>
          <w:szCs w:val="16"/>
          <w:color w:val="auto"/>
        </w:rPr>
        <w:t xml:space="preserve">). In October 2020, it was announced that EverInsight is to merge with AffaMed Therapeutics, also funded by CBC Group, which as a combined, complementary entity will focus on developing and commercializing therapeutics to address ophthalmologic and CNS disorders in Greater China and beyond. Under the EverInsight Agreement, we granted EverInsight an exclusive license to develop and commercialize PH94B, our neuroactive pherin drug candidate for SAD and other anxiety-related disorders, in Greater China (which includes Mainland China, Hong Kong, Macau and Taiwan), South Korea and Southeast Asia (which includes Indonesia, Malaysia, Philippines, Thailand and Vietnam)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We retain exclusive development and commercialization rights for PH94B in the rest of the world.</w:t>
      </w:r>
    </w:p>
    <w:p>
      <w:pPr>
        <w:spacing w:after="0" w:line="175"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Under the terms of the EverInsight Agreement, EverInsight is be responsible for all costs related to developing, obtaining regulatory approval of, and commercializing PH94B for treatment of SAD, and potentially other anxiety-related indications, in the Territory. A joint development committee has been established between us and EverInsight to coordinate and review the development and commercialization plans with respect to PH94B in the Territory.</w:t>
      </w:r>
    </w:p>
    <w:p>
      <w:pPr>
        <w:spacing w:after="0" w:line="15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EverInsight has the option to participate in the global Phase 3 clinical trial of PH94B and will assume all direct costs and expenses of conducting such clinical trial in the Territory and a portion of the indirect costs of the global trial. We will transfer all development data (nonclinical and clinical data) and our regulatory documentation related to PH94B throughout the term as it is developed or generated or otherwise comes into our control. We will grant to EverInsight a Right of Reference to all of our regulatory documentation and our development data.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23" w:name="page24"/>
    <w:bookmarkEnd w:id="2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terms of the EverInsight Agreement, EverInsight agreed to pay us a non-refundable upfront license payment of $5.0 million within 30 business days of the effective date of the EverInsight Agreement, and EverInsight paid the $5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determined that we have one combined performance obligation for the license to develop and commercialize PH94B in the Territory and related development and regulatory services. In addition, EverInsight has an option that will create manufacturing obligations for us during development upon exercise by EverInsight. This option for manufacturing services was evaluated and determined not to include a material right.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milestones were not considered probable at inception and are therefore were excluded from the initial transaction price.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royalties were excluded from the initial transaction price because they relate to a license of intellectual property and are subject to the royalty constraint.</w:t>
      </w:r>
    </w:p>
    <w:p>
      <w:pPr>
        <w:spacing w:after="0" w:line="24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PH94B.</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and six months ended September 30, 2020, we have recognized $334,000 as sublicense revenue under the EverInsight Agreement. At September 30, 2020, the aggregate amount of the transaction price allocated to the remaining performance obligation is $4,666,000 which will be recognized as revenue as the services are completed, which is expected to occur over a period of approximately four years beginning with the quarter ended September 30, 2020.</w:t>
      </w:r>
    </w:p>
    <w:p>
      <w:pPr>
        <w:spacing w:after="0" w:line="1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Unless earlier terminated due to certain material breaches of the contract, or otherwise, the EverInsight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BlueRock Therapeutics Sublicense Agreement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2016, we entered into an Exclusive License and Sublicense Agreement with BlueRock Therapeutics, LP, a next generation regenerative medicine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pursuant to which BlueRock Therapeutics received exclusive rights to utilize certain technologies exclusively licensed by us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xml:space="preserve">) for the production of cardiac stem cells for the treatment of heart disease. As a result of its acquisition of BlueRock Therapeutics in 2019, Bayer AG now holds the rights to develop and commercialize our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 To date, we have recognized $1.25 million in sublicense revenue, in our fiscal year ended March 31, 2017, under the Bayer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the date of this Report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of Options from 2019 Plan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October 2020, we granted options to a consultant to purchase 75,000 shares of our common stock under the terms of our 2019 Plan as compensation for certain corporate awareness and advisory services. The options have an exercise price equal to the quoted closing market price of our common stock on the Nasdaq Capital Market on the date of grant, a term of ten years and vest ratably over a period of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VistaGen Therapeutics, Inc., a Nevada corporation (which may be referred to as </w:t>
      </w:r>
      <w:r>
        <w:rPr>
          <w:rFonts w:ascii="Arial" w:cs="Arial" w:eastAsia="Arial" w:hAnsi="Arial"/>
          <w:sz w:val="16"/>
          <w:szCs w:val="16"/>
          <w:i w:val="1"/>
          <w:iCs w:val="1"/>
          <w:color w:val="auto"/>
        </w:rPr>
        <w:t>VistaGen</w:t>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our</w:t>
      </w:r>
      <w:r>
        <w:rPr>
          <w:rFonts w:ascii="Arial" w:cs="Arial" w:eastAsia="Arial" w:hAnsi="Arial"/>
          <w:sz w:val="16"/>
          <w:szCs w:val="16"/>
          <w:color w:val="auto"/>
        </w:rPr>
        <w:t xml:space="preserve">, or </w:t>
      </w:r>
      <w:r>
        <w:rPr>
          <w:rFonts w:ascii="Arial" w:cs="Arial" w:eastAsia="Arial" w:hAnsi="Arial"/>
          <w:sz w:val="16"/>
          <w:szCs w:val="16"/>
          <w:i w:val="1"/>
          <w:iCs w:val="1"/>
          <w:color w:val="auto"/>
        </w:rPr>
        <w:t>us</w:t>
      </w:r>
      <w:r>
        <w:rPr>
          <w:rFonts w:ascii="Arial" w:cs="Arial" w:eastAsia="Arial" w:hAnsi="Arial"/>
          <w:sz w:val="16"/>
          <w:szCs w:val="16"/>
          <w:color w:val="auto"/>
        </w:rPr>
        <w:t>), is a clinical-stage biopharmaceutical company committed to developing and commercializing differentiated new generation medications that go beyond the current standard of care for anxiety,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Our pipeline includes three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we believe current treatments are inadequate to meet the underserved needs of millions of patients and their caregivers worldwide.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PH94B is an odorless synthetic rapid-onset neuroactive pherine nasal spray with therapeutic potential in a wide range of neuropsychiatric indications involving anxiety or phobia. Conveniently self-administered in microgram-level doses without requiring systemic uptake and distribution to achieve its anti-anxiety effects, we are initially developing PH94B as a potential fast-acting, non-sedating, non-addictive new generation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a classroom or conference room, or having to talk to a cashier in a store. Doing everyday things in front of people - such as eating or drinking in front of others or using a public restroom - also causes anxiety or fear. A person with SAD may also feel symptoms of fear and anxiety in performance situations, such as giving a lecture, a speech or a presentation to classmates at school or colleagues at work, as well as playing in a sports game, or dancing or playing a musical instrument on stage. A person with SAD is afraid that he or she will be humiliated, judged, and rejected. The fear and anxiety that people with SAD have in social and performance situations is so strong that they feel they are beyond their ability to control. As a result, SAD gets in the way of going to work, attending school, meeting with others socially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Without treatment, SAD can last for many years or a lifetime and prevent a person from reaching his or her full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Only three drugs, all oral antidepressants,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antidepressants have slow onset of therapeutic effect (often taking many weeks to months), require chronic administration and often cause significant side effects beginning soon after administration. We believe their slow onset of effect, required chronic administration and significant potential side effects and safety concerns may make the three FDA-approved oral antidepressants inadequate or inappropriate treatment alternatives for many underserved individuals affected by SAD. Our PH94B is fundamentally different from all current anti-anxiety drugs, such as benzodiazepines prescribed off-label for treatment of SAD, as well as the three oral antidepressants approved by the FDA for treatment of SAD.</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Intranasal self-administration of a microgram level dose (3.2 mcg) of PH94B engages specific nasal chemosensory neurons (</w:t>
      </w:r>
      <w:r>
        <w:rPr>
          <w:rFonts w:ascii="Arial" w:cs="Arial" w:eastAsia="Arial" w:hAnsi="Arial"/>
          <w:sz w:val="16"/>
          <w:szCs w:val="16"/>
          <w:i w:val="1"/>
          <w:iCs w:val="1"/>
          <w:color w:val="auto"/>
        </w:rPr>
        <w:t>NCNs</w:t>
      </w:r>
      <w:r>
        <w:rPr>
          <w:rFonts w:ascii="Arial" w:cs="Arial" w:eastAsia="Arial" w:hAnsi="Arial"/>
          <w:sz w:val="16"/>
          <w:szCs w:val="16"/>
          <w:color w:val="auto"/>
        </w:rPr>
        <w:t>). NCNs activate olfactory bulb neurons (</w:t>
      </w:r>
      <w:r>
        <w:rPr>
          <w:rFonts w:ascii="Arial" w:cs="Arial" w:eastAsia="Arial" w:hAnsi="Arial"/>
          <w:sz w:val="16"/>
          <w:szCs w:val="16"/>
          <w:i w:val="1"/>
          <w:iCs w:val="1"/>
          <w:color w:val="auto"/>
        </w:rPr>
        <w:t>OBNs</w:t>
      </w:r>
      <w:r>
        <w:rPr>
          <w:rFonts w:ascii="Arial" w:cs="Arial" w:eastAsia="Arial" w:hAnsi="Arial"/>
          <w:sz w:val="16"/>
          <w:szCs w:val="16"/>
          <w:color w:val="auto"/>
        </w:rPr>
        <w:t>) on the base of the brain. OBNs send neural connections to neurons in the central limbic amygdala, the brain center where fear and anxiety are regulated. Neurons in the limbic amygdala modulate inhibitory/excitatory neurotransmitters, resulting in rapid-onset anti-anxiety effects, without requiring systemic uptake and distribution to produce such rapid-onset effects. In all clinical studies to date, PH94B has not shown psychological side effects (such as dissociation or hallucinations), sedation or other side effects and safety concerns that may be caused by the current oral antidepressants approved by the FDA for treatment of SAD, as well as by benzodiazepines and beta blockers, which are not approved by the FDA to treat SAD but which are be prescribed by psychiatrists and physicians for treatment of SAD on an off-label basis. While oral antidepressants, benzodiazepines and beta blockers require systemic administration to achieve anxiolytic effects, due to its unique pharmacology, our PH94B does not require systemic uptake and distribution to achieve its rapid-onset anti-anxiety effects.</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 peer-reviewed, published double-blind, placebo-controlled Phase 2 clinical trial, PH94B neuroactive nasal spray was highly statistically significantly more effective than placebo in reducing both public-speaking (performance) anxiety (p=0.002) and social interaction anxiety (p=0.009) in laboratory-simulated challenges of SAD patients, within 15 minutes of their self-administration of a non-systemic 1.6 microgram dose of PH94B. Based on the results of this highly statistically significant Phase 2 study and our recent consensus with the FDA that our initial pivotal Phase 3 study of PH94B may be conducted in a manner substantially similar to the public speaking anxiety component of such Phase 2 study, we are preparing for pivotal Phase 3 clinical development of PH94B as an acute treatment of anxiety in adults with SAD. Our goal is to develop and commercialize PH94B as the first FDA-approved, rapid-onset, non-sedating, non-systemic, non-additive acute treatment of anxiety in adults with SAD, for use on demand to treat their symptoms of anxiety as a result of often predictable anxiety-provoking stressors much like a rescue inhaler is used on demand before an asthma attack or a migraine drug is used before a migraine episode. We also believe PH94B has potential to treat other anxiety-related neuropsychiatric indications such as adjustment disorder, general anxiety disorder, postpartum anxiety, preprocedural anxiety (e.g., pre-MRI), panic disorder, post-traumatic stress disorder and specific social phobias. The FDA has granted Fast Track designation for development of PH94B for acute treatment of anxiety in adults with SAD, which we believe is the FDA’s first such designation for a drug candidate for SAD.</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preparing for pivotal Phase 3 development of PH94B as a potential acute treatment of anxiety for adults with SAD, we are currently preparing for a small exploratory Phase 2A clinical study of PH94B for acute treatment of adjustment disorder, an emotional or behavioral reaction considered excessive or out of proportion to a stressful event or major life change, occurring within three months of the stressor, and/or significantly impairing a person’s social, occupational and/or other important areas of functioning. Given the diverse impact of the COVID-19 pandemic, including, among other things, fear and anxiety about health and safety, economic loss, unemployment, social isolation, disruption of established education and work practices, we submitted our preliminary protocol for the study to the FDA through the FDA’s Coronavirus Treatment Acceleration Program (</w:t>
      </w:r>
      <w:r>
        <w:rPr>
          <w:rFonts w:ascii="Arial" w:cs="Arial" w:eastAsia="Arial" w:hAnsi="Arial"/>
          <w:sz w:val="16"/>
          <w:szCs w:val="16"/>
          <w:i w:val="1"/>
          <w:iCs w:val="1"/>
          <w:color w:val="auto"/>
        </w:rPr>
        <w:t>CTAP</w:t>
      </w:r>
      <w:r>
        <w:rPr>
          <w:rFonts w:ascii="Arial" w:cs="Arial" w:eastAsia="Arial" w:hAnsi="Arial"/>
          <w:sz w:val="16"/>
          <w:szCs w:val="16"/>
          <w:color w:val="auto"/>
        </w:rPr>
        <w:t>). Following that submission, we are continuing our discussions with the FDA’s Division of Psychiatric Products to determine the appropriate next steps for the study, including the study protocol. We are planning to conduct the proposed Phase 2A study in New York City and enroll approximately 25 subjects suffering from adjustment disorder-provoking stressors, including, but not limited to, stressors related to the diverse impact of the COVID-19 pandemic and recent civil unrest in the U.S. We are also currently planning for additional small exploratory Phase 2A studies in postpartum anxiety, post-traumatic stress disorder, and pre-procedural anxiety (pre-MRI).</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PH10 is an odorless synthetic neuroactive pherine nasal spray with potential to be a fast-acting treatment for multiple neuropsychiatric indications involving depression and suicidal ideation. Conveniently self-administered in microgram-level doses without systemic exposure, we are initially developing PH94B as a potential rapid-onset, stand-alone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most commonly-prescribed current oral antidepressants are known as selective serotonin reuptake inhibitors (</w:t>
      </w:r>
      <w:r>
        <w:rPr>
          <w:rFonts w:ascii="Arial" w:cs="Arial" w:eastAsia="Arial" w:hAnsi="Arial"/>
          <w:sz w:val="16"/>
          <w:szCs w:val="16"/>
          <w:i w:val="1"/>
          <w:iCs w:val="1"/>
          <w:color w:val="auto"/>
        </w:rPr>
        <w:t>SSRIs</w:t>
      </w:r>
      <w:r>
        <w:rPr>
          <w:rFonts w:ascii="Arial" w:cs="Arial" w:eastAsia="Arial" w:hAnsi="Arial"/>
          <w:sz w:val="16"/>
          <w:szCs w:val="16"/>
          <w:color w:val="auto"/>
        </w:rPr>
        <w:t>), and serotonin-norepinephrine reuptake inhibitors (</w:t>
      </w:r>
      <w:r>
        <w:rPr>
          <w:rFonts w:ascii="Arial" w:cs="Arial" w:eastAsia="Arial" w:hAnsi="Arial"/>
          <w:sz w:val="16"/>
          <w:szCs w:val="16"/>
          <w:i w:val="1"/>
          <w:iCs w:val="1"/>
          <w:color w:val="auto"/>
        </w:rPr>
        <w:t>SNRIs</w:t>
      </w:r>
      <w:r>
        <w:rPr>
          <w:rFonts w:ascii="Arial" w:cs="Arial" w:eastAsia="Arial" w:hAnsi="Arial"/>
          <w:sz w:val="16"/>
          <w:szCs w:val="16"/>
          <w:color w:val="auto"/>
        </w:rPr>
        <w:t>). SSRIs are intended to increase the amount of available serotonin, a neurotransmitter closely linked to mood and anxiety disorders, by inhibiting the reuptake of serotonin in the brain, preventing nerve cells from reabsorbing serotonin and reducing the levels in the brain. This means more serotonin remains available, which can sometimes improve symptoms and make patients more responsive to psychotherapy and other treatments. SNRIs similarly are intended to inhibit the reuptake of serotonin and another neurotransmitter, norepinephrine, and increase the available amounts of each in the brain. Like serotonin, norepinephrine is a neurotransmitter linked to mood.</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these medications can certainly be effective in the right context, it can be a challenge to find the right drug or combination of drugs for a particular patient. About two-thirds of patients with MDD do not respond to their initial treatment with such medications. In addition, it can take many weeks or even months to identify whether an antidepressant is working, all the while leaving a patient to cope with their depression symptoms and the potentially debilitating side effects of the antidepressants they are prescribed.</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Due to their long-onset pharmacology, limited efficacy and many side effects and safety concerns, current FDA-approved oral antidepressants available in the multi-billion-dollar global depression market are often inadequate to satisfy the underserved medical needs of millions suffering from the debilitating effects of depression. Inadequate response to current medications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FDA-approved antidepressants.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rapid-onset ketamine-based therapy, including both intravenous ketamine and esketamine nasal spray, or the side effects and safety concerns of current long-onset oral antidepressants. In a small exploratory Phase 2A clinical trial (n=30), PH10, self-administered at a dose of 6.4 micrograms, was well-tolerated and demonstrated statistically significant (p=0.022) rapid-onset antidepressant effects, which were sustained over an 8-week period, as measured by the Hamilton Depression Rating Scale (</w:t>
      </w:r>
      <w:r>
        <w:rPr>
          <w:rFonts w:ascii="Arial" w:cs="Arial" w:eastAsia="Arial" w:hAnsi="Arial"/>
          <w:sz w:val="16"/>
          <w:szCs w:val="16"/>
          <w:i w:val="1"/>
          <w:iCs w:val="1"/>
          <w:color w:val="auto"/>
        </w:rPr>
        <w:t>HAM-D</w:t>
      </w:r>
      <w:r>
        <w:rPr>
          <w:rFonts w:ascii="Arial" w:cs="Arial" w:eastAsia="Arial" w:hAnsi="Arial"/>
          <w:sz w:val="16"/>
          <w:szCs w:val="16"/>
          <w:color w:val="auto"/>
        </w:rPr>
        <w:t>), without side effects or safety concerns that may be caused by ketamine-based therapy and oral antidepressants. Based on positive results from this exploratory Phase 2A study, we are preparing for Phase 2B clinical development of PH10 in MDD, which preparation includes completing two additional preclinical toxicology studies required by the FDA to support our new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for proposed Phase 2B clinical development of PH10 in the U.S. With its exceptional safety profile during clinical development to date, we believe PH10 has potential for multiple applications in global depression markets, including first as a differentiated stand-alone therapy for MDD, and eventually as a potential add-on therapy to augment current FDA-approved oral antidepressants for patients with MDD who have an inadequate response to such medications, in lieu of ketamine-based therapy and to prevent relapse following successful treatment with ketamine-based therapy.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ketamine-based therapy. With its exceptionally few side effects and excellent safety profile in all studies to date, AV-101, in combination with the FDA-approved drug, probenecid, has potential to be a new, differentiated oral treatment for multiple large-market CNS indications where we believe current treatments are inadequate to meet high underserved patient needs. The FDA has granted Fast Track designation for development of AV-101 as both a potential adjunctive treatment for MDD and as a non-opioid treatment for neuropathic pain.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late-2019, we completed a Phase 2 clinical trial of AV-101 as a potential adjunctive treatment, together with a standard FDA-approved oral SSRI or SNRI, in MDD patients who had an inadequate response to a stable dose of their oral antidepressant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did not differentiate from placebo on the primary endpoint (change in the Montgomery-Åsberg Depression Rating Scale (</w:t>
      </w:r>
      <w:r>
        <w:rPr>
          <w:rFonts w:ascii="Arial" w:cs="Arial" w:eastAsia="Arial" w:hAnsi="Arial"/>
          <w:sz w:val="16"/>
          <w:szCs w:val="16"/>
          <w:i w:val="1"/>
          <w:iCs w:val="1"/>
          <w:color w:val="auto"/>
        </w:rPr>
        <w:t>MADRS-10</w:t>
      </w:r>
      <w:r>
        <w:rPr>
          <w:rFonts w:ascii="Arial" w:cs="Arial" w:eastAsia="Arial" w:hAnsi="Arial"/>
          <w:sz w:val="16"/>
          <w:szCs w:val="16"/>
          <w:color w:val="auto"/>
        </w:rPr>
        <w:t>) total score compared to baseline), potentially due to sub-therapeutic levels of 7-Cl-KYNA in the brain. As in prior clinical studies, AV-101 was well tolerated, with no psychotomimetic side effects or drug-related serious adverse events.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Recent discoveries from successful preclinical studies of AV-101 in combination with probenecid, a safe and well-known oral anion transport inhibitor approved by the FDA for treatment of gout, suggest that there is a substantially increased brain concentration of AV-101 and its active metabolite, 7-Cl-KYNA, when AV-101 is given together with probenecid.. These surprising effects were first revealed as to AV-101 and 7-Cl-KYNA in our recent preclinical studies, although the effects are consistent with well-documented clinical studies of probenecid’s ability to increase the therapeutic benefits of several classes of FDA-approved drugs that are unrelated to AV-101 and 7-Cl-KYNA, including certain antibacterial, anticancer and antiviral drugs. When probenecid was administered in combination with AV-101 in an animal model, substantially increased brain concentrations of both AV-101 and of 7-Cl-KYNA were discovered. Similar results were achieved in a previously announced second preclinical study of the AV-101/probenecid combination in a different animal species.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We believe the findings from the Baylor Study suggest that, in healthy Veterans, the higher dose of AV-101 (1440 mg) was associated with dose-related 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Baylor Study and the results of our recent preclinical studies involving AV-101 in combination with probenecid suggest that it may be possible to increase therapeutic concentrations and duration of 7-Cl-KYNA in the brain, and thus increase NMDAR antagonism in MDD patients and individuals suffering from other CNS indications involving abnormal function of the NMDAR, when AV-101 and probenecid are combined. We are currently evaluating all data involving AV-101, including recent data relating to AV-101 in combination with probenecid, to determine its potential for future clinical development and commercialization.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current CNS drug candidates,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has developed stem cell technology-based, pipeline-enabling capabilities involving application of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VistaStem’s customized cardiac bioassay system, </w:t>
      </w: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 has been developed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w:t>
      </w:r>
      <w:r>
        <w:rPr>
          <w:rFonts w:ascii="Arial" w:cs="Arial" w:eastAsia="Arial" w:hAnsi="Arial"/>
          <w:sz w:val="18"/>
          <w:szCs w:val="18"/>
          <w:i w:val="1"/>
          <w:iCs w:val="1"/>
          <w:color w:val="auto"/>
        </w:rPr>
        <w:t xml:space="preserve"> </w:t>
      </w:r>
      <w:r>
        <w:rPr>
          <w:rFonts w:ascii="Arial" w:cs="Arial" w:eastAsia="Arial" w:hAnsi="Arial"/>
          <w:sz w:val="18"/>
          <w:szCs w:val="18"/>
          <w:color w:val="auto"/>
        </w:rPr>
        <w:t>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fields.</w:t>
      </w:r>
    </w:p>
    <w:p>
      <w:pPr>
        <w:spacing w:after="0" w:line="19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and acquired by Bayer AG in 2019, rights to develop and commercialize certain proprietary technologies relating to the production of cardiac stem cells for the treatment of heart disease. As a result of its acquisition of BlueRock Therapeutics in 2019, Bayer AG now holds such rights (the </w:t>
      </w:r>
      <w:r>
        <w:rPr>
          <w:rFonts w:ascii="Arial" w:cs="Arial" w:eastAsia="Arial" w:hAnsi="Arial"/>
          <w:sz w:val="16"/>
          <w:szCs w:val="16"/>
          <w:i w:val="1"/>
          <w:iCs w:val="1"/>
          <w:color w:val="auto"/>
        </w:rPr>
        <w:t>Bayer Agreement</w:t>
      </w:r>
      <w:r>
        <w:rPr>
          <w:rFonts w:ascii="Arial" w:cs="Arial" w:eastAsia="Arial" w:hAnsi="Arial"/>
          <w:sz w:val="16"/>
          <w:szCs w:val="16"/>
          <w:color w:val="auto"/>
        </w:rPr>
        <w:t>). VistaStem retains all rights to such technologies to discover and develop small molecule NCEs and certain other applications not licensed pursuant to the Bayer Agreement. In a manner similar to the Bayer Agreement, we may pursue additional VistaStem collaborations involving rights to develop and commercialize its hPSC technologies for production of blood, cartilage, and/or liver cells for CT and RM applications, including, among other indications, treatment of arthritis, cancer and liver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noted above, VistaStem Therapeutics, a California corporation, is our wholly-owned subsidiary. Our Condensed Consolidated Financial Statements in this Report also include the accounts of VistaStem and VistaStem’s two wholly-owned inactive subsidiaries, Artemis Neuroscience, Inc., a Maryland corporation, and VistaStem Canada, Inc., a corporation organized under the laws of Ontario, Canada.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2020, as filed with the SEC on June 29, 2020, and in Note 3 to the accompanying unaudited Condensed Consolidated Financial Statements included in Part 1, Item 1 of this Report.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Although we entered into the EverInsight Agreement in June 2020 and the Bayer Agreement in December 2016, we have not yet achieved recurring revenue-generating status in amounts sufficient to sustain our operations and enable our strategic business plans from any of our product candidates or technologies. Since inception, we have devoted substantial time and effort to developing AV-101 for multiple CNS indications, including manufacturing research, process development and production of AV-101 drug substance and finished drug product, preclinical efficacy and safety studies, and clinical efficacy and safety studies in CNS indications. In addition, since acquiring our exclusive worldwide licenses to PH94B and PH10 in 2018, we have devoted substantial resources focused on development and commercialization of PH94B and PH10, for which we are actively pursuing initiatives to advance manufacturing research, process development and production programs for drug substance and finished drug product, additional preclinical safety studies, and clinical efficacy and safety studies in multiple neuropsychiatry indications. Also, from-time-to-time, we have devoted resources to VistaStem’s stem cell technology research and development, bioassay development and small molecule drug rescue initiatives, as well as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stem cell technologies, with the corollary initiatives of recruiting and retaining personnel and raising working capital. As of September 30, 2020, we had an accumulated deficit of approximately $208.3 million. Our net loss for the six months ended September 30, 2020 and 2019 was approximately $6.4 million and $11.5 million, respectively. We expect losses to continue for the foreseeable future, primarily as we engage in further development and commercialization activities related to PH94B, PH10 and AV-101, and pursue VistaStem’s potential drug rescue, drug development and CT and RM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Six Months Ended September 30, 2020</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six months ended September 30, 2020, we continued to advance our manufacturing, preclinical and clinical development, and regulatory initiatives necessary for our Phase 3 clinical development of PH94B as a potential acute treatment of anxiety in adults with SAD, PH10 as a potential stand-alone treatment of MDD and AV-101 in combination with probenecid as a potential treatment for NMDAR-focused indications. In addition, we continued to expand the regulatory and intellectual property foundation to support broad clinical development and, ultimately, commercialization of our product candidates in the U.S. and foreign markets, and on a limited basis, advance drug rescue applications of VistaStem’s stem cell technology to expand our CNS pipeline and out-licensing opportunities.</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six months ended September 30, 2020 and through the date of this Report,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has spread to many countries in the world and the outbreak has been declared a pandemic by the World Health Organization. The U.S. Secretary of Health and Human Services has also declared a public health emergency in the U.S. in response to the outbreak. From time to time during the COVID-19 pandemic, our operations and those of our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contract development and manufacturing organizations (</w:t>
      </w:r>
      <w:r>
        <w:rPr>
          <w:rFonts w:ascii="Arial" w:cs="Arial" w:eastAsia="Arial" w:hAnsi="Arial"/>
          <w:sz w:val="16"/>
          <w:szCs w:val="16"/>
          <w:i w:val="1"/>
          <w:iCs w:val="1"/>
          <w:color w:val="auto"/>
        </w:rPr>
        <w:t>CDMOs</w:t>
      </w:r>
      <w:r>
        <w:rPr>
          <w:rFonts w:ascii="Arial" w:cs="Arial" w:eastAsia="Arial" w:hAnsi="Arial"/>
          <w:sz w:val="16"/>
          <w:szCs w:val="16"/>
          <w:color w:val="auto"/>
        </w:rPr>
        <w:t>) have been impacted by shelter-in-place orders, social distancing measures, travel bans and restrictions, and certain business and government closures or reductions in service. Our headquarters operations have been significantly curtailed as our employees have been working remotely throughout this period. From time to time since the beginning of the COVID-19 pandemic, we have experienced delays in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required to continue development of PH94B and PH10. Future unexpected delays may result in a significant, material delay or disruption to our current clinical development plans, programs, and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quarter ended June 30, 2020, we completed a successful and positive meeting with the FDA regarding Phase 3 clinical development of PH94B for the acute treatment of anxiety in adult patients with SAD, reaching consensus with the FDA on key aspects of a unique initial pivotal Phase 3 clinical trial of PH94B involving a single-event, laboratory-simulated public speaking challenge in adult patients with SAD. We agreed with the FDA that our initial pivotal Phase 3 study of PH94B will be a randomized, double-blind, placebo-controlled, parallel comparison study conducted at approximately 15 sites in North America. Dr. Michael Liebowitz, Professor of Clinical Psychiatry at Columbia University, director of the Medical Research Network in New York City, and creator of the Liebowitz Social Anxiety Scale (LSAS), is expected to be the Principal Investigator of the study. Target enrollment for the study (completed patients) is currently approximately 182 adult patients with SAD. As in the highly statistically significant (p=0.002) public speaking component of the Phase 2 study of PH94B in SAD, our pivotal Phase 3 studies will involve a single laboratory-simulated, anxiety-provoking public speaking challenge. Also, as in the public speaking component of the Phase 2 study, the Subjective Units of Distress Scale (</w:t>
      </w:r>
      <w:r>
        <w:rPr>
          <w:rFonts w:ascii="Arial" w:cs="Arial" w:eastAsia="Arial" w:hAnsi="Arial"/>
          <w:sz w:val="16"/>
          <w:szCs w:val="16"/>
          <w:i w:val="1"/>
          <w:iCs w:val="1"/>
          <w:color w:val="auto"/>
        </w:rPr>
        <w:t>SUDS</w:t>
      </w:r>
      <w:r>
        <w:rPr>
          <w:rFonts w:ascii="Arial" w:cs="Arial" w:eastAsia="Arial" w:hAnsi="Arial"/>
          <w:sz w:val="16"/>
          <w:szCs w:val="16"/>
          <w:color w:val="auto"/>
        </w:rPr>
        <w:t>) will be used to assess the primary efficacy endpoint of our pivotal Phase 3 studies of PH94B as a potential acute treatment of anxiety in adults with SAD. Throughout the six months ended September 30, 2020, we have been actively engaged in formalizing processes and procedures for the manufacture of PH94B for our Phase 3 studies and other nonclinical studies in 2021 and beyond.</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June 2020, we entered into a strategic licensing and collaboration agreement for the clinical development and commercialization of PH94B (the </w:t>
      </w:r>
      <w:r>
        <w:rPr>
          <w:rFonts w:ascii="Arial" w:cs="Arial" w:eastAsia="Arial" w:hAnsi="Arial"/>
          <w:sz w:val="16"/>
          <w:szCs w:val="16"/>
          <w:i w:val="1"/>
          <w:iCs w:val="1"/>
          <w:color w:val="auto"/>
        </w:rPr>
        <w:t>EverInsight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a biopharmaceutical company focused on developing and commercializing transformative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pharmaceutical products for patients in Greater China and other parts of Asia and funded by CBC Group. In October 2020, it was announced that EverInsight is to merge with AffaMed Therapeutics, another biopharmaceutical company funded by CBC Group, which as a combined, complementary entity will focus on developing and commercializing therapeutics to address both ophthalmologic and CNS disorders in Greater China and beyond. Under the terms of the EverInsight Agreement, EverInsight is responsible for clinical development, regulatory submissions and commercialization of PH94B for the treatment of SAD, and potentially other anxiety-related indications, in key markets in Asia, including markets in Greater China, South Korea and Southeast Asia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Under the terms of the EverInsight Agreement, in August 2020, we received a non-dilutive upfront license fee payment of $5.0 million from EverInsight. Upon successful development and commercialization of PH94B in the Territory, we are eligible to receive up to $172 million in additional development and commercial milestone payments, plus royalties on commercial sales of PH94B in the Territory. After payment of sublicense fees to Pherin pursuant to our PH94B license from Pherin, and payment of consulting fees related to consummation of the EverInsight Agreement, we received net cash proceeds of approximately $4.655 million.</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August 2020, we entered into an underwriting agreement (the </w:t>
      </w:r>
      <w:r>
        <w:rPr>
          <w:rFonts w:ascii="Arial" w:cs="Arial" w:eastAsia="Arial" w:hAnsi="Arial"/>
          <w:sz w:val="16"/>
          <w:szCs w:val="16"/>
          <w:i w:val="1"/>
          <w:iCs w:val="1"/>
          <w:color w:val="auto"/>
        </w:rPr>
        <w:t>Underwriting Agreement</w:t>
      </w:r>
      <w:r>
        <w:rPr>
          <w:rFonts w:ascii="Arial" w:cs="Arial" w:eastAsia="Arial" w:hAnsi="Arial"/>
          <w:sz w:val="16"/>
          <w:szCs w:val="16"/>
          <w:color w:val="auto"/>
        </w:rPr>
        <w:t xml:space="preserve">) pursuant to which we sold, in an underwritten public offering (the </w:t>
      </w:r>
      <w:r>
        <w:rPr>
          <w:rFonts w:ascii="Arial" w:cs="Arial" w:eastAsia="Arial" w:hAnsi="Arial"/>
          <w:sz w:val="16"/>
          <w:szCs w:val="16"/>
          <w:i w:val="1"/>
          <w:iCs w:val="1"/>
          <w:color w:val="auto"/>
        </w:rPr>
        <w:t>August 2020 Public Offering</w:t>
      </w:r>
      <w:r>
        <w:rPr>
          <w:rFonts w:ascii="Arial" w:cs="Arial" w:eastAsia="Arial" w:hAnsi="Arial"/>
          <w:sz w:val="16"/>
          <w:szCs w:val="16"/>
          <w:color w:val="auto"/>
        </w:rPr>
        <w:t>), an aggregate of 15,625,000 shares (the</w:t>
      </w:r>
      <w:r>
        <w:rPr>
          <w:rFonts w:ascii="Arial" w:cs="Arial" w:eastAsia="Arial" w:hAnsi="Arial"/>
          <w:sz w:val="16"/>
          <w:szCs w:val="16"/>
          <w:i w:val="1"/>
          <w:iCs w:val="1"/>
          <w:color w:val="auto"/>
        </w:rPr>
        <w:t xml:space="preserve"> Shares</w:t>
      </w:r>
      <w:r>
        <w:rPr>
          <w:rFonts w:ascii="Arial" w:cs="Arial" w:eastAsia="Arial" w:hAnsi="Arial"/>
          <w:sz w:val="16"/>
          <w:szCs w:val="16"/>
          <w:color w:val="auto"/>
        </w:rPr>
        <w:t>) of our common stock for a public offering price of $0.80 per Share, resulting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gross proceeds to us of $12,500,000. Under the terms of the Underwriting Agreement, we granted to the underwriter an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to purchase up to an additional 2,343,750 Shares (the</w:t>
      </w:r>
      <w:r>
        <w:rPr>
          <w:rFonts w:ascii="Arial" w:cs="Arial" w:eastAsia="Arial" w:hAnsi="Arial"/>
          <w:sz w:val="16"/>
          <w:szCs w:val="16"/>
          <w:i w:val="1"/>
          <w:iCs w:val="1"/>
          <w:color w:val="auto"/>
        </w:rPr>
        <w:t xml:space="preserve"> Option Shares</w:t>
      </w:r>
      <w:r>
        <w:rPr>
          <w:rFonts w:ascii="Arial" w:cs="Arial" w:eastAsia="Arial" w:hAnsi="Arial"/>
          <w:sz w:val="16"/>
          <w:szCs w:val="16"/>
          <w:color w:val="auto"/>
        </w:rPr>
        <w:t>) at a public offering price of $0.80 per share. The underwriter exercised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Over-Allotment Option with respect to 2,243,250 Option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and we completed the sale of the Exercised Option Shares, resulting in additional gross proceeds to us of $1,794,600. Net proceeds to us from the sale of the Shares and the Exercised Option Shares, after deducting underwriting discounts and commissions and offering expenses payable by us, were approximately $12.9 million.</w:t>
      </w:r>
    </w:p>
    <w:p>
      <w:pPr>
        <w:spacing w:after="0" w:line="17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 satisfy our obligations under the common stock purchase and registration rights agreements that we entered with Lincoln Park Capital Fund (</w:t>
      </w:r>
      <w:r>
        <w:rPr>
          <w:rFonts w:ascii="Arial" w:cs="Arial" w:eastAsia="Arial" w:hAnsi="Arial"/>
          <w:sz w:val="16"/>
          <w:szCs w:val="16"/>
          <w:i w:val="1"/>
          <w:iCs w:val="1"/>
          <w:color w:val="auto"/>
        </w:rPr>
        <w:t>LPC</w:t>
      </w:r>
      <w:r>
        <w:rPr>
          <w:rFonts w:ascii="Arial" w:cs="Arial" w:eastAsia="Arial" w:hAnsi="Arial"/>
          <w:sz w:val="16"/>
          <w:szCs w:val="16"/>
          <w:color w:val="auto"/>
        </w:rPr>
        <w:t xml:space="preserve">) in March 2020,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 on March 31, 2020 (Registration No. 333-237514), which the SEC declared effective on April 14, 2020 (the </w:t>
      </w:r>
      <w:r>
        <w:rPr>
          <w:rFonts w:ascii="Arial" w:cs="Arial" w:eastAsia="Arial" w:hAnsi="Arial"/>
          <w:sz w:val="16"/>
          <w:szCs w:val="16"/>
          <w:i w:val="1"/>
          <w:iCs w:val="1"/>
          <w:color w:val="auto"/>
        </w:rPr>
        <w:t>Commencement Date</w:t>
      </w:r>
      <w:r>
        <w:rPr>
          <w:rFonts w:ascii="Arial" w:cs="Arial" w:eastAsia="Arial" w:hAnsi="Arial"/>
          <w:sz w:val="16"/>
          <w:szCs w:val="16"/>
          <w:color w:val="auto"/>
        </w:rPr>
        <w:t>). Subsequent to the Commencement Date and through September 30, 2020, we sold 6,301,995 registered shares of our common stock to LPC and received aggregate cash proceeds to us of $2,891,200.</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PH94B, PH10,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for the three months ended September 30, 2020 and 2019 (amounts in thousands).</w:t>
      </w:r>
    </w:p>
    <w:p>
      <w:pPr>
        <w:spacing w:after="0" w:line="242" w:lineRule="exact"/>
        <w:rPr>
          <w:sz w:val="20"/>
          <w:szCs w:val="20"/>
          <w:color w:val="auto"/>
        </w:rPr>
      </w:pPr>
    </w:p>
    <w:p>
      <w:pPr>
        <w:ind w:left="934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(3,298)</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dividends on Series B Preferred Stock</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(3,645)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recognized $334,000 in sublicense revenue pursuant to the EverInsight Agreement in the quarter ended September 30, 2020 compared to none in the quarter ended September 30, 2019. As described more completely in Note 11, </w:t>
      </w:r>
      <w:r>
        <w:rPr>
          <w:rFonts w:ascii="Arial" w:cs="Arial" w:eastAsia="Arial" w:hAnsi="Arial"/>
          <w:sz w:val="16"/>
          <w:szCs w:val="16"/>
          <w:i w:val="1"/>
          <w:iCs w:val="1"/>
          <w:color w:val="auto"/>
        </w:rPr>
        <w:t>Sublicensing and Collaboration Agreements</w:t>
      </w:r>
      <w:r>
        <w:rPr>
          <w:rFonts w:ascii="Arial" w:cs="Arial" w:eastAsia="Arial" w:hAnsi="Arial"/>
          <w:sz w:val="16"/>
          <w:szCs w:val="16"/>
          <w:color w:val="auto"/>
        </w:rPr>
        <w:t xml:space="preserve">, to our Condensed Consolidated Financial Statements in Part I of this Report, on June 24, 2020 we entered into the EverInsight Agreement, pursuant to which we received a non-dilutive upfront license fee payment of $5.0 million on August 3, 2020. We expect to continue to recognize revenue pursuant to this payment in future periods during our fiscal year ending March 31, 2021 and thereafter, as described in Note 11, referenced previously. While we may potentially receive additional cash payments and royalties in the future under the EverInsight Agreement or the 2016 Bayer Agreement (also described in Note 11, </w:t>
      </w:r>
      <w:r>
        <w:rPr>
          <w:rFonts w:ascii="Arial" w:cs="Arial" w:eastAsia="Arial" w:hAnsi="Arial"/>
          <w:sz w:val="16"/>
          <w:szCs w:val="16"/>
          <w:i w:val="1"/>
          <w:iCs w:val="1"/>
          <w:color w:val="auto"/>
        </w:rPr>
        <w:t>Sublicensing and 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to our Condensed Consolidated Financial Statements in Part I of this Report) in the event certain performance-based milestones and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sales are achieved, there can be no assurance that the EverInsight Agreement or the Bayer Agreement will provide additional revenue beyond that noted or cash payments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decreased from $4.2 million to $2.4 million for the quarters ended September 30, 2019 and 2020, respectively, primarily due to the completion of the Elevate Study in the fourth calendar quarter of 2019. Expenses related to the Elevate Study and other AV-101 related nonclinical activities decreased by $2.3 million in the quarter ended September 30, 2020 compared to similar expenses in the quarter ended September 30, 2019. Noncash research and development expenses, primarily stock-based compensation and depreciation in both periods, accounted for approximately $122,400 and $167,500 in the quarters ended September 30, 2020 and 2019, respectively. The following table indicates the primary components of research and development expense for each of the periods (amounts in thousands):</w:t>
      </w:r>
    </w:p>
    <w:p>
      <w:pPr>
        <w:spacing w:after="0" w:line="166"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licenses and supplies: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Elevate study and other AV-101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PH94B and PH10 development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Stem cell and all 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2,358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Salaries and benefits expense is essentially unchanged between periods, reflecting no changes in compensation levels for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or members of our scientific staff between the periods. The increase reflects minor increases in the cost of Company-provided benefits beginning in mid-2020.</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Current year stock-based compensation expense reflects the amortization of option grants made to our CMO, CSO, members of our scientific staff and certain clinical and scientific consultants since August 2018, all earlier outstanding grants having become fully vested and amortized prior to the quarter ended September 30, 2020. Grants awarded after September 30, 2019, including those granted during the quarter ended September 30, 2020, account for approximately $70,000 of expense in the quarter ended September 30, 2020, offset by the expense reduction of approximately $117,000 attributable to certain options granted between June 2016 and August 2018 that became fully vested and amortized during the quarter ended September 30, 2020 or earlier.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Consulting and other professional services reflects fees incurred, generally on an as-needed basis, for project-based scientific, nonclinical and clinical development and regulatory advisory and analytical services rendered to us by third parties, including by members of our Scientific Advisory Board and CNS Clinical and Regulatory Advisory Board, especially in support of our PH94B and PH10 development initiatives. Prior year expense included development support payments to Pherin which terminated in April 2020 under the terms of our PH94B and PH10 license agreements and analytical services in support of PH94B development which did not recur in the quarter ended September 30,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Technology license and royalties expense reflects both recurring annual license fees, as well as legal counsel and other costs related to patent prosecution and protection pursuant to our stem cell technology license agreements, our AV-101 patents, or patents that we have elected to pursue for commercial purposes. These costs do not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AV-101 project expense for the quarter ended September 30, 2019 reflects the costs of conducting the Elevate Study in MDD, including various CROs, investigator and clinical site costs, and CRO support services for AV-101 projects for indications other than MDD, as well as expense incurred to manufacture additional quantities of AV-101 for use in potential future clinical development of AV-101 in a number of potential CNS indications. AV-101 project expense for the quarter ended September 30, 2020 primarily reflects the cost of certain preclinical studies related to the use of AV-101 in combination with probenecid, certain AV-101 manufacturing stability studies, and costs incurred to finalize the results of the Elevate Study for regulatory submission.</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PH94B and PH10 project expenses for the quarters ended September 30, 2020 and 2019 primarily reflect manufacturing and regulatory initiatives necessary to facilitate Phase 3 clinical development of PH94B for acute treatment of anxiety in patients with SAD and Phase 2B development of PH10 for MDD. Manufacturing, formulation and analysis of sufficient quantities of API and drug product are currently the critical path items for advancing the further clinical development of both PH94B and PH10, with costs for PH94B significantly exceeding those for PH10 in the quarter ended September 30, 2020.</w:t>
      </w:r>
    </w:p>
    <w:p>
      <w:pPr>
        <w:spacing w:after="0" w:line="16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Stem cell and other project related expenses reflects costs associated with drug rescue applications of our stem cell technology in both years. These expenses are typically incurred by our in-house scientific personnel. As a result of shelter-in-place and remote working requirements related to the ongoing COVID-19 pandemic, such expenses have been reduced to an insignificant level in the quarter ended September 30, 2020.</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projected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accompanying Condensed Consolidated Financial Statements in Part I of this Report for additional information. Following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ASC 842, changes in rent expense between periods are primarily related to changes in such items as common area maintenance fees, taxes and insurance which are generally assessed to us by our landlord.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 increased modestly to approximately $1.3 million from approximately $1.1 million for the quarters ended September 30, 2020 and 2019, respectively. Noncash general and administrative expense, $337,000 in the quarter ended September 30, 2020, increased from $272,000 in the quarter ended September 30, 2019 primarily due to the current year increase in stock-based compensation and amortization of EverInsight deferred contract acquisition costs offset by the prior year amortization of the fair value of common stock or warrants granted to service providers. The following table indicates the primary components of general and administrative expense for each of the periods (amounts in thousands):</w:t>
      </w:r>
    </w:p>
    <w:p>
      <w:pPr>
        <w:spacing w:after="0" w:line="165"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Insurance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Sublicense contract amortized acquisition expense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Rent and utilities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All other expenses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Salaries and benefits expense is essentially unchanged between periods, reflecting no changes in compensation levels for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Vice President-Corporate Development (</w:t>
      </w:r>
      <w:r>
        <w:rPr>
          <w:rFonts w:ascii="Arial" w:cs="Arial" w:eastAsia="Arial" w:hAnsi="Arial"/>
          <w:sz w:val="18"/>
          <w:szCs w:val="18"/>
          <w:i w:val="1"/>
          <w:iCs w:val="1"/>
          <w:color w:val="auto"/>
        </w:rPr>
        <w:t>VP Corporate Development</w:t>
      </w:r>
      <w:r>
        <w:rPr>
          <w:rFonts w:ascii="Arial" w:cs="Arial" w:eastAsia="Arial" w:hAnsi="Arial"/>
          <w:sz w:val="18"/>
          <w:szCs w:val="18"/>
          <w:color w:val="auto"/>
        </w:rPr>
        <w:t>) and immaterial increases in non-officer compensation and the cost of Company-provided benefits beginning in mid-2020.</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Current year stock-based compensation expense reflects the amortization of option grants made to our CEO, CFO, VP Corporate Development, administrative staff, independent members of our Board and certain consultants since September 2016, all earlier grants having become fully vested and amortized. The single grant made in September 2016 reached fully vested and amortized status during the quarter ended September 30, 2020. Grants awarded after September 30, 2019, including those granted during the quarter ended September 30, 2020, account for approximately $160,000 of expense in the quarter ended September 30, 2020, offset by an expense reduction of approximately $95,000 attributable to certain options granted between September 2016 and August 2018 that became fully vested and amortized during the quarter ended September 30, 2020 or earlier.</w:t>
      </w:r>
    </w:p>
    <w:p>
      <w:pPr>
        <w:spacing w:after="0" w:line="172"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Board fees and other consulting services represents, in both periods, fees paid as consideration for Board and Board Committee services to the independent members of our Board of Directors and, in the current year, other consulting service fees related to commercial market analyses of both PH94B and PH10.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Legal, accounting and other professional fees for the quarters ended September 30, 2020 and 2019 includes expenses related to routine legal services as well as accounting services related to the quarterly review of our current year financial statements. In 2020, we incurred additional consulting fees related to revenue recognition accounting for the EverInsight Agreement and, in 2019, we incurred fees attributable to services provided by an international business development consultant.</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public relations and social media services, and well as market awareness and strategic advisory and support functions and initiatives that, in 2019, included numerous in-person meetings in multiple U.S. and certain foreign markets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During the current fiscal year, we have curtailed the number of external service providers engaged in these activities compared to the prior year. Further, in the quarter ended September 30, 2019, in addition to cash fees and expenses we incurred for such activities, we recognized approximately $26,500 of noncash expense attributable to the amortization of the fair value of stock and warrants granted in previous periods to various corporate development, investor relations, and market awareness service providers. No such noncash expense was incurred in the quarter ended September 30, 2020.</w:t>
      </w:r>
    </w:p>
    <w:p>
      <w:pPr>
        <w:spacing w:after="0" w:line="18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increase in insurance expense is primarily attributable to the market-rate increase in the premium for our directors and officers liability insurance upon renewal of our policy in May 2020.</w:t>
      </w:r>
    </w:p>
    <w:p>
      <w:pPr>
        <w:spacing w:after="0" w:line="18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the quarter ended September 30, 2019, travel expense reflects limited costs associated with in-person management presentations and meetings held in the U.S. with existing and potential individual and institutional investors, investment professionals and advisors, media, and securities analysts. As a result of periodic shelter-in-place restrictions and travel and workplace precautions and restrictions associated with the ongoing COVID-19 pandemic, during most of 2020, such meetings have generally occurred remotely without requiring in-person business travel by our executives.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projected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accompanying Condensed Consolidated Financial Statements in Part I of this Report for additional information. Following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ASC 842, changes in rent expense between periods are primarily related to changes in such items as common area maintenance fees, taxes and insurance which are generally assessed to us by our landlord.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Beginning in the quarter ended September 30, 2020, we began to amortize the deferred contract acquisition costs related to our acquisition of the EverInsight Agreement,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EverInsight Agreement. The contract acquisition costs are amortized over the expected term of the services to be provided under the EverInsight Agreement. During the quarter ended September 30, 2020, we amortized $31,400 of contract acquisition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Interest expense, net totaled $3,900 for the quarter ended September 30, 2020 compared to interest income, net of interest expense of $15,400 for the quarter ended September 30, 2019. The following table indicates the primary components of interest income and expense for each of the periods (amounts in thousands):</w:t>
      </w:r>
    </w:p>
    <w:p>
      <w:pPr>
        <w:spacing w:after="0" w:line="189"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Interest expense on financing lease, insurance premium financing notes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80" w:type="dxa"/>
            <w:vAlign w:val="bottom"/>
          </w:tcPr>
          <w:p>
            <w:pPr>
              <w:ind w:left="80"/>
              <w:spacing w:after="0"/>
              <w:rPr>
                <w:sz w:val="20"/>
                <w:szCs w:val="20"/>
                <w:color w:val="auto"/>
              </w:rPr>
            </w:pPr>
            <w:r>
              <w:rPr>
                <w:rFonts w:ascii="Arial" w:cs="Arial" w:eastAsia="Arial" w:hAnsi="Arial"/>
                <w:sz w:val="18"/>
                <w:szCs w:val="18"/>
                <w:color w:val="auto"/>
              </w:rPr>
              <w:t>and Payroll Protection Program loan</w:t>
            </w:r>
          </w:p>
        </w:tc>
        <w:tc>
          <w:tcPr>
            <w:tcW w:w="7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completion of our underwritten public offering in February 2019, which generated $11.5 million in gross proceeds to us, during the quarter ended June 30, 2019, we deposited a portion of such proceeds in interest-bearing cash equivalent accounts and earned interest income. As a result of the decline in market interest rates during 2020 compared to 2019 and a reduction in the average amount of cash deposited in such accounts, we earned $2,000 of interest on deposited funds in the quarter ended September 30, 2020. Interest expense in both periods relates to interest paid on insurance premium financing notes and on our financing lease of office equipment subject to ASC 842, and in 2020, interest accrued on our Payroll Protection Program loan.</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$347,200 and $313,800 for the quarters ended September 30, 2020 and 2019, respectively, representing the 10% cumulative dividend accrued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September 30,2020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for the six months ended September 30, 2020 and 2019 (amounts in thousands).</w:t>
      </w:r>
    </w:p>
    <w:p>
      <w:pPr>
        <w:spacing w:after="0" w:line="242"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ind w:left="95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(6,422)</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(683)</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(7,108)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recognized $334,000 in sublicense revenue pursuant to the EverInsight Agreement in the six months ended September 30, 2020 compared to none in the six months ended September 30, 2019. As described more completely in Note 11, </w:t>
      </w:r>
      <w:r>
        <w:rPr>
          <w:rFonts w:ascii="Arial" w:cs="Arial" w:eastAsia="Arial" w:hAnsi="Arial"/>
          <w:sz w:val="16"/>
          <w:szCs w:val="16"/>
          <w:i w:val="1"/>
          <w:iCs w:val="1"/>
          <w:color w:val="auto"/>
        </w:rPr>
        <w:t>Sublicensing and Collaboration Agreements</w:t>
      </w:r>
      <w:r>
        <w:rPr>
          <w:rFonts w:ascii="Arial" w:cs="Arial" w:eastAsia="Arial" w:hAnsi="Arial"/>
          <w:sz w:val="16"/>
          <w:szCs w:val="16"/>
          <w:color w:val="auto"/>
        </w:rPr>
        <w:t xml:space="preserve">, to our Condensed Consolidated Financial Statements in Part I of this Report, in June 2020, we entered into the EverInsight Agreement, pursuant to which we received a non-dilutive upfront license fee payment of $5.0 million in August 2020. We expect to continue to recognize revenue pursuant to this payment in future periods during our fiscal year ending March 31, 2021 and thereafter, as described in Note 11, referenced previously. While we may potentially receive additional cash payments and royalties in the future under the EverInsight Agreement or the 2016 Bayer Agreement (also described in Note 11, </w:t>
      </w:r>
      <w:r>
        <w:rPr>
          <w:rFonts w:ascii="Arial" w:cs="Arial" w:eastAsia="Arial" w:hAnsi="Arial"/>
          <w:sz w:val="16"/>
          <w:szCs w:val="16"/>
          <w:i w:val="1"/>
          <w:iCs w:val="1"/>
          <w:color w:val="auto"/>
        </w:rPr>
        <w:t>Sublicensing and Collaborative Agreements</w:t>
      </w:r>
      <w:r>
        <w:rPr>
          <w:rFonts w:ascii="Arial" w:cs="Arial" w:eastAsia="Arial" w:hAnsi="Arial"/>
          <w:sz w:val="16"/>
          <w:szCs w:val="16"/>
          <w:color w:val="auto"/>
        </w:rPr>
        <w:t>, to our Condensed Consolidated Financial Statements in Part I of this Report) in the event certain performance-based milestones and commercial sales are achieved, there can be no assurance that the EverInsight Agreement or the Bayer Agreement will provide additional revenue beyond that noted or cash payments to us in the near term,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decreased from $8.5 million to $4.1 million for the six months ended September 30, 2019 and 2020, respectively, primarily due to the completion of the Elevate Study in the fourth calendar quarter of 2019. Expenses related to the Elevate Study and other AV-101 related nonclinical activities decreased by $4.8 million in the six months ended September 30, 2020 compared to expense in the six months ended September 30, 2019. Noncash research and development expenses, primarily stock-based compensation and depreciation in both periods, accounted for approximately $391,000 and $607,000 in the six months ended September 30, 2020 and 2019, respectively. The following table indicates the primary components of research and development expense for each of the periods (amounts in thousands):</w:t>
      </w:r>
    </w:p>
    <w:p>
      <w:pPr>
        <w:spacing w:after="0" w:line="166"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licenses and supplies: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Elevate study and other AV-101 expenses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PH94B and PH10 development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Stem cell and all 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4,090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Salaries and benefits expense is essentially unchanged between periods, reflecting no changes in compensation levels for our CMO, CSO, or members of our scientific staff between the periods. The increase reflects the return from leave of absence of one member of our scientific staff during the quarter ended June 30, 2019 and minor increases in the cost of Company-provided benefits beginning in mid-2020.</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Current year stock-based compensation expense reflects the amortization of option grants made to our CMO, CSO, members of our scientific staff and certain clinical and scientific consultants since June 2016, all earlier outstanding grants having become fully vested and amortized prior to September 30, 2020. Grants awarded after September 30, 2019, including those granted during the six months ended September 30, 2020, account for approximately $171,000 of expense in the six months ended September 30, 2020, offset by an expense reduction of approximately $326,000 attributable to certain options granted between June 2016 and August 2018 that became fully vested and amortized during the six months ended September 30, 2020 or earlier. Stock compensation expense is further reduced in the six months ended September 30, 2020 by approximately $58,000 due to the absence of the impact of immediate vesting attributable to certain options granted in May 2019. Expense attributable to recent option grants is generally being amortized over two-year to three-year vesting periods, with essentially all of the grants made since May 2019, including those made in the six months ended September 30, 2020, being 25% vested and expensed upon grant, in accordance with the terms of the respective grants.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Consulting and other professional services reflects fees incurred, generally on an as-needed basis, for project-based scientific, nonclinical and clinical development and regulatory advisory and analytical services rendered to us by third parties, including by members of our Scientific Advisory Board and CNS Clinical and Regulatory Advisory Board, especially in support of our PH94B and PH10 development initiatives. Current year expense reflects a reduction of $50,000 in development support payments to Pherin which terminated in April 2020 under the terms of our PH94B and PH10 license agreements and an $88,000 reduction in analytical services in support of PH94B and PH10 development compared to the prior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Technology license and royalties expense reflects both recurring annual license fees, as well as legal counsel and other costs related to patent prosecution and protection pursuant to our stem cell technology license agreements, our AV-101 patents, or patents that we have elected to pursue for commercial purposes. These costs do not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project expense for the six months ended September 30, 2019 reflects the costs of actively conducting the Elevate Study in MDD, including various CROs, investigator and clinical site costs, and CRO support services for AV-101 projects for indications other than MDD, as well as expense incurred to manufacture additional quantities of AV-101 for use in potential future clinical development of AV-101 in a number of potential CNS indications. AV-101 project expense for the six months ended September 30, 2020 primarily reflects the cost of certain preclinical studies related to the use of AV-101 with adjunctive probenecid and certain AV-101 manufacturing stability studies, and costs incurred to finalize the results of the Elevate Study for regulatory submission.</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PH94B and PH10 project expenses for the six months ended September 30, 2020 and 2019 primarily reflect manufacturing and regulatory initiatives necessary to facilitate Phase 3 clinical development of PH94B for acute treatment of anxiety in patients with SAD and Phase 2B development of PH10 for MDD. Manufacturing, formulation and analysis of sufficient quantities of API and drug product are currently the critical path items for further advancing the nonclinical and clinical development of both PH94B and PH10, with costs for with costs for PH94B significantly exceeding those for PH10 in the quarter ended September 30, 2020. From time to time, during the six months ended September 30, 2020, production and analytical processes for both of these product candidates have been delayed due to the ongoing COVID-19 pandemic.</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Stem cell and other project related expenses reflects costs associated with drug rescue applications of our stem cell technology in both years. These expenses are typically incurred by our in-house scientific personnel. As a result of shelter-in-place and remote working requirements related to the ongoing COVID-19 pandemic, such expenses have been reduced to an insignificant level during the six months ended September 30, 2020.</w:t>
      </w:r>
    </w:p>
    <w:p>
      <w:pPr>
        <w:spacing w:after="0" w:line="1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projected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accompanying Condensed Consolidated Financial Statements in Part I of this Report for additional information. Following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ASC 842, the increase in rent expense between periods is primarily related to increases in such items as common area maintenance fees, taxes and insurance which are generally assessed to us by our landlord.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 decreased to approximately $2.7 million from approximately $3.1 million for the six months ended September 30, 2020 and 2019, respectively. Noncash general and administrative expense, $804,000 in the six months ended September 30, 2020, decreased from $1,044,000 in the six months ended September 30, 2019 primarily due to decreases in stock-based compensation and the noncash components of investor and public relations expense attributable to the amortization of the fair value of common stock or warrants granted to service providers, offset by the amortization of EverInsight deferred contract acquisition costs. The following table indicates the primary components of general and administrative expense for each of the periods (amounts in thousands):</w:t>
      </w:r>
    </w:p>
    <w:p>
      <w:pPr>
        <w:spacing w:after="0" w:line="195"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5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4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Insurance</w:t>
            </w: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Rent and utilities</w:t>
            </w: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Sublicense contract amortized acquisition expense</w:t>
            </w:r>
          </w:p>
        </w:tc>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All other expenses</w:t>
            </w:r>
          </w:p>
        </w:tc>
        <w:tc>
          <w:tcPr>
            <w:tcW w:w="4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4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580" w:type="dxa"/>
            <w:vAlign w:val="bottom"/>
            <w:vMerge w:val="restart"/>
          </w:tcPr>
          <w:p>
            <w:pPr>
              <w:jc w:val="right"/>
              <w:ind w:right="3232"/>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0" w:right="339" w:bottom="1440" w:gutter="0" w:footer="0" w:header="0"/>
        </w:sectPr>
      </w:pPr>
    </w:p>
    <w:bookmarkStart w:id="38" w:name="page39"/>
    <w:bookmarkEnd w:id="3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Salaries and benefits expense is essentially unchanged between periods, reflecting no changes in compensation levels for our CEO, CFO, VP Corporate Development and immaterial increases in non-officer compensation and Company-provided benefits beginning in mid-2020.</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Current year stock-based compensation expense reflects the amortization of option grants made to our CEO, CFO, VP Corporate Development, administrative staff, independent members of our Board and certain consultants since June 2016, all earlier grants having become fully vested and amortized prior to September 30, 2020. Grants awarded after September 30, 2019, including those granted during the six months ended September 30, 2020, account for approximately $383,000 of expense in the six months ended September 30, 2020, offset by an expense reduction of approximately $444,000 attributable to certain options granted between June 2016 and August 2018 that became fully vested and amortized during the six months ended September 30, 2020 or earlier. Stock compensation expense is further reduced in the six months ended September 30, 2020 by approximately $98,000 due to the absence of the impact of immediate vesting attributable to certain options granted in May 2019. Expense attributable to recent option grants is generally being amortized over two-year to three-year vesting periods, with essentially all of the grants made since May 2019, including those made during the six months ended September 30, 2020, being 25% vested and expensed upon grant, in accordance with the terms of the respective grants.</w:t>
      </w:r>
    </w:p>
    <w:p>
      <w:pPr>
        <w:spacing w:after="0" w:line="177" w:lineRule="exact"/>
        <w:rPr>
          <w:sz w:val="20"/>
          <w:szCs w:val="20"/>
          <w:color w:val="auto"/>
        </w:rPr>
      </w:pPr>
    </w:p>
    <w:p>
      <w:pPr>
        <w:jc w:val="both"/>
        <w:ind w:right="20"/>
        <w:spacing w:after="0" w:line="369" w:lineRule="auto"/>
        <w:rPr>
          <w:sz w:val="20"/>
          <w:szCs w:val="20"/>
          <w:color w:val="auto"/>
        </w:rPr>
      </w:pPr>
      <w:r>
        <w:rPr>
          <w:rFonts w:ascii="Arial" w:cs="Arial" w:eastAsia="Arial" w:hAnsi="Arial"/>
          <w:sz w:val="15"/>
          <w:szCs w:val="15"/>
          <w:color w:val="auto"/>
        </w:rPr>
        <w:t>Board fees and other consulting services represents, in both periods, fees paid as consideration for Board and Board Committee services to the independent members of our Board of Directors and, additionally in the current year, other consulting service fees related to commercial analyses of both PH94B and PH10.</w:t>
      </w:r>
    </w:p>
    <w:p>
      <w:pPr>
        <w:spacing w:after="0" w:line="11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Legal, accounting and other professional fees for the six months ended September 30, 2020 and 2019 includes expense related to routine legal fees as well as the accounting expense related to the annual audit of our prior year financial statements and the quarterly review of our first quarter current year financial statements. In 2020, we incurred additional consulting fees related to revenue recognition accounting for the EverInsight Agreement and, in 2019, we incurred fees attributable to services provided by an international business development consultant.</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Investor and public relations expense includes the fees of our various external service providers for a broad spectrum of investor relations, public relations and social media services, and well as market awareness and strategic advisory and support functions and initiatives that, in 2019, included numerous in-person meetings in multiple U.S. and certain foreign markets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 During the six months ended September 30, 2020, we curtailed the number of external service providers engaged in these activities compared to the prior year. Further, in the six months ended September 30, 2019, in addition to cash fees and expenses we incurred for such activities, we recognized approximately $105,900 of noncash expense attributable to the amortization of the fair value of stock and warrants granted in previous periods to various corporate development, investor relations, and market awareness service providers. No such noncash expense was incurred in the six months ended September 30, 2020.</w:t>
      </w:r>
    </w:p>
    <w:p>
      <w:pPr>
        <w:spacing w:after="0" w:line="18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The increase in insurance expense is primarily attributable to the market-rate increase in the premium for our directors and officers liability insurance upon renewal of our policy in May 2020.</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six months ended September 30, 2019, travel expense reflects costs associated with in-person management presentations and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and in monitoring the progress of our Elevate Study As a result of periodic shelter-in-place restrictions and travel and workplace precautions and restrictions associated with the ongoing COVID-19 pandemic, during six months ended September 30, 2020, such meetings have occurred remotely without requiring in-person business travel by our executives.</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In implementing ASC 842, we also projected that we would exercise a five-year option to extend our tenancy under the lease when it expires in 2022, which extension would be subject to projected market rent conditions at that time. We allocate total rent expense for our South San Francisco facility between research and development expense and general and administrative expense based generally on square footage dedicated to each function. Refer to Note 10,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accompanying Condensed Consolidated Financial Statements in Part I of this Report for additional information. Following our</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implementation of ASC 842, increases or decreases in rent expense between periods are primarily related to changes in such items as common area maintenance fees, taxes and insurance which are generally assessed to us by our landlord.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Beginning in the quarter ended September 30, 2020, we began to amortize the deferred contract acquisition costs related to our acquisition of the EverInsight Agreement, composed of the cash payments of $220,000 for sublicense fees which we were obligated to make pursuant to our PH94B license from Pherin, and $125,000 of cash fees and $125,000 fair value of common stock issued for consulting services, in each case exclusively related to our acquisition of the EverInsight Agreement. The contract acquisition costs are amortized over the expected term of the services to be provided under the EverInsight Agreement. During the six months ended September 30, 2020, we have amortized $31,400 of contract acquisition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Interest expense, net totaled $7,100 for the six months ended September 30, 2020 compared to interest income, net of interest expense of $31,900 for the six months ended September 30, 2019. The following table indicates the primary components of interest income and expense for each of the periods (amounts in thousands):</w:t>
      </w:r>
    </w:p>
    <w:p>
      <w:pPr>
        <w:spacing w:after="0" w:line="189"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Interest expense on financing lease, insurance premium financing notes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80" w:type="dxa"/>
            <w:vAlign w:val="bottom"/>
          </w:tcPr>
          <w:p>
            <w:pPr>
              <w:ind w:left="80"/>
              <w:spacing w:after="0"/>
              <w:rPr>
                <w:sz w:val="20"/>
                <w:szCs w:val="20"/>
                <w:color w:val="auto"/>
              </w:rPr>
            </w:pPr>
            <w:r>
              <w:rPr>
                <w:rFonts w:ascii="Arial" w:cs="Arial" w:eastAsia="Arial" w:hAnsi="Arial"/>
                <w:sz w:val="18"/>
                <w:szCs w:val="18"/>
                <w:color w:val="auto"/>
              </w:rPr>
              <w:t>and Payroll Protection Program loan</w:t>
            </w:r>
          </w:p>
        </w:tc>
        <w:tc>
          <w:tcPr>
            <w:tcW w:w="7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Following the completion of our underwritten public offering in February 2019, which generated $11.5 million in gross proceeds to us, during the quarter ended June 30, 2019, we deposited a portion of such proceeds in interest-bearing cash equivalent accounts and earned interest income. As a result of the decline in market interest rates during 2020 compared to 2019 and a reduction in the average amount of cash deposited in such accounts, we have earned nominal interest on deposited funds in the six months ended September 30, 2020. Interest expense in both periods relates to interest paid on insurance premium financing notes and on our financing lease of office equipment subject to ASC 842, and in 2020, interest accrued on our Payroll Protection Program loan.</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recognized $683,000 and $616,300 for the six months ended September 30, 2020 and 2019, respectively, representing the 10% cumulative dividend accrued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as an additional deduction in arriving at net loss attributable to common stockholders in the accompanying Condensed Consolidated Statement of Operations and Comprehensive Loss included in Part I of this Report. There have been no conversions of outstanding shares of Series B Preferred stock into shares of our common stock since August 2016.</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in May 1998 through September 30, 2020, we have financed our operations and technology acquisitions primarily through the issuance and sale of our equity and debt securities for cash proceeds of approximately $99.2 million, as well as from an aggregate of approximately $22.7 million of government research grant awards (excluding the fair market value of government sponsored and funded clinical trials), strategic collaboration payments,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At September 30, 2020, we had cash and cash equivalents of approximately $15.4 million. As described more completely in Note 8,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to our Condensed Consolidated Financial Statements in Part I of this Report, on August 2, 2020, we entered into an underwriting agreement (the </w:t>
      </w:r>
      <w:r>
        <w:rPr>
          <w:rFonts w:ascii="Arial" w:cs="Arial" w:eastAsia="Arial" w:hAnsi="Arial"/>
          <w:sz w:val="16"/>
          <w:szCs w:val="16"/>
          <w:i w:val="1"/>
          <w:iCs w:val="1"/>
          <w:color w:val="auto"/>
        </w:rPr>
        <w:t>Underwriting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pursuant to which we sold, in an underwritten public offering (the</w:t>
      </w:r>
      <w:r>
        <w:rPr>
          <w:rFonts w:ascii="Arial" w:cs="Arial" w:eastAsia="Arial" w:hAnsi="Arial"/>
          <w:sz w:val="16"/>
          <w:szCs w:val="16"/>
          <w:i w:val="1"/>
          <w:iCs w:val="1"/>
          <w:color w:val="auto"/>
        </w:rPr>
        <w:t xml:space="preserve"> August 2020 Public Offering</w:t>
      </w:r>
      <w:r>
        <w:rPr>
          <w:rFonts w:ascii="Arial" w:cs="Arial" w:eastAsia="Arial" w:hAnsi="Arial"/>
          <w:sz w:val="16"/>
          <w:szCs w:val="16"/>
          <w:color w:val="auto"/>
        </w:rPr>
        <w:t>), an aggregate of 15,625,000 shares (the S</w:t>
      </w:r>
      <w:r>
        <w:rPr>
          <w:rFonts w:ascii="Arial" w:cs="Arial" w:eastAsia="Arial" w:hAnsi="Arial"/>
          <w:sz w:val="16"/>
          <w:szCs w:val="16"/>
          <w:i w:val="1"/>
          <w:iCs w:val="1"/>
          <w:color w:val="auto"/>
        </w:rPr>
        <w:t>hares</w:t>
      </w:r>
      <w:r>
        <w:rPr>
          <w:rFonts w:ascii="Arial" w:cs="Arial" w:eastAsia="Arial" w:hAnsi="Arial"/>
          <w:sz w:val="16"/>
          <w:szCs w:val="16"/>
          <w:color w:val="auto"/>
        </w:rPr>
        <w: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common stock for a public offering price of $0.80 per Share, resulting in gross proceeds to us of $12,500,000. The August 2020 Public Offering closed on August 5, 2020. Under the terms of the Underwriting Agreement, we granted to the underwriter an over-allotment option (the </w:t>
      </w:r>
      <w:r>
        <w:rPr>
          <w:rFonts w:ascii="Arial" w:cs="Arial" w:eastAsia="Arial" w:hAnsi="Arial"/>
          <w:sz w:val="16"/>
          <w:szCs w:val="16"/>
          <w:i w:val="1"/>
          <w:iCs w:val="1"/>
          <w:color w:val="auto"/>
        </w:rPr>
        <w:t>Over-Allotment Option</w:t>
      </w:r>
      <w:r>
        <w:rPr>
          <w:rFonts w:ascii="Arial" w:cs="Arial" w:eastAsia="Arial" w:hAnsi="Arial"/>
          <w:sz w:val="16"/>
          <w:szCs w:val="16"/>
          <w:color w:val="auto"/>
        </w:rPr>
        <w:t xml:space="preserve">) to purchase up to an additional 2,343,750 Shares (the </w:t>
      </w:r>
      <w:r>
        <w:rPr>
          <w:rFonts w:ascii="Arial" w:cs="Arial" w:eastAsia="Arial" w:hAnsi="Arial"/>
          <w:sz w:val="16"/>
          <w:szCs w:val="16"/>
          <w:i w:val="1"/>
          <w:iCs w:val="1"/>
          <w:color w:val="auto"/>
        </w:rPr>
        <w:t>Option Shares</w:t>
      </w:r>
      <w:r>
        <w:rPr>
          <w:rFonts w:ascii="Arial" w:cs="Arial" w:eastAsia="Arial" w:hAnsi="Arial"/>
          <w:sz w:val="16"/>
          <w:szCs w:val="16"/>
          <w:color w:val="auto"/>
        </w:rPr>
        <w:t xml:space="preserve">) at a public offering price of $0.80 per share. On August 5, 2020, the underwriter exercised the Over-Allotment Option with respect to 2,243,250 Option Shares (the </w:t>
      </w:r>
      <w:r>
        <w:rPr>
          <w:rFonts w:ascii="Arial" w:cs="Arial" w:eastAsia="Arial" w:hAnsi="Arial"/>
          <w:sz w:val="16"/>
          <w:szCs w:val="16"/>
          <w:i w:val="1"/>
          <w:iCs w:val="1"/>
          <w:color w:val="auto"/>
        </w:rPr>
        <w:t>Exercised Option Shares</w:t>
      </w:r>
      <w:r>
        <w:rPr>
          <w:rFonts w:ascii="Arial" w:cs="Arial" w:eastAsia="Arial" w:hAnsi="Arial"/>
          <w:sz w:val="16"/>
          <w:szCs w:val="16"/>
          <w:color w:val="auto"/>
        </w:rPr>
        <w:t>). We completed the sale of the Exercised Option Shares on August 7, 2020, resulting in additional gross proceeds to us of $1,794,600. Net proceeds to us from the sale of the Shares and the Exercised Option Shares, after deducting underwriting discounts and commissions and offering expenses payable by us, were approximately $12.9 million.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more completely described in Note 11, </w:t>
      </w:r>
      <w:r>
        <w:rPr>
          <w:rFonts w:ascii="Arial" w:cs="Arial" w:eastAsia="Arial" w:hAnsi="Arial"/>
          <w:sz w:val="16"/>
          <w:szCs w:val="16"/>
          <w:i w:val="1"/>
          <w:iCs w:val="1"/>
          <w:color w:val="auto"/>
        </w:rPr>
        <w:t>Sublicensing and Collaboration Agreements</w:t>
      </w:r>
      <w:r>
        <w:rPr>
          <w:rFonts w:ascii="Arial" w:cs="Arial" w:eastAsia="Arial" w:hAnsi="Arial"/>
          <w:sz w:val="16"/>
          <w:szCs w:val="16"/>
          <w:color w:val="auto"/>
        </w:rPr>
        <w:t xml:space="preserve">, to our Condensed Consolidated Financial Statements in Part I of this Report, in June 2020, we entered into a strategic licensing and collaboration agreement for the clinical development and commercialization of PH94B for acute treatment of anxiety in adults with SAD and other potential anxiety-related disorders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with EverInsight Therapeutics Inc., (</w:t>
      </w:r>
      <w:r>
        <w:rPr>
          <w:rFonts w:ascii="Arial" w:cs="Arial" w:eastAsia="Arial" w:hAnsi="Arial"/>
          <w:sz w:val="16"/>
          <w:szCs w:val="16"/>
          <w:i w:val="1"/>
          <w:iCs w:val="1"/>
          <w:color w:val="auto"/>
        </w:rPr>
        <w:t>EverInsight</w:t>
      </w:r>
      <w:r>
        <w:rPr>
          <w:rFonts w:ascii="Arial" w:cs="Arial" w:eastAsia="Arial" w:hAnsi="Arial"/>
          <w:sz w:val="16"/>
          <w:szCs w:val="16"/>
          <w:color w:val="auto"/>
        </w:rPr>
        <w:t>), a biopharmaceutical company focused on developing and commercializing transformative pharmaceutical products for patients in Greater China and other parts of Asia, and funded by CBC Group, global venture capital firm. In October 2020 it was announced that EverInsight is to merge with AffaMed Therapeutics, another biopharmaceutical company funded by CBC Group, which as a combined, complementary entity would focus on developing and commercializing therapeutics to address ophthalmologic and CNS disorders in Greater China and beyond. Under the terms of the EverInsight Agreement, EverInsight agreed to make a non-dilutive upfront license payment of $5.0 million to us, which we received in August 2020. Upon successful development and commercialization of PH94B, we are also eligible to receive up to $172 million in additional development and commercial milestone payments, plus royalties on commercial sales in the licensed territory. The $5.0 million upfront license payment resulted in net cash proceeds to us of approximately $4.655 million after the sublicense payment we agreed to make to Pherin Pharmaceuticals, Inc. (</w:t>
      </w:r>
      <w:r>
        <w:rPr>
          <w:rFonts w:ascii="Arial" w:cs="Arial" w:eastAsia="Arial" w:hAnsi="Arial"/>
          <w:sz w:val="16"/>
          <w:szCs w:val="16"/>
          <w:i w:val="1"/>
          <w:iCs w:val="1"/>
          <w:color w:val="auto"/>
        </w:rPr>
        <w:t>Pherin</w:t>
      </w:r>
      <w:r>
        <w:rPr>
          <w:rFonts w:ascii="Arial" w:cs="Arial" w:eastAsia="Arial" w:hAnsi="Arial"/>
          <w:sz w:val="16"/>
          <w:szCs w:val="16"/>
          <w:color w:val="auto"/>
        </w:rPr>
        <w:t>) pursuant to our PH94B license from Pherin, and payment for consulting services related to the EverInsight Agreement.</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more completely described in Note 8, </w:t>
      </w:r>
      <w:r>
        <w:rPr>
          <w:rFonts w:ascii="Arial" w:cs="Arial" w:eastAsia="Arial" w:hAnsi="Arial"/>
          <w:sz w:val="16"/>
          <w:szCs w:val="16"/>
          <w:i w:val="1"/>
          <w:iCs w:val="1"/>
          <w:color w:val="auto"/>
        </w:rPr>
        <w:t>Capital Stock</w:t>
      </w:r>
      <w:r>
        <w:rPr>
          <w:rFonts w:ascii="Arial" w:cs="Arial" w:eastAsia="Arial" w:hAnsi="Arial"/>
          <w:sz w:val="16"/>
          <w:szCs w:val="16"/>
          <w:color w:val="auto"/>
        </w:rPr>
        <w:t>, to our Condensed Consolidated Financial Statements in Part I of this Report, on March 24, 2020, we entered into a purchase agreement and a registration rights agreement with Lincoln Park Capital Fund (</w:t>
      </w:r>
      <w:r>
        <w:rPr>
          <w:rFonts w:ascii="Arial" w:cs="Arial" w:eastAsia="Arial" w:hAnsi="Arial"/>
          <w:sz w:val="16"/>
          <w:szCs w:val="16"/>
          <w:i w:val="1"/>
          <w:iCs w:val="1"/>
          <w:color w:val="auto"/>
        </w:rPr>
        <w:t>Lincoln Park</w:t>
      </w:r>
      <w:r>
        <w:rPr>
          <w:rFonts w:ascii="Arial" w:cs="Arial" w:eastAsia="Arial" w:hAnsi="Arial"/>
          <w:sz w:val="16"/>
          <w:szCs w:val="16"/>
          <w:color w:val="auto"/>
        </w:rPr>
        <w:t xml:space="preserve">) pursuant to which Lincoln Park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To satisfy our obligations under the registration rights agreement, we filed a Registration Statement on Form S-1 (the </w:t>
      </w:r>
      <w:r>
        <w:rPr>
          <w:rFonts w:ascii="Arial" w:cs="Arial" w:eastAsia="Arial" w:hAnsi="Arial"/>
          <w:sz w:val="16"/>
          <w:szCs w:val="16"/>
          <w:i w:val="1"/>
          <w:iCs w:val="1"/>
          <w:color w:val="auto"/>
        </w:rPr>
        <w:t>LPC Registration Statement</w:t>
      </w:r>
      <w:r>
        <w:rPr>
          <w:rFonts w:ascii="Arial" w:cs="Arial" w:eastAsia="Arial" w:hAnsi="Arial"/>
          <w:sz w:val="16"/>
          <w:szCs w:val="16"/>
          <w:color w:val="auto"/>
        </w:rPr>
        <w:t xml:space="preserve">)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March 31, 2020, which the SEC declared effective on April 14, 2020 (Registration No. 333-237514). Subsequent to the effectiveness of the LPC Registration Statement, through September 30, 2020, we sold 6,301,995 registered shares of our common stock to Lincoln Park and received gross cash proceeds of $2,891,200. At September 30, 2020 and through the date of this Report, there are approximately 2.04 million registered shares of our common stock remaining available for sale under the LPC Agreement. We have no obligation to sell any additional shares to LPC under the LPC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Although the transactions described above have generated approximately $20.0 million in net cash proceeds to us between April 1, 2020 and the date of this Report, we believe it is probable that our cash position at September 30, 2020, which reflects such net proceeds will not be sufficient to fund our planned operations for the twelve months following the issuance of these financial statements, which raises substantial doubt that we can continue as a going concern. During the next twelve months, subject to securing appropriate and adequate additional financing, we plan to (i) prepare for and launch a pivotal Phase 3 clinical trial of PH94B for acute treatment of anxiety in adult patients with SAD, (ii) prepare for and launch a small exploratory Phase 2A study of PH94B for acute treatment of adult patients with adjustment disorder, (iii) prepare for and potentially launch small exploratory Phase 2A clinical studies of PH94B in postpartum anxiety, post-traumatic stress disorder and/or pre-procedural (pre-MRI) anxiety, (iv) assess and potentially launch a Phase 1 study of AV-101 in combination with probenecid to enable exploratory Phase 2A development of the combination for treatment of CNS disorders, and (v) conduct several nonclinical studies involving PH94B, PH10 and AV-101. When necessary and advantageous, we plan to raise additional capital through the sale of our equity securities in one or more private placements to accredited investors, public offerings and/or in strategic licensing and development collaborations involving one or more of our drug candidates in markets outside the United States, similar to the EverInsight Agreement. Subject to certain restrictions, our Registration Statement on Form S-3 (Registration No. 333-234025)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which became effective on October 7, 2019 and was used to register the Shares and the Exercised Option Shares sold in the August 2020 Public Offering, remains available for future sales of our equity securities in one or more public offerings from time to time. While we may make additional sales of our equity securities under the S-3 Registration Statement, we do not have an obligation to do so. Further, at September 30, 2020 and through the date of this Report, there are approximately 2.04 million registered shares of our common stock remaining available for sale under the LPC Agreement. We have no obligation to sell any additional shares to LPC under the LPC Agreement.</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we have been in the past, we expect that, when and as necessary, we will be successful in raising additional capital from the sale of our equity securities either in one or more public offerings or in one or more private placement transactions. In addition to the potential sale of our equity securities, we may also seek to enter research, development and/or commercialization collaborations similar to the EverInsight Agreement and the Bayer Agreement that could generate revenue or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EverInsight Agreement and the Bayer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future working capital requirements will depend on many factors, including, without limitation, potential impacts related to the current COVID-19 pandemic, the scope and nature of opportunities related to our success and the success of certain other companies in nonclinical and clinical trials, including our development and commercialization of our current product candidates and various applications of our stem cell technology platform, the availability of, and our ability to obtain, government grant awards and agreements, and our ability to enter into collaborations on terms acceptable to us. To further advance the clinical development of PH94B, PH10, and AV-101 and, to a lesser extent, our stem cell technology platform, as well as support our operating activities, we plan to continue to carefully manage our routine operating costs, including our employee headcount and related expenses, as well as costs relating to regulatory consulting, contract manufacturing, research and development, investor and public relations, business development, legal, intellectual property acquisition and protection, public company compliance and other professional services and operating costs.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Notwithstanding the foregoing, there can be no assurance that our current strategic collaborations under the EverInsight Agreement and the Bayer Agreement will generate revenue from future potential milestone payments, or that future financings or government or other strategic collaborations will be available to us in sufficient amounts, in a timely manner, or on terms acceptable to us, if at all. If we are unable to obtain substantial additional financing on a timely basis when needed in 2021 or thereafter, our business, financial condition, and results of operations may be harmed, the price of our stock may decline, we may be required to reduce, defer, or discontinue certain of our research and development activities and we may not be able to continue as a going concern. The Condensed Consolidated Financial Statements included in Part I of this Report do not include any adjustments that might result from the negative outcome of this uncertainty.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9"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Six Months Ended</w:t>
      </w:r>
    </w:p>
    <w:p>
      <w:pPr>
        <w:spacing w:after="0" w:line="21" w:lineRule="exact"/>
        <w:rPr>
          <w:sz w:val="20"/>
          <w:szCs w:val="20"/>
          <w:color w:val="auto"/>
        </w:rPr>
      </w:pPr>
    </w:p>
    <w:p>
      <w:pPr>
        <w:jc w:val="center"/>
        <w:ind w:left="89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6985</wp:posOffset>
            </wp:positionV>
            <wp:extent cx="128460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4605" cy="1714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(1,803)</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decrease in cash used in operations results primarily from the completion of the Elevate Study, which commenced at the end of the first calendar quarter of 2018 and was completed during the fourth calendar quarter of 2019. Cash used in operations during the six months ended September 30, 2020 was reduced by the August 2020 receipt of the $5.0 million nondilutive upfront payment from EverInsight under the EverInsight Agreement while cash used in nonclinical development and manufacturing advancements related to PH94B and PH10 increased during the current fiscal year compared to the prior year. Cash used in investing activities in the current fiscal year includes approximately $96,000 for the purchase of certain manufacturing equipment acquired for use by our contract development and manufacturing organization in connection with the production of PH94B drug product. The equipment has not yet been fully validated or placed in service at September 30, 2020. Cash provided by financing activities for the six months ended September 30, 2020 primarily reflects net cash proceeds to us from sales of our common stock pursuant to the August 2020 Public Offering, the LPC Agreement and the Spring 2020 Private Placement, as well as from the issuance of the Payroll Protection Plan note and the exercise of outstanding warrants, net of routine insurance premium financing note and financing lease payments. Cash used in financing activities during the six months ended September 30, 2019 primarily reflects routine insurance premium financing note and financing lease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 information relating to recent accounting pronouncements and the expected impact of such pronouncements on our condensed consolidated financial statements, see Note 3 of the Notes to Condensed Consolidated Financial Statements included In Part I of this Report.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our Annual Report on Form 10-K for our fiscal year ended March 31, 2020 filed with the Securities and Exchange Commission on June 29, 2020, we identified two material weaknesses in our internal control over financial reporting relating to (i) segregation of duties and (ii) the functionality of our accounting software. Management does not believe that these weaknesses have resulted in any deficient financial reporting and believes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5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i w:val="1"/>
          <w:iCs w:val="1"/>
          <w:color w:val="auto"/>
        </w:rPr>
        <w:t>Our business is subject to substantial risk and an investment in our securities involves various risks. Some of the material risks include those set forth below. You should consider carefully these risks, and those discussed under “Risk Factors” below, before investing in our securities. These risks include, among others:</w:t>
      </w:r>
    </w:p>
    <w:p>
      <w:pPr>
        <w:spacing w:after="0" w:line="195" w:lineRule="exact"/>
        <w:rPr>
          <w:sz w:val="20"/>
          <w:szCs w:val="20"/>
          <w:color w:val="auto"/>
        </w:rPr>
      </w:pPr>
    </w:p>
    <w:p>
      <w:pPr>
        <w:ind w:left="340" w:right="40" w:hanging="332"/>
        <w:spacing w:after="0" w:line="26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has had, and continues to have, an impact on our business, including delays in manufacturing of certain drug substance and drug products;</w:t>
      </w:r>
    </w:p>
    <w:p>
      <w:pPr>
        <w:spacing w:after="0" w:line="186" w:lineRule="exact"/>
        <w:rPr>
          <w:rFonts w:ascii="Arial" w:cs="Arial" w:eastAsia="Arial" w:hAnsi="Arial"/>
          <w:sz w:val="18"/>
          <w:szCs w:val="18"/>
          <w:color w:val="auto"/>
        </w:rPr>
      </w:pPr>
    </w:p>
    <w:p>
      <w:pPr>
        <w:ind w:left="340" w:hanging="332"/>
        <w:spacing w:after="0" w:line="33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 development stage biopharmaceutical company with no current revenues or approved products, and limited experience developing or commercializing new drug, biological and/or regenerative medicine candidates, which makes it difficult to assess our future viability;</w:t>
      </w:r>
    </w:p>
    <w:p>
      <w:pPr>
        <w:spacing w:after="0" w:line="139" w:lineRule="exact"/>
        <w:rPr>
          <w:rFonts w:ascii="Arial" w:cs="Arial" w:eastAsia="Arial" w:hAnsi="Arial"/>
          <w:sz w:val="16"/>
          <w:szCs w:val="16"/>
          <w:color w:val="auto"/>
        </w:rPr>
      </w:pPr>
    </w:p>
    <w:p>
      <w:pPr>
        <w:ind w:left="340" w:right="20" w:hanging="332"/>
        <w:spacing w:after="0" w:line="26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heavily on the success of our three CNS drug candidates PH94B, PH10 and AV-101, and we cannot be certain that we will be able to obtain regulatory approval for, or successfully commercialize, any of our current or future product candidates;</w:t>
      </w:r>
    </w:p>
    <w:p>
      <w:pPr>
        <w:spacing w:after="0" w:line="186" w:lineRule="exact"/>
        <w:rPr>
          <w:rFonts w:ascii="Arial" w:cs="Arial" w:eastAsia="Arial" w:hAnsi="Arial"/>
          <w:sz w:val="18"/>
          <w:szCs w:val="18"/>
          <w:color w:val="auto"/>
        </w:rPr>
      </w:pPr>
    </w:p>
    <w:p>
      <w:pPr>
        <w:ind w:left="340" w:hanging="332"/>
        <w:spacing w:after="0" w:line="26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could delay, prevent or limit our ability to generate revenue and continue our business;</w:t>
      </w:r>
    </w:p>
    <w:p>
      <w:pPr>
        <w:spacing w:after="0" w:line="186" w:lineRule="exact"/>
        <w:rPr>
          <w:rFonts w:ascii="Arial" w:cs="Arial" w:eastAsia="Arial" w:hAnsi="Arial"/>
          <w:sz w:val="18"/>
          <w:szCs w:val="18"/>
          <w:color w:val="auto"/>
        </w:rPr>
      </w:pPr>
    </w:p>
    <w:p>
      <w:pPr>
        <w:ind w:left="340" w:hanging="332"/>
        <w:spacing w:after="0" w:line="26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86" w:lineRule="exact"/>
        <w:rPr>
          <w:rFonts w:ascii="Arial" w:cs="Arial" w:eastAsia="Arial" w:hAnsi="Arial"/>
          <w:sz w:val="18"/>
          <w:szCs w:val="18"/>
          <w:color w:val="auto"/>
        </w:rPr>
      </w:pPr>
    </w:p>
    <w:p>
      <w:pPr>
        <w:jc w:val="both"/>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incurred significant net losses since inception and we will continue to incur substantial operating losses for the foreseeable future;</w:t>
      </w:r>
    </w:p>
    <w:p>
      <w:pPr>
        <w:spacing w:after="0" w:line="247" w:lineRule="exact"/>
        <w:rPr>
          <w:rFonts w:ascii="Arial" w:cs="Arial" w:eastAsia="Arial" w:hAnsi="Arial"/>
          <w:sz w:val="16"/>
          <w:szCs w:val="16"/>
          <w:color w:val="auto"/>
        </w:rPr>
      </w:pPr>
    </w:p>
    <w:p>
      <w:pPr>
        <w:jc w:val="both"/>
        <w:ind w:left="340" w:hanging="332"/>
        <w:spacing w:after="0" w:line="369"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116" w:lineRule="exact"/>
        <w:rPr>
          <w:rFonts w:ascii="Arial" w:cs="Arial" w:eastAsia="Arial" w:hAnsi="Arial"/>
          <w:sz w:val="15"/>
          <w:szCs w:val="15"/>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require additional financing to execute our business plan and continue to operate as a going concern;</w:t>
      </w:r>
    </w:p>
    <w:p>
      <w:pPr>
        <w:spacing w:after="0" w:line="224" w:lineRule="exact"/>
        <w:rPr>
          <w:rFonts w:ascii="Arial" w:cs="Arial" w:eastAsia="Arial" w:hAnsi="Arial"/>
          <w:sz w:val="18"/>
          <w:szCs w:val="18"/>
          <w:color w:val="auto"/>
        </w:rPr>
      </w:pPr>
    </w:p>
    <w:p>
      <w:pPr>
        <w:ind w:left="340" w:hanging="332"/>
        <w:spacing w:after="0" w:line="26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rFonts w:ascii="Arial" w:cs="Arial" w:eastAsia="Arial" w:hAnsi="Arial"/>
          <w:sz w:val="18"/>
          <w:szCs w:val="18"/>
          <w:color w:val="auto"/>
        </w:rPr>
      </w:pPr>
    </w:p>
    <w:p>
      <w:pPr>
        <w:ind w:left="340" w:hanging="332"/>
        <w:spacing w:after="0" w:line="26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 and</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other risks and uncertainties, including those described under “ </w:t>
      </w:r>
      <w:r>
        <w:rPr>
          <w:rFonts w:ascii="Arial" w:cs="Arial" w:eastAsia="Arial" w:hAnsi="Arial"/>
          <w:sz w:val="18"/>
          <w:szCs w:val="18"/>
          <w:i w:val="1"/>
          <w:iCs w:val="1"/>
          <w:color w:val="auto"/>
        </w:rPr>
        <w:t>Risk Factors</w:t>
      </w:r>
      <w:r>
        <w:rPr>
          <w:rFonts w:ascii="Arial" w:cs="Arial" w:eastAsia="Arial" w:hAnsi="Arial"/>
          <w:sz w:val="18"/>
          <w:szCs w:val="18"/>
          <w:color w:val="auto"/>
        </w:rPr>
        <w:t>” below.</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auto"/>
        </w:rPr>
        <w:t>If we are unable to effectively manage the impact of these and other risks, our ability to operate and execute our business plan would be substantially impaired.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turn, the value of our securities would be materially reduced.</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You should consider carefully the risks and uncertainties described below, together with all of the other information in this Quarterly Report on Form 10-Q (Report) and in our Annual Report on Form 10-K filed with the Securities and Exchange Commission for our fiscal year ended March 31, 2020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had, and continues to have, an impact on our business, and may have several adverse effects on our business.</w:t>
      </w:r>
    </w:p>
    <w:p>
      <w:pPr>
        <w:spacing w:after="0" w:line="248"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In early 2020, a new strain of coronavirus (</w:t>
      </w:r>
      <w:r>
        <w:rPr>
          <w:rFonts w:ascii="Arial" w:cs="Arial" w:eastAsia="Arial" w:hAnsi="Arial"/>
          <w:sz w:val="15"/>
          <w:szCs w:val="15"/>
          <w:i w:val="1"/>
          <w:iCs w:val="1"/>
          <w:color w:val="auto"/>
        </w:rPr>
        <w:t>COVID-19</w:t>
      </w:r>
      <w:r>
        <w:rPr>
          <w:rFonts w:ascii="Arial" w:cs="Arial" w:eastAsia="Arial" w:hAnsi="Arial"/>
          <w:sz w:val="15"/>
          <w:szCs w:val="15"/>
          <w:color w:val="auto"/>
        </w:rPr>
        <w:t>) has spread to many countries in the world and the outbreak has been declared a pandemic by the World Health Organization. The U.S. Secretary of Health and Human Services has also declared a public health emergency in the U.S. in response to the outbreak. Considerable uncertainty still surrounds the COVID-19 virus and its potential effects, and the extent of and effectiveness of responses taken on international, national and local levels. Measures taken to limit the impact of COVID-19, including periodic shelter-in-place orders, social distancing measures, travel bans, precautions and restrictions, and periodic business and government shutdowns have already resulted in significant negative economic impacts on a global basis.</w:t>
      </w:r>
    </w:p>
    <w:p>
      <w:pPr>
        <w:sectPr>
          <w:pgSz w:w="11900" w:h="16838" w:orient="portrait"/>
          <w:cols w:equalWidth="0" w:num="1">
            <w:col w:w="11240"/>
          </w:cols>
          <w:pgMar w:left="320" w:top="130" w:right="33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47" w:gutter="0" w:footer="0" w:header="0"/>
          <w:type w:val="continuous"/>
        </w:sectPr>
      </w:pPr>
    </w:p>
    <w:bookmarkStart w:id="44" w:name="page45"/>
    <w:bookmarkEnd w:id="4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COVID-19 pandemic continues to evolve, we cannot at this time accurately predict the potentially diverse effects and impact of these conditions on our ongoing and planned operations, as well as those of our collaborators involved in the production and development of our product candidates. Uncertainties remain as to the ultimate geographic spread of the virus, the severity of the disease, the duration of the pandemic, and the length and scope of the travel restrictions and periodic business closures imposed by the governments of impacted countries. The continuing impact of the COVID-19 pandemic, or another infectious disease outbreak with similar characteristics, may lead to the implementation of further responses, including additional travel restrictions, government-imposed quarantines or stay-at-home orders, and other public health safety measures, which may result in further disruptions to our business and operations and those of our collaborators involved in the production and development of our product candidates. The global COVID-19 pandemic has had an impact on our business, and continuation of the pandemic, or a future outbreak unrelated but similar to the COVID-19 pandemic, may have several adverse effects on our business, results of operations and financial condition.</w:t>
      </w:r>
    </w:p>
    <w:p>
      <w:pPr>
        <w:spacing w:after="0" w:line="177" w:lineRule="exact"/>
        <w:rPr>
          <w:sz w:val="20"/>
          <w:szCs w:val="20"/>
          <w:color w:val="auto"/>
        </w:rPr>
      </w:pPr>
    </w:p>
    <w:p>
      <w:pPr>
        <w:jc w:val="both"/>
        <w:ind w:left="340" w:hanging="332"/>
        <w:spacing w:after="0" w:line="311" w:lineRule="auto"/>
        <w:tabs>
          <w:tab w:leader="none" w:pos="34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Delayed product development: </w:t>
      </w:r>
      <w:r>
        <w:rPr>
          <w:rFonts w:ascii="Arial" w:cs="Arial" w:eastAsia="Arial" w:hAnsi="Arial"/>
          <w:sz w:val="15"/>
          <w:szCs w:val="15"/>
          <w:color w:val="auto"/>
        </w:rPr>
        <w:t>We have, and may continue to face delays and other disruptions to our ongoing clinical development programs for PH94B,</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PH10 and AV-101 due to the ongoing COVID-19 pandemic. In addition, regulatory oversight and actions regarding our products may be disrupted or delayed in regions impacted by COVID-19, including the U.S. and elsewhere, which may impact review and approval timelines for our product candidates in various stages of development. Although we remain focused on advancing our clinical development programs for our current product candidates, our research and development efforts may be impacted if our employees, our contract research organizations (</w:t>
      </w:r>
      <w:r>
        <w:rPr>
          <w:rFonts w:ascii="Arial" w:cs="Arial" w:eastAsia="Arial" w:hAnsi="Arial"/>
          <w:sz w:val="15"/>
          <w:szCs w:val="15"/>
          <w:i w:val="1"/>
          <w:iCs w:val="1"/>
          <w:color w:val="auto"/>
        </w:rPr>
        <w:t>CROs</w:t>
      </w:r>
      <w:r>
        <w:rPr>
          <w:rFonts w:ascii="Arial" w:cs="Arial" w:eastAsia="Arial" w:hAnsi="Arial"/>
          <w:sz w:val="15"/>
          <w:szCs w:val="15"/>
          <w:color w:val="auto"/>
        </w:rPr>
        <w:t>), our third-party contract development and manufacturing organizations (</w:t>
      </w:r>
      <w:r>
        <w:rPr>
          <w:rFonts w:ascii="Arial" w:cs="Arial" w:eastAsia="Arial" w:hAnsi="Arial"/>
          <w:sz w:val="15"/>
          <w:szCs w:val="15"/>
          <w:i w:val="1"/>
          <w:iCs w:val="1"/>
          <w:color w:val="auto"/>
        </w:rPr>
        <w:t>CDMOs</w:t>
      </w:r>
      <w:r>
        <w:rPr>
          <w:rFonts w:ascii="Arial" w:cs="Arial" w:eastAsia="Arial" w:hAnsi="Arial"/>
          <w:sz w:val="15"/>
          <w:szCs w:val="15"/>
          <w:color w:val="auto"/>
        </w:rPr>
        <w:t>) or other collaborators involved with the development of our drug candidates have reductions in force or are advised to continue to work remotely as part of social distancing measures or other protective measures necessitated by the COVID-19 pandemic.</w:t>
      </w:r>
    </w:p>
    <w:p>
      <w:pPr>
        <w:spacing w:after="0" w:line="161" w:lineRule="exact"/>
        <w:rPr>
          <w:rFonts w:ascii="Arial" w:cs="Arial" w:eastAsia="Arial" w:hAnsi="Arial"/>
          <w:sz w:val="15"/>
          <w:szCs w:val="15"/>
          <w:color w:val="auto"/>
        </w:rPr>
      </w:pPr>
    </w:p>
    <w:p>
      <w:pPr>
        <w:jc w:val="both"/>
        <w:ind w:left="340" w:hanging="332"/>
        <w:spacing w:after="0" w:line="287"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Negative impacts on our suppliers, manufacturers and employees </w:t>
      </w:r>
      <w:r>
        <w:rPr>
          <w:rFonts w:ascii="Arial" w:cs="Arial" w:eastAsia="Arial" w:hAnsi="Arial"/>
          <w:sz w:val="16"/>
          <w:szCs w:val="16"/>
          <w:color w:val="auto"/>
        </w:rPr>
        <w:t>: COVID-19 or similar infectious diseases has impacted and may in the future impact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health of our employees, as well as our collaborators, including but not limited to our contractors, suppliers, CROs or CDMOs, or reduce the availability of our workforce or the workforce of one or more of the companies with which we do business, divert our attention toward succession planning, or create disruptions in our supply or distribution networks. From time to time since the beginning of the COVID-19 pandemic, we have experienced delays of the delivery of supplies of active pharmaceutical ingredient (</w:t>
      </w:r>
      <w:r>
        <w:rPr>
          <w:rFonts w:ascii="Arial" w:cs="Arial" w:eastAsia="Arial" w:hAnsi="Arial"/>
          <w:sz w:val="16"/>
          <w:szCs w:val="16"/>
          <w:i w:val="1"/>
          <w:iCs w:val="1"/>
          <w:color w:val="auto"/>
        </w:rPr>
        <w:t>API</w:t>
      </w:r>
      <w:r>
        <w:rPr>
          <w:rFonts w:ascii="Arial" w:cs="Arial" w:eastAsia="Arial" w:hAnsi="Arial"/>
          <w:sz w:val="16"/>
          <w:szCs w:val="16"/>
          <w:color w:val="auto"/>
        </w:rPr>
        <w:t xml:space="preserve"> or </w:t>
      </w:r>
      <w:r>
        <w:rPr>
          <w:rFonts w:ascii="Arial" w:cs="Arial" w:eastAsia="Arial" w:hAnsi="Arial"/>
          <w:sz w:val="16"/>
          <w:szCs w:val="16"/>
          <w:i w:val="1"/>
          <w:iCs w:val="1"/>
          <w:color w:val="auto"/>
        </w:rPr>
        <w:t>drug substance</w:t>
      </w:r>
      <w:r>
        <w:rPr>
          <w:rFonts w:ascii="Arial" w:cs="Arial" w:eastAsia="Arial" w:hAnsi="Arial"/>
          <w:sz w:val="16"/>
          <w:szCs w:val="16"/>
          <w:color w:val="auto"/>
        </w:rPr>
        <w:t>) and formulated drug product required to advance development of PH94B and PH10. Although our supply of raw materials and API remains sufficiently operational, we may experience adverse effects of such events in the future, which may result in a significant, material delay of or disruption to our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ongoing COVID-19 pandemic has also created significant disruption to and volatility in national, regional and local economies and markets. Uncertainties related to, and perceived or experienced negative effects from, COVID-19 may cause significant volatility or decline in the trading price of our securities, capital market conditions and general economic environment. Our future results of operations and liquidity could be adversely impacted by supply chain disruptions and operational challenges faced by our CROs, CDMOs and other contractors. Continued outbreaks of COVID-19 or a significant outbreak of contagious diseases in the human population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drug candidates and we cannot be certain that we will be able to obtain regulatory approval for, or successfully commercialize any of our product candidates.</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CNS drug candidates will require substantial additional nonclinical and clinical development, manufacturing and regulatory approval before any of them may be commercialized, and there can be no assurance that any of them will ever achieve regulatory approval. Any new chemical entity (</w:t>
      </w:r>
      <w:r>
        <w:rPr>
          <w:rFonts w:ascii="Arial" w:cs="Arial" w:eastAsia="Arial" w:hAnsi="Arial"/>
          <w:sz w:val="16"/>
          <w:szCs w:val="16"/>
          <w:i w:val="1"/>
          <w:iCs w:val="1"/>
          <w:color w:val="auto"/>
        </w:rPr>
        <w:t>NCE</w:t>
      </w:r>
      <w:r>
        <w:rPr>
          <w:rFonts w:ascii="Arial" w:cs="Arial" w:eastAsia="Arial" w:hAnsi="Arial"/>
          <w:sz w:val="16"/>
          <w:szCs w:val="16"/>
          <w:color w:val="auto"/>
        </w:rPr>
        <w:t>) we may produce through drug rescue activities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8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not permitted to market our product candidates in the U.S. until we receive approval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59" w:lineRule="exact"/>
        <w:rPr>
          <w:sz w:val="20"/>
          <w:szCs w:val="20"/>
          <w:color w:val="auto"/>
        </w:rPr>
      </w:pPr>
    </w:p>
    <w:p>
      <w:pPr>
        <w:jc w:val="both"/>
        <w:ind w:left="240" w:hanging="232"/>
        <w:spacing w:after="0" w:line="306" w:lineRule="auto"/>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59" w:lineRule="exact"/>
        <w:rPr>
          <w:rFonts w:ascii="Arial" w:cs="Arial" w:eastAsia="Arial" w:hAnsi="Arial"/>
          <w:sz w:val="16"/>
          <w:szCs w:val="16"/>
          <w:color w:val="auto"/>
        </w:rPr>
      </w:pPr>
    </w:p>
    <w:p>
      <w:pPr>
        <w:ind w:left="240" w:hanging="232"/>
        <w:spacing w:after="0" w:line="267"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86"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86" w:lineRule="exact"/>
        <w:rPr>
          <w:rFonts w:ascii="Arial" w:cs="Arial" w:eastAsia="Arial" w:hAnsi="Arial"/>
          <w:sz w:val="18"/>
          <w:szCs w:val="18"/>
          <w:color w:val="auto"/>
        </w:rPr>
      </w:pPr>
    </w:p>
    <w:p>
      <w:pPr>
        <w:ind w:left="240" w:hanging="232"/>
        <w:spacing w:after="0" w:line="331" w:lineRule="auto"/>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w:t>
      </w:r>
      <w:r>
        <w:rPr>
          <w:rFonts w:ascii="Arial" w:cs="Arial" w:eastAsia="Arial" w:hAnsi="Arial"/>
          <w:sz w:val="16"/>
          <w:szCs w:val="16"/>
          <w:color w:val="231F20"/>
        </w:rPr>
        <w:t>a</w:t>
      </w:r>
      <w:r>
        <w:rPr>
          <w:rFonts w:ascii="Arial" w:cs="Arial" w:eastAsia="Arial" w:hAnsi="Arial"/>
          <w:sz w:val="16"/>
          <w:szCs w:val="16"/>
          <w:color w:val="auto"/>
        </w:rPr>
        <w:t xml:space="preserve"> </w:t>
      </w:r>
      <w:r>
        <w:rPr>
          <w:rFonts w:ascii="Arial" w:cs="Arial" w:eastAsia="Arial" w:hAnsi="Arial"/>
          <w:sz w:val="16"/>
          <w:szCs w:val="16"/>
          <w:color w:val="231F20"/>
        </w:rPr>
        <w:t xml:space="preserve">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w:t>
      </w:r>
      <w:r>
        <w:rPr>
          <w:rFonts w:ascii="Arial" w:cs="Arial" w:eastAsia="Arial" w:hAnsi="Arial"/>
          <w:sz w:val="16"/>
          <w:szCs w:val="16"/>
          <w:color w:val="000000"/>
        </w:rPr>
        <w:t>Under FDA regulations, combination products are subject to cGMP requirements applicable to both drugs and</w:t>
      </w:r>
      <w:r>
        <w:rPr>
          <w:rFonts w:ascii="Arial" w:cs="Arial" w:eastAsia="Arial" w:hAnsi="Arial"/>
          <w:sz w:val="16"/>
          <w:szCs w:val="16"/>
          <w:color w:val="231F20"/>
        </w:rPr>
        <w:t xml:space="preserve"> </w:t>
      </w:r>
      <w:r>
        <w:rPr>
          <w:rFonts w:ascii="Arial" w:cs="Arial" w:eastAsia="Arial" w:hAnsi="Arial"/>
          <w:sz w:val="16"/>
          <w:szCs w:val="16"/>
          <w:color w:val="000000"/>
        </w:rPr>
        <w:t>devices, including the Quality System (</w:t>
      </w:r>
      <w:r>
        <w:rPr>
          <w:rFonts w:ascii="Arial" w:cs="Arial" w:eastAsia="Arial" w:hAnsi="Arial"/>
          <w:sz w:val="16"/>
          <w:szCs w:val="16"/>
          <w:i w:val="1"/>
          <w:iCs w:val="1"/>
          <w:color w:val="000000"/>
        </w:rPr>
        <w:t>QS</w:t>
      </w:r>
      <w:r>
        <w:rPr>
          <w:rFonts w:ascii="Arial" w:cs="Arial" w:eastAsia="Arial" w:hAnsi="Arial"/>
          <w:sz w:val="16"/>
          <w:szCs w:val="16"/>
          <w:color w:val="000000"/>
        </w:rPr>
        <w:t>) regulations applicable to medical devices. Problems associated with the device component of the combination product candidate may delay or prevent approval.</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6" w:name="page47"/>
    <w:bookmarkEnd w:id="4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5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one or more of the future Phase 3 clinical trials of PH94B for acute treatment of anxiety in adults with SAD, any future clinical study of AV-101 or a future Phase 2 clinical trial of PH10 for MDD fail(s) to produce positive results, the development timeline and regulatory approval and commercialization prospects for PH94B, PH10 or AV-101 and, correspondingly, our business and financial prospects, could be materially adversely affected.</w:t>
      </w:r>
    </w:p>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example, the results of planned clinical trials have been affected by supply chain disruptions experienced by certain of our CDMOs as a result of the ongoing COVID-19 pandemic.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nonclinical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or safety concerns attributable to our product candidates occur, they may adversely affect or delay our clinical development and commercialization of PH94B, PH10 or AV-101.</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6"/>
          <w:szCs w:val="16"/>
          <w:i w:val="1"/>
          <w:iCs w:val="1"/>
          <w:color w:val="auto"/>
        </w:rPr>
        <w:t>SAEs</w:t>
      </w:r>
      <w:r>
        <w:rPr>
          <w:rFonts w:ascii="Arial" w:cs="Arial" w:eastAsia="Arial" w:hAnsi="Arial"/>
          <w:sz w:val="16"/>
          <w:szCs w:val="16"/>
          <w:color w:val="auto"/>
        </w:rPr>
        <w:t>) were observed in any clinical trials of any of our product candidates to date, if treatment-related SAEs or other undesirable side effects or safety concerns, or unexpected characteristics attributable to PH94B, PH10 and/or AV-101, are observed in any future clinical trials, including investigator-sponsored clinical trials,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77"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7" w:lineRule="exact"/>
        <w:rPr>
          <w:rFonts w:ascii="Arial" w:cs="Arial" w:eastAsia="Arial" w:hAnsi="Arial"/>
          <w:sz w:val="16"/>
          <w:szCs w:val="16"/>
          <w:color w:val="auto"/>
        </w:rPr>
      </w:pPr>
    </w:p>
    <w:p>
      <w:pPr>
        <w:ind w:left="340" w:hanging="332"/>
        <w:spacing w:after="0" w:line="26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distributed or administered, conduct additional clinical trials or change the labeling of a product;</w:t>
      </w:r>
    </w:p>
    <w:p>
      <w:pPr>
        <w:spacing w:after="0" w:line="247" w:lineRule="exact"/>
        <w:rPr>
          <w:rFonts w:ascii="Arial" w:cs="Arial" w:eastAsia="Arial" w:hAnsi="Arial"/>
          <w:sz w:val="16"/>
          <w:szCs w:val="16"/>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20"/>
        <w:spacing w:after="0" w:line="369" w:lineRule="auto"/>
        <w:rPr>
          <w:sz w:val="20"/>
          <w:szCs w:val="20"/>
          <w:color w:val="auto"/>
        </w:rPr>
      </w:pPr>
      <w:r>
        <w:rPr>
          <w:rFonts w:ascii="Arial" w:cs="Arial" w:eastAsia="Arial" w:hAnsi="Arial"/>
          <w:sz w:val="15"/>
          <w:szCs w:val="15"/>
          <w:b w:val="1"/>
          <w:bCs w:val="1"/>
          <w:i w:val="1"/>
          <w:iCs w:val="1"/>
          <w:color w:val="auto"/>
        </w:rPr>
        <w:t>Failures or delays in the commencement or completion of our planned clinical trials and nonclinical studies of PH94B, PH10, AV-101 or other our product candidates could result in increased costs to us and could delay, prevent or limit our ability to generate revenue and continue our business.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will need to complete at least two pivotal Phase 3 clinical studies of PH94B, additional toxicology and other standard nonclinical and clinical safety studies, as well as certain standard smaller clinical studies prior to our submission of an NDA for regulatory approval of PH94B as an acute treatment of anxiety in adults with SAD, or for any other anxiety disorder or phobia. For PH10, we will need to complete at least one additional Phase 2 clinical study, two pivotal Phase 3 clinical trials, additional toxicology and other standard nonclinical and clinical safety studies, as well as certain standard smaller clinical studies prior to the submission of an NDA for regulatory approval of PH10 as a stand-alone rapid-onset treatment for MDD, or any other depression disorder. For AV-101 in combination with probenecid, for treatment of any CNS indication, we will need to complete at least one Phase 1B clinical study, two Phase 2 clinical studies, two pivotal Phase 3 clinical trials, additional toxicology and other standard nonclinical and clinical safety studies, as well as certain standard smaller clinical studies prior to the submission of an NDA for regulatory approval.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77"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due to events resulting from the ongoing COVID-19 pandemic;</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24" w:lineRule="exact"/>
        <w:rPr>
          <w:rFonts w:ascii="Arial" w:cs="Arial" w:eastAsia="Arial" w:hAnsi="Arial"/>
          <w:sz w:val="18"/>
          <w:szCs w:val="18"/>
          <w:color w:val="auto"/>
        </w:rPr>
      </w:pPr>
    </w:p>
    <w:p>
      <w:pPr>
        <w:ind w:left="240" w:hanging="232"/>
        <w:spacing w:after="0" w:line="331" w:lineRule="auto"/>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39" w:lineRule="exact"/>
        <w:rPr>
          <w:rFonts w:ascii="Arial" w:cs="Arial" w:eastAsia="Arial" w:hAnsi="Arial"/>
          <w:sz w:val="16"/>
          <w:szCs w:val="16"/>
          <w:color w:val="auto"/>
        </w:rPr>
      </w:pPr>
    </w:p>
    <w:p>
      <w:pPr>
        <w:ind w:left="240" w:hanging="232"/>
        <w:spacing w:after="0" w:line="267"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59"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4" w:lineRule="exact"/>
        <w:rPr>
          <w:rFonts w:ascii="Arial" w:cs="Arial" w:eastAsia="Arial" w:hAnsi="Arial"/>
          <w:sz w:val="18"/>
          <w:szCs w:val="18"/>
          <w:color w:val="auto"/>
        </w:rPr>
      </w:pPr>
    </w:p>
    <w:p>
      <w:pPr>
        <w:ind w:left="240" w:right="20" w:hanging="232"/>
        <w:spacing w:after="0" w:line="267"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47" w:lineRule="exact"/>
        <w:rPr>
          <w:rFonts w:ascii="Arial" w:cs="Arial" w:eastAsia="Arial" w:hAnsi="Arial"/>
          <w:sz w:val="16"/>
          <w:szCs w:val="16"/>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product candidates may be harmed and our ability to generate product revenue will be delayed.</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our nonclinical and clinical trials of our current product candidates and will continue to do so for any other future product candidates. If these third parties do not successfully carry out their contractual duties and/or meet expected deadlines, completion of our nonclinical or clinical trials and development of PH94B, PH10, AV-101 or other future product candidates may be delayed and we may not be able to obtain regulatory approval for or commercialize PH94B, PH10, AV-101 or other future product candidates and our business could be substantially harmed.</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77"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experience disruptions to their operations, such as reduced staffing and supply chain disruptions, as a result of the ongoing COVID-19 pandemic;</w:t>
      </w:r>
    </w:p>
    <w:p>
      <w:pPr>
        <w:spacing w:after="0" w:line="247" w:lineRule="exact"/>
        <w:rPr>
          <w:rFonts w:ascii="Arial" w:cs="Arial" w:eastAsia="Arial" w:hAnsi="Arial"/>
          <w:sz w:val="16"/>
          <w:szCs w:val="16"/>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0" w:name="page51"/>
    <w:bookmarkEnd w:id="5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rely completely on third-parties to manufacture, formulate, analyze, hold and distribute supplies of our product candidates for all nonclinical and clinical studies, and we intend to continue to rely on third parties to produce all nonclinical, clinical and commercial supplies of our product candidates in the future.</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CDMOs to manufacture API and formulate, hold and distribute final drug product. The facilities used by our CDMOs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do not directly control the manufacturing process or the supply or quality of materials used in the manufacturing, analysis and formulation of our product candidates, and, with respect to all of our product candidates, we are completely dependent on our CDMOs to comply with all applicable cGMPs for the manufacturing of both API and finished drug product. If our CDMOs cannot secure adequate supplies of suitable raw materials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CDMOs may not be able to secure and/or maintain regulatory approval for their manufacturing facilities, or the FDA may take other actions, including the imposition of a clinical hold. In addition, we have no direct control over our CDMOs’ ability to maintain adequate quality control, quality assurance and qualified personnel. All of our CDMOs are engaged with other companies to supply and/or manufacture materials or products for such other companies, which exposes our CDMOs to regulatory risks for the production of such materials and products. As a result, failure to satisfy the regulatory requirements for the production of those materials and products may affect the regulatory clearance of our CDMO’s facilities generally or affect the timing of manufacture of PH94B, PH10 and AV-101 for required or planned nonclinical and/or clinical studies. If the FDA or an applicable foreign regulatory agency determines now or in the future that our CDMOs’ facilities are noncompliant, we may need to find alternative manufacturing facilities, which would adversely impact our ability to develop, obtain regulatory approval for or market our product candidates. Our reliance on CDMOs also exposes us to the possibility that they, or third parties with access to their facilities, will have access to and may appropriate our trade secrets or other proprietary information.</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With respect to PH94B, PH10 and AV-101, we do not yet have long-term supply agreements in place with our CDMOs and each batch of PH94B, PH10 and AV-101 is or will be individually contracted under a separate supply agreement. If we engage new CDMOs, such contractors must complete an inspection by the FDA and other applicable foreign regulatory agencies. We plan to continue to rely upon CDMOs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CDMO-related delays in the manufacture and formulation of PH94B, PH10 or AV-101 API and/or finished drug product will not occur in the future.</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6"/>
          <w:szCs w:val="16"/>
          <w:i w:val="1"/>
          <w:iCs w:val="1"/>
          <w:color w:val="auto"/>
        </w:rPr>
        <w:t>QSR</w:t>
      </w:r>
      <w:r>
        <w:rPr>
          <w:rFonts w:ascii="Arial" w:cs="Arial" w:eastAsia="Arial" w:hAnsi="Arial"/>
          <w:sz w:val="16"/>
          <w:szCs w:val="16"/>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CDMOs to manufacture our product candidates must be approved by the FDA anf comparable foreign regulatory authorities pursuant to inspections that will or may be conducted after we submit our NDA. We do not control the manufacturing process of, and are completely dependent on, our CDMO partners for compliance with cGMPs and QSRs. If our CDMOs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CDMOs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product candidate in the U.S., we may never receive regulatory approval to market PH94B, PH10, AV-101 or any other product candidate outside of the U.S.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market PH94B, PH10, AV-101 or any other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CDMOs,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Before we can commercialize our product candidates in the U.S. or any market outside the U.S., the U.S.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any of our product candidates are regulated as controlled substances, depending on the DEA controlled substance schedule in which the product candidates are placed or that of its foreign counterpart, we, our CDMOs,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CDMOs would be subject to initial and periodic DEA inspection. If we or our CDMOs are not able to obtain or maintain any necessary DEA registrations or comparable foreign registrations, we may not be able to commercialize any product candidates that are deemed to be controlled substances or we may need to find alternative CDMOs, which would take time and cause us to incur additional costs, delaying or limit our commercialization efforts.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on our own or enter into agreements with third parties to market and sell our product candidates, we may not be able to generate any revenue.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currently have any internal resources for the sale, marketing and distribution of pharmaceutical products, and we may not create such internal capabilities in the foreseeable future. Therefore, to market our product candidates, if approved by the FDA or any other regulatory body, we must establish internal capabilities related to sales, marketing, managerial and other non-technical capabilities relating to the commercialization of our product candidates, or make contractual arrangements with third parties to perform services, prior to market approval. If we are unable to establish adequate such sales, marketing and distribution capabilities on our own, or if we are unable to do so contractually on commercially reasonable terms, our business, results of operations, financial condition and prospects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commercial success of our product candidates, if approved by the FDA or other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5" w:lineRule="exact"/>
        <w:rPr>
          <w:sz w:val="20"/>
          <w:szCs w:val="20"/>
          <w:color w:val="auto"/>
        </w:rPr>
      </w:pPr>
    </w:p>
    <w:p>
      <w:pPr>
        <w:ind w:left="240" w:hanging="232"/>
        <w:spacing w:after="0" w:line="331" w:lineRule="auto"/>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other applicable regulatory authorities;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5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4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5" w:lineRule="exact"/>
        <w:rPr>
          <w:sz w:val="20"/>
          <w:szCs w:val="20"/>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4" w:lineRule="exact"/>
        <w:rPr>
          <w:rFonts w:ascii="Arial" w:cs="Arial" w:eastAsia="Arial" w:hAnsi="Arial"/>
          <w:sz w:val="18"/>
          <w:szCs w:val="18"/>
          <w:color w:val="auto"/>
        </w:rPr>
      </w:pPr>
    </w:p>
    <w:p>
      <w:pPr>
        <w:ind w:left="240" w:right="20" w:hanging="232"/>
        <w:spacing w:after="0" w:line="267" w:lineRule="auto"/>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201"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5" w:name="page56"/>
    <w:bookmarkEnd w:id="5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Competing therapies could emerge adversely affecting our opportunity to generate revenue from the sale of our product candidates.</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Currently, management is unaware of any FDA-approved rapid-onset, acute treatment of anxiety in adults with SAD having the same mechanism of pharmacological action and safety profile as our PH94B. Also, management is currently unaware of any FDA-approved oral treatment for MDD having the same mechanism of pharmacological action and safety profile as our intranasally-administered PH10 or our orally-administered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Arial" w:cs="Arial" w:eastAsia="Arial" w:hAnsi="Arial"/>
          <w:sz w:val="15"/>
          <w:szCs w:val="15"/>
          <w:i w:val="1"/>
          <w:iCs w:val="1"/>
          <w:color w:val="auto"/>
        </w:rPr>
        <w:t>ECT</w:t>
      </w:r>
      <w:r>
        <w:rPr>
          <w:rFonts w:ascii="Arial" w:cs="Arial" w:eastAsia="Arial" w:hAnsi="Arial"/>
          <w:sz w:val="15"/>
          <w:szCs w:val="15"/>
          <w:color w:val="auto"/>
        </w:rPr>
        <w:t>) are used before or instead of standard antidepressant medications to treat patients with MDD.</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drug candidates for such indications, including, but not limited to, Abbott Laboratories, Acadia, Allergan, Alkermes, Aptynix, AstraZeneca, Axsome, Eli Lilly, GlaxoSmithKline, IntraCellular, Janssen, Lundbeck, Merck, Neurocrine, Novartis, Ono, Otsuka, Pfizer, Relmada,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License and Collaboration Agreement we entered into with EverInsight Therapeutics, Inc. in June 2020 for the development and commercialization of PH94B in several key Asian markets.</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derive revenue from research and development fees, license fees, milestone payments and royalties under any collaborative arrangement into which we enter, including the EverInsight Agreement and/or the Bayer Agreement. However, our ability to generate revenue from these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 candidates with commercial and therapeutic potential. We may fail to pursue additional development opportunities for PH94B, PH10 or AV-101, or identify additional product candidates for clinical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PH94B, PH10 and AV-101, with additional limited focus on NCE drug rescue and, through a third-party collaboration with Bayer AG, regenerative medicine.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2" w:lineRule="exact"/>
        <w:rPr>
          <w:sz w:val="20"/>
          <w:szCs w:val="20"/>
          <w:color w:val="auto"/>
        </w:rPr>
      </w:pPr>
    </w:p>
    <w:p>
      <w:pPr>
        <w:jc w:val="both"/>
        <w:ind w:left="240" w:hanging="232"/>
        <w:spacing w:after="0" w:line="306"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59" w:lineRule="exact"/>
        <w:rPr>
          <w:rFonts w:ascii="Arial" w:cs="Arial" w:eastAsia="Arial" w:hAnsi="Arial"/>
          <w:sz w:val="16"/>
          <w:szCs w:val="16"/>
          <w:color w:val="auto"/>
        </w:rPr>
      </w:pPr>
    </w:p>
    <w:p>
      <w:pPr>
        <w:jc w:val="both"/>
        <w:ind w:left="240" w:hanging="232"/>
        <w:spacing w:after="0" w:line="258"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5"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59" w:lineRule="exact"/>
        <w:rPr>
          <w:rFonts w:ascii="Arial" w:cs="Arial" w:eastAsia="Arial" w:hAnsi="Arial"/>
          <w:sz w:val="16"/>
          <w:szCs w:val="16"/>
          <w:color w:val="auto"/>
        </w:rPr>
      </w:pPr>
    </w:p>
    <w:p>
      <w:pPr>
        <w:ind w:left="240" w:hanging="232"/>
        <w:spacing w:after="0" w:line="267"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6" w:lineRule="exact"/>
        <w:rPr>
          <w:rFonts w:ascii="Arial" w:cs="Arial" w:eastAsia="Arial" w:hAnsi="Arial"/>
          <w:sz w:val="18"/>
          <w:szCs w:val="18"/>
          <w:color w:val="auto"/>
        </w:rPr>
      </w:pPr>
    </w:p>
    <w:p>
      <w:pPr>
        <w:jc w:val="both"/>
        <w:ind w:left="240" w:hanging="232"/>
        <w:spacing w:after="0" w:line="256"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5" w:lineRule="exact"/>
        <w:rPr>
          <w:rFonts w:ascii="Arial" w:cs="Arial" w:eastAsia="Arial" w:hAnsi="Arial"/>
          <w:sz w:val="18"/>
          <w:szCs w:val="18"/>
          <w:color w:val="auto"/>
        </w:rPr>
      </w:pPr>
    </w:p>
    <w:p>
      <w:pPr>
        <w:jc w:val="both"/>
        <w:ind w:left="240" w:hanging="232"/>
        <w:spacing w:after="0" w:line="306" w:lineRule="auto"/>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59" w:lineRule="exact"/>
        <w:rPr>
          <w:rFonts w:ascii="Arial" w:cs="Arial" w:eastAsia="Arial" w:hAnsi="Arial"/>
          <w:sz w:val="16"/>
          <w:szCs w:val="16"/>
          <w:color w:val="auto"/>
        </w:rPr>
      </w:pPr>
    </w:p>
    <w:p>
      <w:pPr>
        <w:ind w:left="240" w:hanging="232"/>
        <w:spacing w:after="0" w:line="267" w:lineRule="auto"/>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 treatment of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product candidates. Even if we have obtained FDA Orphan Drug designation for a product candidate, there may be limits to the regulatory exclusivity afforded by such designation.</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in the future, choose to seek FDA Orphan Drug designation for one or more of our current or future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such as our collaboration with EverInsight to develop and commercialize PH94B in key Asian markets. If we commercialize our product candidates in foreign markets, we would be subject to additional risks and uncertainties, including:</w:t>
      </w:r>
    </w:p>
    <w:p>
      <w:pPr>
        <w:spacing w:after="0" w:line="195"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are a development stage biopharmaceutical company with no current revenues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development stage biopharmaceutical company.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collaborators:</w:t>
      </w:r>
    </w:p>
    <w:p>
      <w:pPr>
        <w:spacing w:after="0" w:line="196"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PH94B, PH10, AV-101 and/or other product candidates;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7" w:lineRule="exact"/>
        <w:rPr>
          <w:rFonts w:ascii="Arial" w:cs="Arial" w:eastAsia="Arial" w:hAnsi="Arial"/>
          <w:sz w:val="16"/>
          <w:szCs w:val="16"/>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24" w:lineRule="exact"/>
        <w:rPr>
          <w:rFonts w:ascii="Arial" w:cs="Arial" w:eastAsia="Arial" w:hAnsi="Arial"/>
          <w:sz w:val="18"/>
          <w:szCs w:val="18"/>
          <w:color w:val="auto"/>
        </w:rPr>
      </w:pPr>
    </w:p>
    <w:p>
      <w:pPr>
        <w:ind w:left="240" w:right="20" w:hanging="232"/>
        <w:spacing w:after="0" w:line="267" w:lineRule="auto"/>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323" w:lineRule="auto"/>
        <w:rPr>
          <w:sz w:val="20"/>
          <w:szCs w:val="20"/>
          <w:color w:val="auto"/>
        </w:rPr>
      </w:pPr>
      <w:r>
        <w:rPr>
          <w:rFonts w:ascii="Arial" w:cs="Arial" w:eastAsia="Arial" w:hAnsi="Arial"/>
          <w:sz w:val="15"/>
          <w:szCs w:val="15"/>
          <w:b w:val="1"/>
          <w:bCs w:val="1"/>
          <w:i w:val="1"/>
          <w:iCs w:val="1"/>
          <w:color w:val="auto"/>
        </w:rPr>
        <w:t>Our future success is highly dependent upon our ability to successfully develop and commercialize any of our current product candidates, acquire or license additional product candidates, or discover, as well as produce, develop and commercialize proprietary NCEs using our stem cell technology, and we cannot provide any assurance that we will successfully develop and commercialize PH94B, PH10, AV-101 or acquire or license additional product candidates or discover and develop NCEs, or that, if produced, PH94B, PH10, AV-101 or any other product candidate will be successfully commercialized.</w:t>
      </w:r>
    </w:p>
    <w:p>
      <w:pPr>
        <w:spacing w:after="0" w:line="15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Business development and research and development programs designed to identify, acquire or license additional product candidates, or, as the case may be, produce NCEs require substantial technical, financial and human resources, whether or not any additional product candidate is acquired or licensed or NCEs are ultimately identified and produced.</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currently have any significant pharmaceutical sales, marketing or distribution experience. We may seek to collaborate with others to develop and commercialize PH94B, PH10, AV-101, and/or other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have limited operating history with respect to drug development, including our anticipated focus on the identification and acquisition of additional product candidates or the assessment of potential NCEs and no operating history with respect to the production of NCEs, and we may never be able to produce a NCE.</w:t>
      </w:r>
    </w:p>
    <w:p>
      <w:pPr>
        <w:spacing w:after="0" w:line="19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If we are unable to develop and commercialize PH94B, PH10, AV-101 or acquire or license additional product candidates, or produce suitable NCEs using VistaStem’s technology, we may not be able to generate sufficient revenues to execute our business plan, which likely would result in significant harm to our financial position and results of operations, which could adversely impact our stock price.</w:t>
      </w:r>
    </w:p>
    <w:p>
      <w:pPr>
        <w:spacing w:after="0" w:line="19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NCEs, independently or with partners, including:</w:t>
      </w:r>
    </w:p>
    <w:p>
      <w:pPr>
        <w:spacing w:after="0" w:line="187"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identify potential candidates in the public domain, obtain sufficient quantities of them, and assess them using our bioassay systems;</w:t>
      </w:r>
    </w:p>
    <w:p>
      <w:pPr>
        <w:spacing w:after="0" w:line="247" w:lineRule="exact"/>
        <w:rPr>
          <w:rFonts w:ascii="Arial" w:cs="Arial" w:eastAsia="Arial" w:hAnsi="Arial"/>
          <w:sz w:val="16"/>
          <w:szCs w:val="16"/>
          <w:color w:val="auto"/>
        </w:rPr>
      </w:pPr>
    </w:p>
    <w:p>
      <w:pPr>
        <w:ind w:left="240" w:hanging="232"/>
        <w:spacing w:after="0" w:line="267"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seek to rescue drug candidates that are not available to us in the public domain, the extent to which third parties may be willing to out-license or sell certain candidates to us on commercially reasonable terms;</w:t>
      </w:r>
    </w:p>
    <w:p>
      <w:pPr>
        <w:spacing w:after="0" w:line="186"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6"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resources available to us to develop and commercialize lead NCEs internally, or, if we sell or out-license them to partners, the resources such partners choose to dedicate to development and commercialization of any NCEs they acquire or license from us.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we do acquire additional product candidates or produce proprietary NCEs, we can give no assurance that we will be able to develop and commercialize them as marketable drugs, on our own or in collaboration with others. Before we generate any revenues from PH94B, PH10, AV-101 or additional acquired or licensed products candidates or any NCEs, we or our potential collaborators must complete preclinical and clinical development programs, submit clinical and manufacturing data to the FDA, qualify a third party CDMO, receive regulatory approval in one or more jurisdictions, satisfy the FDA that our CDMO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both"/>
        <w:ind w:right="20"/>
        <w:spacing w:after="0" w:line="274"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potential NCEs, then VistaStem’s programs will be adversely affected.</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Success of our subsidiary, VistaStem, is partly dependent on its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potential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business may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Each potential future program undertaken by VistaStem and focused on producing a NCE will be highly dependent upon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will be more efficient or accurate at predicting the heart safety of potential NCEs than the testing models currently used.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fails to provide a meaningful difference compared to existing or new models in predicting the behavior of human heart, respectively, VistaStem’s NCE-focused activities will be limited and our business may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NCEs for which there proves to be no demand.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generate revenue from VistaStem’s NCE-focused activities, we must produce proprietary NCEs for which there proves to be demand within the healthcare marketplace, and, if we intend to out-license a particular NCE for development and commercialization prior to market approval, then also among pharmaceutical companies and other potential collaborators. However, we may produce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business may be adversely affected.</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VistaStem’s hPSC technology is technically complex, and the time and resources necessary to develop various human cell types and customized bioassay systems, although not significant at present, are difficult to predict in advance. We might decide to devote significant additional personnel and financial resources to research and development activities designed to expand our focus on potential small molecule NCEs and explore potential applications of our stem cell technology platform for RM. In particular, we may conduct exploratory nonclinical RM programs involving blood, bone, cartilage, and/or liver cells. Although we and our third-party collaborators have developed proprietary protocols to produce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NCEs, design and development of certain human cellular assays and performance of certain exploratory nonclinical RM studies. In the past, our stem cell research and development projects have been significantly delayed when we encountered unanticipated difficulties in differentiating hPSCs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RM business opportunities and results of operations.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so than in years past, certain political and religious groups in the U.S. and elsewhere may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capabilities of our technology, which could have a material adverse effect on our business.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such regulation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use both hESCs and induced pluripotent stem cells (</w:t>
      </w:r>
      <w:r>
        <w:rPr>
          <w:rFonts w:ascii="Arial" w:cs="Arial" w:eastAsia="Arial" w:hAnsi="Arial"/>
          <w:sz w:val="16"/>
          <w:szCs w:val="16"/>
          <w:i w:val="1"/>
          <w:iCs w:val="1"/>
          <w:color w:val="auto"/>
        </w:rPr>
        <w:t>iPSCs</w:t>
      </w:r>
      <w:r>
        <w:rPr>
          <w:rFonts w:ascii="Arial" w:cs="Arial" w:eastAsia="Arial" w:hAnsi="Arial"/>
          <w:sz w:val="16"/>
          <w:szCs w:val="16"/>
          <w:color w:val="auto"/>
        </w:rPr>
        <w:t xml:space="preserve">)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RM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U.S. federal and state and foreign laws and regulations are constantly evolving and can be subject to significant change. If we engage in iPSC-related research and development activities in countries other than the U.S., we may become subject to foreign laws and regulations relating to human-subjects research and other laws and regulations that are often more restrictive than those in the U.S. In addition, both the application and interpretation of these laws and regulations are often uncertain, particularly in the rapidly evolving stem cell technology sector. Compliance with these laws and regulations can be costly,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3" w:name="page64"/>
    <w:bookmarkEnd w:id="6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175"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RM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69"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approximately $20.8 million and $24.6 million during our fiscal years ended March 31, 2020 and 2019, respectively, and a net loss of approximately $6.4 million during the six months ended September 30, 2020. At September 30, 2020, we had an accumulated deficit of approximately $208.3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ability to become profitable depends upon our ability to generate recurring revenues. Through September 30, 2020, we have generated approximately $22.7 million in revenues, consisting of receipt of non-dilutive cash payments from collaborators, sublicense revenue, including the $5.0 million cash payment received under the EverInsight Agreement during the quarter ended September 30, 2020, the majority of which has been recognized as deferred revenue at that date,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product candidate, or we enter into one or more development and commercialization agreements with respect to PH94B, PH10, AV-101 or one or more other future product candidates. Our ability to generate recurring revenue depends on a number of factors, including, but not limited to, our ability to:</w:t>
      </w:r>
    </w:p>
    <w:p>
      <w:pPr>
        <w:spacing w:after="0" w:line="175"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timely complete and compose successful regulatory submissions such as NDAs or comparable documents for both the U.S. and foreign jurisdictions;</w:t>
      </w:r>
    </w:p>
    <w:p>
      <w:pPr>
        <w:spacing w:after="0" w:line="247" w:lineRule="exact"/>
        <w:rPr>
          <w:rFonts w:ascii="Arial" w:cs="Arial" w:eastAsia="Arial" w:hAnsi="Arial"/>
          <w:sz w:val="16"/>
          <w:szCs w:val="16"/>
          <w:color w:val="auto"/>
        </w:rPr>
      </w:pPr>
    </w:p>
    <w:p>
      <w:pPr>
        <w:ind w:left="240" w:hanging="232"/>
        <w:spacing w:after="0" w:line="267" w:lineRule="auto"/>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for sales and marketing capabilities; and</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our pivotal Phase 3 studies of PH94B for the acute treatment of anxiety in adults with SAD are successful, unless we enter into a contractual arrangement for the commercialization of PH94B in the U.S., we expect to incur significant sales and marketing costs as we prepare to commercialize PH94B on our own in the U.S.. Even if we initiate and successfully complete pivotal clinical trials of PH94B and our other product candidates, and all of our product candidates are approved for commercial sale, and despite expending substantial capital for sales and marketing costs, PH94B and our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audited consolidated financial statements for the year ended March 31, 2020 included in our Annual Report on Form 10-K filed with the SEC on June 29, 2020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Since our inception, a substantial portion of our resources have been dedicated to research and development of AV-101 and VistaStem’s stem cell technology platform. In particular, (i) for AV-101, we have expended substantial resources on research and development of methods and processes relating to the production of API and drug product, IND-enabling preclinical studies, Phase 1 clinical safety studies, and a Phase 2 clinical study completed in 2019 and (ii) for VistaStem, development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cardiac stem cell technology for potential RM applications licensed in connection with the Bayer Agreement. In addition, beginning in 2018, we have expended a considerable portion of our resources for research, development, manufacturing and regulatory expenses related to the development and production of PH94B and PH10. We expect to continue to expend substantial resources for the foreseeable future developing and commercializing our product candidates on our own or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September 30, 2020, we had cash and cash equivalents of approximately $15.4 million. We do not believe this amount, absent additional financing, is sufficient to enable us to fund our planned operations for at least the twelve months following the issuance of the financial statements included elsewhere in this Report. During the next twelve months, subject to securing appropriate and adequate additional financing, we plan seek capital to (i) prepare for and launch a pivotal Phase 3 clinical trial of PH94B for acute treatment of anxiety in adult patients with SAD, (ii) prepare for and launch a small exploratory Phase 2A study of PH94B for acute treatment of adult patients with adjustment disorder, (iii) prepare for and potentially launch small exploratory Phase 2A clinical studies of PH94B in postpartum anxiety, post-traumatic stress disorder and/or pre-procedural (i.e pre-MRI) anxiety, (iv) assess and potentially launch a Phase 1 study of AV-101 in combination with probenecid to enable exploratory Phase 2A development of the combination for treatment of CNS disorders, (v) conduct several nonclinical studies involving PH94B, PH10 and AV-101. and (vi) to fund our internal operations.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although we received the $5 million non-dilutive cash upfront payment under the EverInsight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our product candidates, on our own or in collaboration with others. As in prior periods, we will continue to incur costs associated with other development programs for PH94B, PH10 and AV-101. In addition, other unanticipated costs may arise. As a result of these and other factors, we will need to seek additional capital in the near term to meet our future operating plans and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and requirements. We have completed in the past, and are currently considering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Raising funds in the current economic environment may present additional challenges. Even if we believe we have sufficient funds for our current or future operating plans and requirements, we may seek additional capital if market conditions are favorable or if we have specific strategic considerations.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7" w:lineRule="exact"/>
        <w:rPr>
          <w:rFonts w:ascii="Arial" w:cs="Arial" w:eastAsia="Arial" w:hAnsi="Arial"/>
          <w:sz w:val="16"/>
          <w:szCs w:val="16"/>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7" w:lineRule="exact"/>
        <w:rPr>
          <w:rFonts w:ascii="Arial" w:cs="Arial" w:eastAsia="Arial" w:hAnsi="Arial"/>
          <w:sz w:val="16"/>
          <w:szCs w:val="16"/>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manufacturing and formulating our product candidates and any products we successfully commercialize;</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247" w:lineRule="exact"/>
        <w:rPr>
          <w:rFonts w:ascii="Arial" w:cs="Arial" w:eastAsia="Arial" w:hAnsi="Arial"/>
          <w:sz w:val="16"/>
          <w:szCs w:val="16"/>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25" w:lineRule="exact"/>
        <w:rPr>
          <w:sz w:val="20"/>
          <w:szCs w:val="20"/>
          <w:color w:val="auto"/>
        </w:rPr>
      </w:pPr>
    </w:p>
    <w:p>
      <w:pPr>
        <w:ind w:left="120" w:hanging="120"/>
        <w:spacing w:after="0" w:line="267" w:lineRule="auto"/>
        <w:rPr>
          <w:sz w:val="20"/>
          <w:szCs w:val="20"/>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7" w:lineRule="exact"/>
        <w:rPr>
          <w:sz w:val="20"/>
          <w:szCs w:val="20"/>
          <w:color w:val="auto"/>
        </w:rPr>
      </w:pPr>
    </w:p>
    <w:p>
      <w:pPr>
        <w:ind w:left="240" w:hanging="232"/>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7" w:lineRule="exact"/>
        <w:rPr>
          <w:rFonts w:ascii="Arial" w:cs="Arial" w:eastAsia="Arial" w:hAnsi="Arial"/>
          <w:sz w:val="16"/>
          <w:szCs w:val="16"/>
          <w:color w:val="auto"/>
        </w:rPr>
      </w:pPr>
    </w:p>
    <w:p>
      <w:pPr>
        <w:ind w:left="240" w:hanging="232"/>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6" w:name="page67"/>
    <w:bookmarkEnd w:id="6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our ability to engage in certain types of capital raising transactions may be limited by the Listing Rules of the Nasdaq Stock Market and/or General Instruction I.B.6 of Form S-3 if the market value of our common stock held by non-affiliates is ever below $75 million at a time we seek to utilize our effective registration statement on Form S-3.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8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59" w:lineRule="exact"/>
        <w:rPr>
          <w:sz w:val="20"/>
          <w:szCs w:val="20"/>
          <w:color w:val="auto"/>
        </w:rPr>
      </w:pPr>
    </w:p>
    <w:p>
      <w:pPr>
        <w:jc w:val="both"/>
        <w:ind w:firstLine="55"/>
        <w:spacing w:after="0" w:line="267" w:lineRule="auto"/>
        <w:rPr>
          <w:sz w:val="20"/>
          <w:szCs w:val="20"/>
          <w:color w:val="auto"/>
        </w:rPr>
      </w:pPr>
      <w:r>
        <w:rPr>
          <w:rFonts w:ascii="Arial" w:cs="Arial" w:eastAsia="Arial" w:hAnsi="Arial"/>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date, our principal sources of capital used to fund our development programs and other operations have been the net proceeds we received from sales of equity securities, as described herein.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most recent global financial crisis caused by COVID-19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7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b w:val="1"/>
          <w:bCs w:val="1"/>
          <w:i w:val="1"/>
          <w:iCs w:val="1"/>
          <w:color w:val="auto"/>
        </w:rPr>
        <w:t>We received funds from the Paycheck Protection Program enacted by Congress under the Coronavirus Aid, Relief and Economic Security Act, which funds must be repaid if we do not meet the criteria for forgiveness established by the U.S. Small Business Administration.</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22, 2020, we entered into a note payable agreement, pursuant to which we received net proceeds of approximately $224,000 from a potentially forgivable loan from the U.S. Small Business Administration (</w:t>
      </w:r>
      <w:r>
        <w:rPr>
          <w:rFonts w:ascii="Arial" w:cs="Arial" w:eastAsia="Arial" w:hAnsi="Arial"/>
          <w:sz w:val="16"/>
          <w:szCs w:val="16"/>
          <w:i w:val="1"/>
          <w:iCs w:val="1"/>
          <w:color w:val="auto"/>
        </w:rPr>
        <w:t>SBA</w:t>
      </w:r>
      <w:r>
        <w:rPr>
          <w:rFonts w:ascii="Arial" w:cs="Arial" w:eastAsia="Arial" w:hAnsi="Arial"/>
          <w:sz w:val="16"/>
          <w:szCs w:val="16"/>
          <w:color w:val="auto"/>
        </w:rPr>
        <w:t>) pursuant to the Paycheck Protection Program (</w:t>
      </w:r>
      <w:r>
        <w:rPr>
          <w:rFonts w:ascii="Arial" w:cs="Arial" w:eastAsia="Arial" w:hAnsi="Arial"/>
          <w:sz w:val="16"/>
          <w:szCs w:val="16"/>
          <w:i w:val="1"/>
          <w:iCs w:val="1"/>
          <w:color w:val="auto"/>
        </w:rPr>
        <w:t>PPP</w:t>
      </w:r>
      <w:r>
        <w:rPr>
          <w:rFonts w:ascii="Arial" w:cs="Arial" w:eastAsia="Arial" w:hAnsi="Arial"/>
          <w:sz w:val="16"/>
          <w:szCs w:val="16"/>
          <w:color w:val="auto"/>
        </w:rPr>
        <w:t xml:space="preserve">) enacted by Congress under the Coronavirus Aid, Relief, and Economic Security Act (the </w:t>
      </w:r>
      <w:r>
        <w:rPr>
          <w:rFonts w:ascii="Arial" w:cs="Arial" w:eastAsia="Arial" w:hAnsi="Arial"/>
          <w:sz w:val="16"/>
          <w:szCs w:val="16"/>
          <w:i w:val="1"/>
          <w:iCs w:val="1"/>
          <w:color w:val="auto"/>
        </w:rPr>
        <w:t>CARES Act</w:t>
      </w:r>
      <w:r>
        <w:rPr>
          <w:rFonts w:ascii="Arial" w:cs="Arial" w:eastAsia="Arial" w:hAnsi="Arial"/>
          <w:sz w:val="16"/>
          <w:szCs w:val="16"/>
          <w:color w:val="auto"/>
        </w:rPr>
        <w:t xml:space="preserve">) administered by the SBA (the </w:t>
      </w:r>
      <w:r>
        <w:rPr>
          <w:rFonts w:ascii="Arial" w:cs="Arial" w:eastAsia="Arial" w:hAnsi="Arial"/>
          <w:sz w:val="16"/>
          <w:szCs w:val="16"/>
          <w:i w:val="1"/>
          <w:iCs w:val="1"/>
          <w:color w:val="auto"/>
        </w:rPr>
        <w:t>PPP Loan</w:t>
      </w:r>
      <w:r>
        <w:rPr>
          <w:rFonts w:ascii="Arial" w:cs="Arial" w:eastAsia="Arial" w:hAnsi="Arial"/>
          <w:sz w:val="16"/>
          <w:szCs w:val="16"/>
          <w:color w:val="auto"/>
        </w:rPr>
        <w:t>). The PPP Loan provides working capital to us and matures on April 22, 2022. Under the CARES Act and the PPP Loan Agreement, all payments of both principal and interest are deferred until at least October 22, 2020. The PPP Loan accrues interest at a rate of 1.00% per annum, and interest will continue to accrue throughout the period the PPP Loan is outstanding, or until it is forgiven. The CARES Act (including subsequent guidance issued by SBA and U.S. Department of the Treasury related thereto) provides that all or a portion of the PPP Loan may be forgiven upon our request to the Lender, subject to requirements in the PPP Loan Agreement and the CARES Act. We submitted our request for forgiveness of the PPP Loan to the SBA on September 23, 2020. Although no assurances can be given, we currently believe that we will be able to satisfy the applicable requirements for forgiveness of the PPP Loan and expect that the PPP Loan will be forgiven.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8"/>
          <w:szCs w:val="18"/>
          <w:b w:val="1"/>
          <w:bCs w:val="1"/>
          <w:color w:val="auto"/>
        </w:rPr>
        <w:t>.</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of our staff does not permit appropriate segregation of duties to (a) permit appropriate review of accounting transactions and/or accounting treatment by multiple qualified individuals, and</w:t>
      </w:r>
    </w:p>
    <w:p>
      <w:pPr>
        <w:spacing w:after="0" w:line="1" w:lineRule="exact"/>
        <w:rPr>
          <w:sz w:val="20"/>
          <w:szCs w:val="20"/>
          <w:color w:val="auto"/>
        </w:rPr>
      </w:pPr>
    </w:p>
    <w:p>
      <w:pPr>
        <w:jc w:val="both"/>
        <w:ind w:right="20" w:firstLine="8"/>
        <w:spacing w:after="0" w:line="255" w:lineRule="auto"/>
        <w:tabs>
          <w:tab w:leader="none" w:pos="2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intend to continue to pursue private and public equity offerings, debt financings, strategic collaborations and licensing arrangements during 2020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including the impact of the ongoing COVID-19 pandemic.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As of March 31, 2020, we had federal and state net operating loss carryforwards of approximately $125.1 million and $64.1 million, respectively, which have begun to expire in fiscal 2021 and will continue to expire in future periods.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our other employees, advisors, consultants and scientific and clinical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pharmaceuticals field is intense. We will need to hire additional personnel to expand our administrative, research and development and commercial activities. We may not be able to attract and retain quality personnel on acceptable terms.</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seek to advance development of our product candidates, we may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commercial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any NCE, other product candidate, or RM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5"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or political conditions could adversely affect our business, financial condition or results of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CDMOs,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 development programs or otherwise materially harm our operations.</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CDMOs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CDMOs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acquire additional businesses or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current political environment in the U.S. has led many incumbents and political candidates to propose various measures to reduce the prices for pharmaceuticals. As a result of the U.S. presidential 2020 elections,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hPSC technology.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96"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95" w:lineRule="exact"/>
        <w:rPr>
          <w:sz w:val="20"/>
          <w:szCs w:val="20"/>
          <w:color w:val="auto"/>
        </w:rPr>
      </w:pPr>
    </w:p>
    <w:p>
      <w:pPr>
        <w:jc w:val="both"/>
        <w:spacing w:after="0" w:line="317" w:lineRule="auto"/>
        <w:rPr>
          <w:sz w:val="20"/>
          <w:szCs w:val="20"/>
          <w:color w:val="auto"/>
        </w:rPr>
      </w:pPr>
      <w:r>
        <w:rPr>
          <w:rFonts w:ascii="Arial" w:cs="Arial" w:eastAsia="Arial" w:hAnsi="Arial"/>
          <w:sz w:val="15"/>
          <w:szCs w:val="15"/>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2" w:name="page73"/>
    <w:bookmarkEnd w:id="7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240" w:hanging="232"/>
        <w:spacing w:after="0" w:line="258"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95"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86"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or derivation proceedings before the United States or other jurisdictions.</w:t>
      </w:r>
    </w:p>
    <w:p>
      <w:pPr>
        <w:spacing w:after="0" w:line="17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5" w:name="page76"/>
    <w:bookmarkEnd w:id="75"/>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7"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7" w:lineRule="exact"/>
        <w:rPr>
          <w:rFonts w:ascii="Arial" w:cs="Arial" w:eastAsia="Arial" w:hAnsi="Arial"/>
          <w:sz w:val="16"/>
          <w:szCs w:val="16"/>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77"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9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9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6"/>
          <w:szCs w:val="16"/>
          <w:i w:val="1"/>
          <w:iCs w:val="1"/>
          <w:color w:val="auto"/>
        </w:rPr>
        <w:t>Mayo Collaborative Services, DBA</w:t>
      </w:r>
      <w:r>
        <w:rPr>
          <w:rFonts w:ascii="Arial" w:cs="Arial" w:eastAsia="Arial" w:hAnsi="Arial"/>
          <w:sz w:val="16"/>
          <w:szCs w:val="16"/>
          <w:color w:val="auto"/>
        </w:rPr>
        <w:t xml:space="preserve"> </w:t>
      </w:r>
      <w:r>
        <w:rPr>
          <w:rFonts w:ascii="Arial" w:cs="Arial" w:eastAsia="Arial" w:hAnsi="Arial"/>
          <w:sz w:val="16"/>
          <w:szCs w:val="16"/>
          <w:i w:val="1"/>
          <w:iCs w:val="1"/>
          <w:color w:val="auto"/>
        </w:rPr>
        <w:t>Mayo Medical Laboratories, et al. v. Prometheus Laboratories, Inc.</w:t>
      </w:r>
      <w:r>
        <w:rPr>
          <w:rFonts w:ascii="Arial" w:cs="Arial" w:eastAsia="Arial" w:hAnsi="Arial"/>
          <w:sz w:val="16"/>
          <w:szCs w:val="16"/>
          <w:color w:val="auto"/>
        </w:rPr>
        <w:t>, the Court held that several claims drawn to measuring drug metabolite levels from patient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6"/>
          <w:szCs w:val="16"/>
          <w:i w:val="1"/>
          <w:iCs w:val="1"/>
          <w:color w:val="auto"/>
        </w:rPr>
        <w:t>Ariosa Diagnostics, Inc. v. Sequenom, Inc</w:t>
      </w:r>
      <w:r>
        <w:rPr>
          <w:rFonts w:ascii="Arial" w:cs="Arial" w:eastAsia="Arial" w:hAnsi="Arial"/>
          <w:sz w:val="16"/>
          <w:szCs w:val="16"/>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334" w:lineRule="auto"/>
        <w:rPr>
          <w:sz w:val="20"/>
          <w:szCs w:val="20"/>
          <w:color w:val="auto"/>
        </w:rPr>
      </w:pPr>
      <w:r>
        <w:rPr>
          <w:rFonts w:ascii="Arial" w:cs="Arial" w:eastAsia="Arial" w:hAnsi="Arial"/>
          <w:sz w:val="15"/>
          <w:szCs w:val="15"/>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4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6" w:lineRule="exact"/>
        <w:rPr>
          <w:sz w:val="20"/>
          <w:szCs w:val="20"/>
          <w:color w:val="auto"/>
        </w:rPr>
      </w:pPr>
    </w:p>
    <w:p>
      <w:pPr>
        <w:ind w:left="240" w:hanging="232"/>
        <w:spacing w:after="0" w:line="267"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4" w:lineRule="exact"/>
        <w:rPr>
          <w:rFonts w:ascii="Arial" w:cs="Arial" w:eastAsia="Arial" w:hAnsi="Arial"/>
          <w:sz w:val="18"/>
          <w:szCs w:val="18"/>
          <w:color w:val="auto"/>
        </w:rPr>
      </w:pPr>
    </w:p>
    <w:p>
      <w:pPr>
        <w:ind w:left="240" w:hanging="232"/>
        <w:spacing w:after="0" w:line="267"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6"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31, 2020, we were notified by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xml:space="preserve">)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Nasdaq Listing Rule 5550(a)(2) (the </w:t>
      </w:r>
      <w:r>
        <w:rPr>
          <w:rFonts w:ascii="Arial" w:cs="Arial" w:eastAsia="Arial" w:hAnsi="Arial"/>
          <w:sz w:val="16"/>
          <w:szCs w:val="16"/>
          <w:i w:val="1"/>
          <w:iCs w:val="1"/>
          <w:color w:val="auto"/>
        </w:rPr>
        <w:t>Bid Price Rule</w:t>
      </w:r>
      <w:r>
        <w:rPr>
          <w:rFonts w:ascii="Arial" w:cs="Arial" w:eastAsia="Arial" w:hAnsi="Arial"/>
          <w:sz w:val="16"/>
          <w:szCs w:val="16"/>
          <w:color w:val="auto"/>
        </w:rPr>
        <w:t>). To regain compliance, the bid price of our common stock must have a closing bid price of at least $1.00 per share for a minimum of 10 consecutive business days.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were granted until October 12, 2020 to regain compliance with the Bid Price Rule. We did not regain compliance with the Bid Price Rule by October 12, 2020, however we notified Nasdaq in writing of our intent to cure the deficiency during a second compliance period. On October 13, 2020, Nasdaq notified us that based on our satisfaction of the remaining Nasdaq Capital Market listing requirements and our statement of intent to cure the bid price deficiency, Nasdaq had granted us a second 180-day compliance period, or through April 12, 2021, in which to regain compliance. If we fail to regain compliance during the second 180-day period, then Nasdaq will notify us of its determination to delist our common stock, at which point we will have an opportunity to appeal the delisting determination to a hearings panel.</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0"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economic conditions caused by the ongoing COVID-19 pandemic;</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0" w:name="page81"/>
    <w:bookmarkEnd w:id="80"/>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sales or purchases of large blocks of our common stock, including sales or purchases by our executive officers, directors and significant stockholders;</w:t>
      </w:r>
    </w:p>
    <w:p>
      <w:pPr>
        <w:spacing w:after="0" w:line="247" w:lineRule="exact"/>
        <w:rPr>
          <w:rFonts w:ascii="Arial" w:cs="Arial" w:eastAsia="Arial" w:hAnsi="Arial"/>
          <w:sz w:val="16"/>
          <w:szCs w:val="16"/>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4" w:lineRule="exact"/>
        <w:rPr>
          <w:rFonts w:ascii="Arial" w:cs="Arial" w:eastAsia="Arial" w:hAnsi="Arial"/>
          <w:sz w:val="18"/>
          <w:szCs w:val="18"/>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September 30, 2020; (ii) 4.0 million shares of Series B 10% Convertible Preferred stock, of which approximately 1.2 million shares remain issued and outstanding at September 30, 2020; and (iii) 3.0 million shares of Series C Convertible Preferred Stock, of which approximately 2.3 million shares are issued and outstanding at September 30, 2020.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1" w:name="page82"/>
    <w:bookmarkEnd w:id="81"/>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0"/>
                <w:szCs w:val="20"/>
                <w:color w:val="auto"/>
              </w:rPr>
            </w:pP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31.1</w:t>
              </w:r>
            </w:hyperlink>
          </w:p>
        </w:tc>
        <w:tc>
          <w:tcPr>
            <w:tcW w:w="10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2"/>
              </w:rPr>
              <w:t>Certification of the Principal Executive Officer required by Rule 13a-14(a) under the Securities Exchange Act of 1934, as amended,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1000" w:type="dxa"/>
            <w:vAlign w:val="bottom"/>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31.2</w:t>
              </w:r>
            </w:hyperlink>
          </w:p>
        </w:tc>
        <w:tc>
          <w:tcPr>
            <w:tcW w:w="10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Certification of the Principal Financial Officer required by Rule 13a-14(a) under the Securities Exchange Act of 1934, as amended,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60" w:hanging="1352"/>
        <w:spacing w:after="0" w:line="267" w:lineRule="auto"/>
        <w:tabs>
          <w:tab w:leader="none" w:pos="1360" w:val="left"/>
        </w:tabs>
        <w:numPr>
          <w:ilvl w:val="0"/>
          <w:numId w:val="31"/>
        </w:numPr>
        <w:rPr>
          <w:rFonts w:ascii="Arial" w:cs="Arial" w:eastAsia="Arial" w:hAnsi="Arial"/>
          <w:sz w:val="18"/>
          <w:szCs w:val="18"/>
          <w:u w:val="single" w:color="auto"/>
          <w:color w:val="0000EE"/>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2736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7368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220" w:type="dxa"/>
            <w:vAlign w:val="bottom"/>
          </w:tcPr>
          <w:p>
            <w:pPr>
              <w:ind w:left="34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22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22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ectPr>
          <w:pgSz w:w="11900" w:h="16838" w:orient="portrait"/>
          <w:cols w:equalWidth="0" w:num="1">
            <w:col w:w="11240"/>
          </w:cols>
          <w:pgMar w:left="320" w:top="130" w:right="339" w:bottom="4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451" w:gutter="0" w:footer="0" w:header="0"/>
          <w:type w:val="continuous"/>
        </w:sectPr>
      </w:pPr>
    </w:p>
    <w:bookmarkStart w:id="82" w:name="page83"/>
    <w:bookmarkEnd w:id="82"/>
    <w:p>
      <w:pPr>
        <w:spacing w:after="0"/>
        <w:rPr>
          <w:rFonts w:ascii="Arial" w:cs="Arial" w:eastAsia="Arial" w:hAnsi="Arial"/>
          <w:sz w:val="15"/>
          <w:szCs w:val="15"/>
          <w:i w:val="1"/>
          <w:iCs w:val="1"/>
          <w:u w:val="single" w:color="auto"/>
          <w:color w:val="0000EE"/>
        </w:rPr>
      </w:pPr>
      <w:hyperlink w:anchor="page2">
        <w:r>
          <w:rPr>
            <w:rFonts w:ascii="Arial" w:cs="Arial" w:eastAsia="Arial" w:hAnsi="Arial"/>
            <w:sz w:val="15"/>
            <w:szCs w:val="15"/>
            <w:i w:val="1"/>
            <w:iCs w:val="1"/>
            <w:u w:val="single" w:color="auto"/>
            <w:color w:val="0000EE"/>
          </w:rPr>
          <w:t>Table of Contents</w:t>
        </w:r>
      </w:hyperlink>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6" w:lineRule="exact"/>
        <w:rPr>
          <w:sz w:val="20"/>
          <w:szCs w:val="20"/>
          <w:color w:val="auto"/>
        </w:rPr>
      </w:pPr>
    </w:p>
    <w:p>
      <w:pPr>
        <w:ind w:firstLine="175"/>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8"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November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8"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4"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95" w:lineRule="exact"/>
        <w:rPr>
          <w:rFonts w:ascii="Arial" w:cs="Arial" w:eastAsia="Arial" w:hAnsi="Arial"/>
          <w:sz w:val="18"/>
          <w:szCs w:val="18"/>
          <w:color w:val="auto"/>
        </w:rPr>
      </w:pPr>
    </w:p>
    <w:p>
      <w:pPr>
        <w:ind w:left="660" w:hanging="652"/>
        <w:spacing w:after="0" w:line="33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660" w:right="20" w:hanging="652"/>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jc w:val="both"/>
        <w:ind w:firstLine="331"/>
        <w:spacing w:after="0" w:line="258" w:lineRule="auto"/>
        <w:tabs>
          <w:tab w:leader="none" w:pos="1066"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jc w:val="both"/>
        <w:ind w:firstLine="331"/>
        <w:spacing w:after="0" w:line="258" w:lineRule="auto"/>
        <w:tabs>
          <w:tab w:leader="none" w:pos="121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ind w:firstLine="331"/>
        <w:spacing w:after="0" w:line="331" w:lineRule="auto"/>
        <w:tabs>
          <w:tab w:leader="none" w:pos="1259"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1"/>
        <w:spacing w:after="0" w:line="258" w:lineRule="auto"/>
        <w:tabs>
          <w:tab w:leader="none" w:pos="10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660" w:right="20" w:hanging="652"/>
        <w:spacing w:after="0" w:line="33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1"/>
        <w:spacing w:after="0" w:line="267" w:lineRule="auto"/>
        <w:tabs>
          <w:tab w:leader="none" w:pos="102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8"/>
          <w:szCs w:val="18"/>
          <w:color w:val="auto"/>
        </w:rPr>
      </w:pPr>
    </w:p>
    <w:p>
      <w:pPr>
        <w:ind w:firstLine="331"/>
        <w:spacing w:after="0" w:line="267" w:lineRule="auto"/>
        <w:tabs>
          <w:tab w:leader="none" w:pos="1012"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vMerge w:val="restart"/>
          </w:tcPr>
          <w:p>
            <w:pPr>
              <w:ind w:left="60"/>
              <w:spacing w:after="0"/>
              <w:rPr>
                <w:sz w:val="20"/>
                <w:szCs w:val="20"/>
                <w:color w:val="auto"/>
              </w:rPr>
            </w:pPr>
            <w:r>
              <w:rPr>
                <w:rFonts w:ascii="Arial" w:cs="Arial" w:eastAsia="Arial" w:hAnsi="Arial"/>
                <w:sz w:val="18"/>
                <w:szCs w:val="18"/>
                <w:color w:val="auto"/>
              </w:rPr>
              <w:t>November 12, 2020</w:t>
            </w:r>
          </w:p>
        </w:tc>
        <w:tc>
          <w:tcPr>
            <w:tcW w:w="5600" w:type="dxa"/>
            <w:vAlign w:val="bottom"/>
            <w:gridSpan w:val="2"/>
          </w:tcPr>
          <w:p>
            <w:pPr>
              <w:spacing w:after="0"/>
              <w:rPr>
                <w:sz w:val="20"/>
                <w:szCs w:val="20"/>
                <w:color w:val="auto"/>
              </w:rPr>
            </w:pPr>
            <w:r>
              <w:rPr>
                <w:rFonts w:ascii="Arial" w:cs="Arial" w:eastAsia="Arial" w:hAnsi="Arial"/>
                <w:sz w:val="18"/>
                <w:szCs w:val="18"/>
                <w:color w:val="auto"/>
              </w:rPr>
              <w:t>/s/ Shawn K. Singh</w:t>
            </w:r>
          </w:p>
        </w:tc>
        <w:tc>
          <w:tcPr>
            <w:tcW w:w="0" w:type="dxa"/>
            <w:vAlign w:val="bottom"/>
          </w:tcPr>
          <w:p>
            <w:pPr>
              <w:spacing w:after="0"/>
              <w:rPr>
                <w:sz w:val="1"/>
                <w:szCs w:val="1"/>
                <w:color w:val="auto"/>
              </w:rPr>
            </w:pPr>
          </w:p>
        </w:tc>
      </w:tr>
      <w:tr>
        <w:trPr>
          <w:trHeight w:val="126"/>
        </w:trPr>
        <w:tc>
          <w:tcPr>
            <w:tcW w:w="5640" w:type="dxa"/>
            <w:vAlign w:val="bottom"/>
            <w:vMerge w:val="continue"/>
          </w:tcPr>
          <w:p>
            <w:pPr>
              <w:spacing w:after="0"/>
              <w:rPr>
                <w:sz w:val="10"/>
                <w:szCs w:val="10"/>
                <w:color w:val="auto"/>
              </w:rPr>
            </w:pPr>
          </w:p>
        </w:tc>
        <w:tc>
          <w:tcPr>
            <w:tcW w:w="13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Shawn K. Singh</w:t>
            </w:r>
          </w:p>
        </w:tc>
        <w:tc>
          <w:tcPr>
            <w:tcW w:w="4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6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4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899"/>
        </w:trPr>
        <w:tc>
          <w:tcPr>
            <w:tcW w:w="5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4"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95" w:lineRule="exact"/>
        <w:rPr>
          <w:rFonts w:ascii="Arial" w:cs="Arial" w:eastAsia="Arial" w:hAnsi="Arial"/>
          <w:sz w:val="18"/>
          <w:szCs w:val="18"/>
          <w:color w:val="auto"/>
        </w:rPr>
      </w:pPr>
    </w:p>
    <w:p>
      <w:pPr>
        <w:ind w:left="660" w:hanging="652"/>
        <w:spacing w:after="0" w:line="33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jc w:val="both"/>
        <w:ind w:left="660" w:right="20" w:hanging="652"/>
        <w:spacing w:after="0" w:line="25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jc w:val="both"/>
        <w:ind w:firstLine="331"/>
        <w:spacing w:after="0" w:line="258" w:lineRule="auto"/>
        <w:tabs>
          <w:tab w:leader="none" w:pos="1066"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5" w:lineRule="exact"/>
        <w:rPr>
          <w:rFonts w:ascii="Arial" w:cs="Arial" w:eastAsia="Arial" w:hAnsi="Arial"/>
          <w:sz w:val="18"/>
          <w:szCs w:val="18"/>
          <w:color w:val="auto"/>
        </w:rPr>
      </w:pPr>
    </w:p>
    <w:p>
      <w:pPr>
        <w:jc w:val="both"/>
        <w:ind w:firstLine="331"/>
        <w:spacing w:after="0" w:line="258" w:lineRule="auto"/>
        <w:tabs>
          <w:tab w:leader="none" w:pos="12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ind w:firstLine="331"/>
        <w:spacing w:after="0" w:line="331" w:lineRule="auto"/>
        <w:tabs>
          <w:tab w:leader="none" w:pos="1259"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1"/>
        <w:spacing w:after="0" w:line="258" w:lineRule="auto"/>
        <w:tabs>
          <w:tab w:leader="none" w:pos="106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660" w:right="20" w:hanging="652"/>
        <w:spacing w:after="0" w:line="331"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1"/>
        <w:spacing w:after="0" w:line="267" w:lineRule="auto"/>
        <w:tabs>
          <w:tab w:leader="none" w:pos="1026"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8"/>
          <w:szCs w:val="18"/>
          <w:color w:val="auto"/>
        </w:rPr>
      </w:pPr>
    </w:p>
    <w:p>
      <w:pPr>
        <w:ind w:firstLine="331"/>
        <w:spacing w:after="0" w:line="267" w:lineRule="auto"/>
        <w:tabs>
          <w:tab w:leader="none" w:pos="10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vMerge w:val="restart"/>
          </w:tcPr>
          <w:p>
            <w:pPr>
              <w:ind w:left="60"/>
              <w:spacing w:after="0"/>
              <w:rPr>
                <w:sz w:val="20"/>
                <w:szCs w:val="20"/>
                <w:color w:val="auto"/>
              </w:rPr>
            </w:pPr>
            <w:r>
              <w:rPr>
                <w:rFonts w:ascii="Arial" w:cs="Arial" w:eastAsia="Arial" w:hAnsi="Arial"/>
                <w:sz w:val="18"/>
                <w:szCs w:val="18"/>
                <w:color w:val="auto"/>
              </w:rPr>
              <w:t>November 12, 2020</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Jerrold D. Dotson</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640" w:type="dxa"/>
            <w:vAlign w:val="bottom"/>
            <w:vMerge w:val="continue"/>
          </w:tcPr>
          <w:p>
            <w:pPr>
              <w:spacing w:after="0"/>
              <w:rPr>
                <w:sz w:val="10"/>
                <w:szCs w:val="10"/>
                <w:color w:val="auto"/>
              </w:rPr>
            </w:pPr>
          </w:p>
        </w:tc>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Jerrold D. Dotson</w:t>
            </w:r>
          </w:p>
        </w:tc>
        <w:tc>
          <w:tcPr>
            <w:tcW w:w="0" w:type="dxa"/>
            <w:vAlign w:val="bottom"/>
          </w:tcPr>
          <w:p>
            <w:pPr>
              <w:spacing w:after="0"/>
              <w:rPr>
                <w:sz w:val="1"/>
                <w:szCs w:val="1"/>
                <w:color w:val="auto"/>
              </w:rPr>
            </w:pPr>
          </w:p>
        </w:tc>
      </w:tr>
      <w:tr>
        <w:trPr>
          <w:trHeight w:val="101"/>
        </w:trPr>
        <w:tc>
          <w:tcPr>
            <w:tcW w:w="5640" w:type="dxa"/>
            <w:vAlign w:val="bottom"/>
          </w:tcPr>
          <w:p>
            <w:pPr>
              <w:spacing w:after="0"/>
              <w:rPr>
                <w:sz w:val="8"/>
                <w:szCs w:val="8"/>
                <w:color w:val="auto"/>
              </w:rPr>
            </w:pPr>
          </w:p>
        </w:tc>
        <w:tc>
          <w:tcPr>
            <w:tcW w:w="5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1115"/>
        </w:trPr>
        <w:tc>
          <w:tcPr>
            <w:tcW w:w="5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September 30, 2020,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6"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November 12, 2020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Roman"/>
      <w:start w:val="4"/>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Letter"/>
      <w:start w:val="2"/>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32"/>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2020-11-12T15:44:17Z</dcterms:created>
  <dcterms:modified xsi:type="dcterms:W3CDTF">2020-11-12T15:44:17Z</dcterms:modified>
</cp:coreProperties>
</file>