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242570</wp:posOffset>
            </wp:positionH>
            <wp:positionV relativeFrom="page">
              <wp:posOffset>500380</wp:posOffset>
            </wp:positionV>
            <wp:extent cx="69608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571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517525</wp:posOffset>
            </wp:positionV>
            <wp:extent cx="69608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571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February 13, 2025</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ectPr>
          <w:pgSz w:w="11900" w:h="16838" w:orient="portrait"/>
          <w:cols w:equalWidth="0" w:num="1">
            <w:col w:w="11300"/>
          </w:cols>
          <w:pgMar w:left="300" w:top="1097" w:right="299" w:bottom="1440" w:gutter="0" w:footer="0" w:header="0"/>
        </w:sectPr>
      </w:pPr>
    </w:p>
    <w:p>
      <w:pPr>
        <w:spacing w:after="0" w:line="152"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Nevada</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000-54014</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20-5093315</w:t>
      </w:r>
    </w:p>
    <w:p>
      <w:pPr>
        <w:spacing w:after="0" w:line="46" w:lineRule="exact"/>
        <w:rPr>
          <w:sz w:val="24"/>
          <w:szCs w:val="24"/>
          <w:color w:val="auto"/>
        </w:rPr>
      </w:pPr>
    </w:p>
    <w:p>
      <w:pPr>
        <w:sectPr>
          <w:pgSz w:w="11900" w:h="16838" w:orient="portrait"/>
          <w:cols w:equalWidth="0" w:num="3">
            <w:col w:w="4680" w:space="720"/>
            <w:col w:w="3000" w:space="720"/>
            <w:col w:w="2180"/>
          </w:cols>
          <w:pgMar w:left="300" w:top="1097" w:right="29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1"/>
          <w:szCs w:val="11"/>
          <w:i w:val="1"/>
          <w:iCs w:val="1"/>
          <w:color w:val="auto"/>
        </w:rPr>
        <w:t>(State or other jurisdiction of</w:t>
      </w:r>
    </w:p>
    <w:p>
      <w:pPr>
        <w:spacing w:after="0" w:line="2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2"/>
          <w:szCs w:val="12"/>
          <w:i w:val="1"/>
          <w:iCs w:val="1"/>
          <w:color w:val="auto"/>
        </w:rPr>
        <w:t>incorporation)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Times New Roman" w:cs="Times New Roman" w:eastAsia="Times New Roman" w:hAnsi="Times New Roman"/>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2"/>
          <w:szCs w:val="12"/>
          <w:i w:val="1"/>
          <w:iCs w:val="1"/>
          <w:color w:val="auto"/>
        </w:rPr>
        <w:t>(IRS Employer</w:t>
      </w:r>
    </w:p>
    <w:p>
      <w:pPr>
        <w:spacing w:after="0" w:line="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1"/>
          <w:szCs w:val="11"/>
          <w:i w:val="1"/>
          <w:iCs w:val="1"/>
          <w:color w:val="auto"/>
        </w:rPr>
        <w:t>Identification Number)</w:t>
      </w:r>
    </w:p>
    <w:p>
      <w:pPr>
        <w:spacing w:after="0" w:line="199" w:lineRule="exact"/>
        <w:rPr>
          <w:sz w:val="24"/>
          <w:szCs w:val="24"/>
          <w:color w:val="auto"/>
        </w:rPr>
      </w:pPr>
    </w:p>
    <w:p>
      <w:pPr>
        <w:sectPr>
          <w:pgSz w:w="11900" w:h="16838" w:orient="portrait"/>
          <w:cols w:equalWidth="0" w:num="3">
            <w:col w:w="4280" w:space="720"/>
            <w:col w:w="3140" w:space="720"/>
            <w:col w:w="2440"/>
          </w:cols>
          <w:pgMar w:left="300" w:top="1097" w:right="29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12"/>
          <w:szCs w:val="12"/>
          <w:b w:val="1"/>
          <w:bCs w:val="1"/>
          <w:color w:val="auto"/>
        </w:rPr>
        <w:t>343 Allerton Ave.</w:t>
      </w:r>
    </w:p>
    <w:p>
      <w:pPr>
        <w:spacing w:after="0" w:line="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South San Francisco, California 94080</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(650</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577-3600</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(Registrant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 telephone number, including area code)</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(Former name or former address, if changed since last report)</w:t>
      </w:r>
    </w:p>
    <w:p>
      <w:pPr>
        <w:sectPr>
          <w:pgSz w:w="11900" w:h="16838" w:orient="portrait"/>
          <w:cols w:equalWidth="0" w:num="1">
            <w:col w:w="11300"/>
          </w:cols>
          <w:pgMar w:left="300" w:top="1097" w:right="299" w:bottom="1440" w:gutter="0" w:footer="0" w:header="0"/>
          <w:type w:val="continuous"/>
        </w:sectPr>
      </w:pP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Soliciting material pursuant to Rule 14a-12 under the Exchange Act (17 CFR 240.14a -12)</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860" w:type="dxa"/>
            <w:vAlign w:val="bottom"/>
          </w:tcPr>
          <w:p>
            <w:pPr>
              <w:spacing w:after="0"/>
              <w:rPr>
                <w:sz w:val="13"/>
                <w:szCs w:val="13"/>
                <w:color w:val="auto"/>
              </w:rPr>
            </w:pPr>
          </w:p>
        </w:tc>
        <w:tc>
          <w:tcPr>
            <w:tcW w:w="4220" w:type="dxa"/>
            <w:vAlign w:val="bottom"/>
          </w:tcPr>
          <w:p>
            <w:pPr>
              <w:spacing w:after="0"/>
              <w:rPr>
                <w:sz w:val="13"/>
                <w:szCs w:val="13"/>
                <w:color w:val="auto"/>
              </w:rPr>
            </w:pPr>
          </w:p>
        </w:tc>
      </w:tr>
      <w:tr>
        <w:trPr>
          <w:trHeight w:val="310"/>
        </w:trPr>
        <w:tc>
          <w:tcPr>
            <w:tcW w:w="420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2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55"/>
        </w:trPr>
        <w:tc>
          <w:tcPr>
            <w:tcW w:w="420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VTGN</w:t>
            </w:r>
          </w:p>
        </w:tc>
        <w:tc>
          <w:tcPr>
            <w:tcW w:w="4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Nasdaq Capital Market</w:t>
            </w:r>
          </w:p>
        </w:tc>
      </w:tr>
    </w:tbl>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23"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533400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wp:posOffset>
            </wp:positionV>
            <wp:extent cx="70637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106045</wp:posOffset>
            </wp:positionV>
            <wp:extent cx="70637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p>
      <w:pPr>
        <w:sectPr>
          <w:pgSz w:w="11900" w:h="16838" w:orient="portrait"/>
          <w:cols w:equalWidth="0" w:num="1">
            <w:col w:w="11300"/>
          </w:cols>
          <w:pgMar w:left="300" w:top="109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On February 13, 2025, Vistagen Therapeutics,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issued a press release announcing financial results for its fiscal year 2025 third quarter ended December 31, 2024. A copy of the press release is being furnished as Exhibit 99.1 to this Current Report on Form 8-K.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r>
        <w:rPr>
          <w:rFonts w:ascii="Times New Roman" w:cs="Times New Roman" w:eastAsia="Times New Roman" w:hAnsi="Times New Roman"/>
          <w:sz w:val="12"/>
          <w:szCs w:val="12"/>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February 13, 2025, the Company began utilizing a new corporate presentation, a copy of which is attached to this Current Report on Form 8-K as Exhibit 99.2.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Disclaimer.</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information contained in this Current Report on Form 8-K and Exhibits 99.1 and 99.2 attached hereto are intended to be furnished and shall not be deemed “filed” for purposes of Section 18 of the Securities Exchange Act of 1934, as amended (the “</w:t>
      </w:r>
      <w:r>
        <w:rPr>
          <w:rFonts w:ascii="Times New Roman" w:cs="Times New Roman" w:eastAsia="Times New Roman" w:hAnsi="Times New Roman"/>
          <w:sz w:val="12"/>
          <w:szCs w:val="12"/>
          <w:i w:val="1"/>
          <w:iCs w:val="1"/>
          <w:color w:val="auto"/>
        </w:rPr>
        <w:t>Exchange Act</w:t>
      </w:r>
      <w:r>
        <w:rPr>
          <w:rFonts w:ascii="Times New Roman" w:cs="Times New Roman" w:eastAsia="Times New Roman" w:hAnsi="Times New Roman"/>
          <w:sz w:val="12"/>
          <w:szCs w:val="12"/>
          <w:color w:val="auto"/>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 Index</w:t>
            </w: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60" w:type="dxa"/>
            <w:vAlign w:val="bottom"/>
          </w:tcPr>
          <w:p>
            <w:pPr>
              <w:spacing w:after="0"/>
              <w:rPr>
                <w:sz w:val="13"/>
                <w:szCs w:val="13"/>
                <w:color w:val="auto"/>
              </w:rPr>
            </w:pPr>
          </w:p>
        </w:tc>
      </w:tr>
      <w:tr>
        <w:trPr>
          <w:trHeight w:val="302"/>
        </w:trPr>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300"/>
        </w:trPr>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80" w:type="dxa"/>
            <w:vAlign w:val="bottom"/>
            <w:tcBorders>
              <w:top w:val="single" w:sz="8" w:color="auto"/>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Press Release issued by Vistagen Therapeutics, Inc., dated February 13, 2025, furnished herewith</w:t>
            </w:r>
          </w:p>
        </w:tc>
        <w:tc>
          <w:tcPr>
            <w:tcW w:w="5060" w:type="dxa"/>
            <w:vAlign w:val="bottom"/>
            <w:tcBorders>
              <w:top w:val="single" w:sz="8" w:color="auto"/>
            </w:tcBorders>
          </w:tcPr>
          <w:p>
            <w:pPr>
              <w:spacing w:after="0"/>
              <w:rPr>
                <w:sz w:val="24"/>
                <w:szCs w:val="24"/>
                <w:color w:val="auto"/>
              </w:rPr>
            </w:pPr>
          </w:p>
        </w:tc>
      </w:tr>
      <w:tr>
        <w:trPr>
          <w:trHeight w:val="151"/>
        </w:trPr>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Vistagen Therapeutics, Inc. Corporate Presentation, dated February 2025, furnished herewith</w:t>
            </w:r>
          </w:p>
        </w:tc>
      </w:tr>
      <w:tr>
        <w:trPr>
          <w:trHeight w:val="178"/>
        </w:trPr>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5280" w:type="dxa"/>
            <w:vAlign w:val="bottom"/>
            <w:gridSpan w:val="2"/>
          </w:tcPr>
          <w:p>
            <w:pPr>
              <w:spacing w:after="0"/>
              <w:rPr>
                <w:sz w:val="15"/>
                <w:szCs w:val="15"/>
                <w:color w:val="auto"/>
              </w:rPr>
            </w:pPr>
          </w:p>
        </w:tc>
      </w:tr>
      <w:tr>
        <w:trPr>
          <w:trHeight w:val="684"/>
        </w:trPr>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 w:name="page3"/>
    <w:bookmarkEnd w:id="2"/>
    <w:p>
      <w:pPr>
        <w:ind w:left="538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Vistagen Therapeutics, Inc.</w:t>
      </w:r>
    </w:p>
    <w:p>
      <w:pPr>
        <w:spacing w:after="0" w:line="139" w:lineRule="exact"/>
        <w:rPr>
          <w:sz w:val="20"/>
          <w:szCs w:val="20"/>
          <w:color w:val="auto"/>
        </w:rPr>
      </w:pPr>
    </w:p>
    <w:p>
      <w:pPr>
        <w:spacing w:after="0"/>
        <w:tabs>
          <w:tab w:leader="none" w:pos="5560" w:val="left"/>
          <w:tab w:leader="none" w:pos="6020" w:val="left"/>
        </w:tabs>
        <w:rPr>
          <w:sz w:val="20"/>
          <w:szCs w:val="20"/>
          <w:color w:val="auto"/>
        </w:rPr>
      </w:pPr>
      <w:r>
        <w:rPr>
          <w:rFonts w:ascii="Times New Roman" w:cs="Times New Roman" w:eastAsia="Times New Roman" w:hAnsi="Times New Roman"/>
          <w:sz w:val="12"/>
          <w:szCs w:val="12"/>
          <w:color w:val="auto"/>
        </w:rPr>
        <w:t>Date: February 13,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17780</wp:posOffset>
            </wp:positionV>
            <wp:extent cx="33432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2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Shawn K. Singh</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10159"/>
          </w:cols>
          <w:pgMar w:left="300" w:top="782"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828675" cy="280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8675"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Reports Fiscal Year 2025 Third Quarter Financial Results and Corporate Update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Fasedienol U.S. registration-directed PALISADE Phase 3 Program for acute treatment of social anxiety disorder progressing with ongoing PALISADE-3, PALISADE-4 and Repeat Dose trials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Vistagen highlights clinical-stage pipeline with five novel pherine product candidates with positive efficacy signals and potential to transform standards of care for multiple high prevalence indications</w:t>
      </w:r>
    </w:p>
    <w:p>
      <w:pPr>
        <w:spacing w:after="0" w:line="1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SOUTH SAN FRANCISCO, Calif. — (BUSINESS WIRE) — February 13, 2025 — </w:t>
      </w:r>
      <w:r>
        <w:rPr>
          <w:rFonts w:ascii="Times New Roman" w:cs="Times New Roman" w:eastAsia="Times New Roman" w:hAnsi="Times New Roman"/>
          <w:sz w:val="12"/>
          <w:szCs w:val="12"/>
          <w:u w:val="single" w:color="auto"/>
          <w:color w:val="0E32E1"/>
        </w:rPr>
        <w:t>Vistagen</w:t>
      </w:r>
      <w:r>
        <w:rPr>
          <w:rFonts w:ascii="Times New Roman" w:cs="Times New Roman" w:eastAsia="Times New Roman" w:hAnsi="Times New Roman"/>
          <w:sz w:val="12"/>
          <w:szCs w:val="12"/>
          <w:color w:val="auto"/>
        </w:rPr>
        <w:t> (Nasdaq: VTGN), a clinical-stage biopharmaceutical company pioneering neuroscience with nose-to-brain neurocircuitry to develop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commercialize a new class of intranasal product candidates called pherines, today reported financial results for its fiscal year 2025 third quarter ended December 31, 2024, and provided a corporate update.</w:t>
      </w:r>
    </w:p>
    <w:p>
      <w:pPr>
        <w:spacing w:after="0" w:line="1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“We had a very productive quarter, with both PALISADE-3 and PALISADE-4 advancing towards expected top-line results later this year,” said Shawn Singh, President and Chief Executive Officer of Vistagen. “We are also pleased to report positive results from an exploratory Phase 2A trial of PH284 in cancer cachexia. PH284 is our fifth neurocircuitry-focused pherine product candidate with a positive efficacy signal and differentiated safety, and this announcement underscores the breadth and diversity of our pherine pipeline. As always, we remain optimistic about the potential of our product candidates to transform standards of care and address multiple significant unmet needs. We continue to believe that 2025 has the potential to be a monumental year, between multiple anticipated data readouts for fasedienol in acute treatment of social anxiety disorder and further advancement of additional pherine product candidates for treatment of major depressive disorder and menopausal hot flashes.”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Neuroscience Pipeline Highlights</w:t>
      </w:r>
    </w:p>
    <w:p>
      <w:pPr>
        <w:spacing w:after="0" w:line="172" w:lineRule="exact"/>
        <w:rPr>
          <w:sz w:val="20"/>
          <w:szCs w:val="20"/>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Fasedienol PALISADE-3 and PALISADE-4 Phase 3 trials for the acute treatment of social anxiety disorder (SAD) progressing to produce top-line results in 2025.</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Initiated fasedienol Phase 2 Repeat Dose Study for the acute treatment of SAD.</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positive results from an exploratory Phase 2A study of PH284 in cancer cachexia.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Vistagen is also continuing:</w:t>
      </w:r>
    </w:p>
    <w:p>
      <w:pPr>
        <w:spacing w:after="0" w:line="168" w:lineRule="exact"/>
        <w:rPr>
          <w:sz w:val="20"/>
          <w:szCs w:val="20"/>
          <w:color w:val="auto"/>
        </w:rPr>
      </w:pPr>
    </w:p>
    <w:p>
      <w:pPr>
        <w:ind w:left="420" w:right="260" w:hanging="212"/>
        <w:spacing w:after="0" w:line="265" w:lineRule="auto"/>
        <w:tabs>
          <w:tab w:leader="none" w:pos="417"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Ongoing U.S. Investigational New Drug Application (IND)-enabling program for PH80, designed to support its planned submission of a U.S. IND to build on a previously reported positive exploratory Phase 2A studies of PH80 in women’s health indications and facilitate further Phase 2 clinical development of PH80 in the U.S. as a potential novel non-hormonal, non-systemic treatment option for millions of women affected by vasomotor symptoms (hot flashes) due to menopause.</w:t>
      </w:r>
    </w:p>
    <w:p>
      <w:pPr>
        <w:spacing w:after="0" w:line="136" w:lineRule="exact"/>
        <w:rPr>
          <w:rFonts w:ascii="Times New Roman" w:cs="Times New Roman" w:eastAsia="Times New Roman" w:hAnsi="Times New Roman"/>
          <w:sz w:val="12"/>
          <w:szCs w:val="12"/>
          <w:color w:val="auto"/>
        </w:rPr>
      </w:pPr>
    </w:p>
    <w:p>
      <w:pPr>
        <w:ind w:left="420" w:right="460" w:hanging="212"/>
        <w:spacing w:after="0" w:line="279" w:lineRule="auto"/>
        <w:tabs>
          <w:tab w:leader="none" w:pos="417"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Preparations and planning for Phase 2B development of itruvone as a potential novel non-systemic, stand-alone treatment for major depressive disorder, without the weight gain, sexual side effects, and safety concerns associated with currently available depression therapies.</w:t>
      </w:r>
    </w:p>
    <w:p>
      <w:pPr>
        <w:sectPr>
          <w:pgSz w:w="11900" w:h="16838" w:orient="portrait"/>
          <w:cols w:equalWidth="0" w:num="1">
            <w:col w:w="11300"/>
          </w:cols>
          <w:pgMar w:left="300" w:top="1106"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2296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22960" cy="274320"/>
                    </a:xfrm>
                    <a:prstGeom prst="rect">
                      <a:avLst/>
                    </a:prstGeom>
                    <a:noFill/>
                  </pic:spPr>
                </pic:pic>
              </a:graphicData>
            </a:graphic>
          </wp:anchor>
        </w:drawing>
        <w:t>Financial Results for Fiscal Year 2025 Third Quarter Ended December 31,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Research and development (R&amp;D) expense</w:t>
      </w:r>
    </w:p>
    <w:p>
      <w:pPr>
        <w:spacing w:after="0" w:line="19" w:lineRule="exact"/>
        <w:rPr>
          <w:sz w:val="20"/>
          <w:szCs w:val="20"/>
          <w:color w:val="auto"/>
        </w:rPr>
      </w:pPr>
    </w:p>
    <w:p>
      <w:pPr>
        <w:ind w:left="420" w:hanging="212"/>
        <w:spacing w:after="0" w:line="26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R&amp;D expense was $11.3 million for the three months ended December 31, 2024, as compared to $4.5 million for the three months ended December 31, 2023. The increase in R&amp;D expense was primarily due to an increase in research, development, and contract manufacturing expenses related to the PALISADE Phase 3 Program for fasedienol in SAD and U.S. IND-enabling programs for itruvone in MDD and PH80 in menopausal hot flashes.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General and administrative (G&amp;A) expense</w:t>
      </w:r>
    </w:p>
    <w:p>
      <w:pPr>
        <w:spacing w:after="0" w:line="19" w:lineRule="exact"/>
        <w:rPr>
          <w:sz w:val="20"/>
          <w:szCs w:val="20"/>
          <w:color w:val="auto"/>
        </w:rPr>
      </w:pPr>
    </w:p>
    <w:p>
      <w:pPr>
        <w:ind w:left="420" w:right="4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G&amp;A expense was $4.0 million for the three months ended December 31, 2024, as compared to $3.8 million for the three months ended December 31, 2023. The increase in G&amp;A expense was primarily due to an increase in headcount.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loss</w:t>
      </w:r>
    </w:p>
    <w:p>
      <w:pPr>
        <w:spacing w:after="0" w:line="6"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loss was $14.1 million for the three months ended December 31, 2024, as compared to $6.4 million for the three months ended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financial highlights</w:t>
      </w:r>
    </w:p>
    <w:p>
      <w:pPr>
        <w:spacing w:after="0" w:line="19"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equivalents, and marketable securities were $88.6 million as of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and Webcast: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Vistagen will host a conference call and live audio webcast today February 13, 2025, at 5:00 p.m. Eastern Time to provide a corporate update of Vistagen’s progress.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conference call is being webcast live and a link can be found under “Events” in the Investors section of the Company's website.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Participants may register for the live call link </w:t>
      </w:r>
      <w:r>
        <w:rPr>
          <w:rFonts w:ascii="Times New Roman" w:cs="Times New Roman" w:eastAsia="Times New Roman" w:hAnsi="Times New Roman"/>
          <w:sz w:val="12"/>
          <w:szCs w:val="12"/>
          <w:color w:val="0000FF"/>
        </w:rPr>
        <w:t>HERE</w:t>
      </w:r>
      <w:r>
        <w:rPr>
          <w:rFonts w:ascii="Times New Roman" w:cs="Times New Roman" w:eastAsia="Times New Roman" w:hAnsi="Times New Roman"/>
          <w:sz w:val="12"/>
          <w:szCs w:val="12"/>
          <w:color w:val="auto"/>
        </w:rPr>
        <w:t xml:space="preserve"> to receive the dial-in numbers and unique PIN to access the call. It is recommended that you join 15 minutes prior to the start of the event.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webcast replay of the call will be available on Vistagen’s website within 24 hours after the end of the live conference call and will be accessible for at least 90 days.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Fasedienol for the Acute Treatment of Social Anxiety Disorder</w:t>
      </w:r>
    </w:p>
    <w:p>
      <w:pPr>
        <w:spacing w:after="0" w:line="1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Fasedienol, the lead clinical-stage product candidate, is a synthetic neuroactive intranasal pherine in an ongoing U.S. registration-directed Phase 3 clinical development program for the acute treatment of anxiety in adults with social anxiety disorder (SAD), a highly prevalent, serious, and life-threatening psychiatric mental health disorder affecting over 30 million adults in the U.S. The proposed mechanism of action (MOA) of fasedienol is fundamentally differentiated from all FDA-approved anti-anxiety medications. When administered intranasally in microgram-level doses, fasedienol activates nasal chemosensory neurons connected to olfactory bulb neurons that, in turn, connect to neural circuits in the limbic amygdala involved in SAD. Fasedienol is pharmacologically active without requiring apparent systemic absorption or direct binding on neurons in the brain to achieve its rapid-onset anxiolytic effects. Because of its innovative non-systemic neurocircuitry-focused MOA, fasedienol has the potential to achieve rapid-onset anxiolytic effects for individuals with SAD on an acute, as-needed basis, with a significantly reduced risk of unwanted side effects and safety concerns, such as potential drug-drug interactions, sedation, abuse, misuse, withdrawal symptoms, and addiction, associated with certain current oral and other systemically absorbed neuropsychiatric pharmaceuticals that act directly on neurons in the brain and are sometimes prescribed off-label for the acute treatment of SAD. There is no U.S. FDA-approved acute treatment for SAD. The U.S. FDA has granted Fast Track designation for the development of fasedienol for the acute treatment of SAD.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Itruvone for the Treatment of Major Depressive Disorder</w:t>
      </w:r>
    </w:p>
    <w:p>
      <w:pPr>
        <w:spacing w:after="0" w:line="172"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2"/>
          <w:szCs w:val="12"/>
          <w:color w:val="auto"/>
        </w:rPr>
        <w:t>Itruvone is an investigational, non-systemic intranasal pherine product candidate with a novel, rapid-onset neurocircuitry-focused proposed mechanism of action (MOA) that is fundamentally differentiated from the MOA of all currently approved pharmacological treatments for depression disorders. Itruvone is administered intranasally at microgram-level doses and is designed to regulate olfactory-to-amygdala neural circuitry believed to produce antidepressant effects, without systemic absorption or brain penetration and without many of the side effects and safety concerns potentially associated</w:t>
      </w:r>
    </w:p>
    <w:p>
      <w:pPr>
        <w:sectPr>
          <w:pgSz w:w="11900" w:h="16838" w:orient="portrait"/>
          <w:cols w:equalWidth="0" w:num="1">
            <w:col w:w="11180"/>
          </w:cols>
          <w:pgMar w:left="300" w:top="989" w:right="419" w:bottom="1440" w:gutter="0" w:footer="0" w:header="0"/>
        </w:sectPr>
      </w:pPr>
    </w:p>
    <w:bookmarkStart w:id="5" w:name="page6"/>
    <w:bookmarkEnd w:id="5"/>
    <w:p>
      <w:pPr>
        <w:ind w:right="120"/>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2296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822960" cy="274320"/>
                    </a:xfrm>
                    <a:prstGeom prst="rect">
                      <a:avLst/>
                    </a:prstGeom>
                    <a:noFill/>
                  </pic:spPr>
                </pic:pic>
              </a:graphicData>
            </a:graphic>
          </wp:anchor>
        </w:drawing>
        <w:t>with currently approved antidepressants. Unlike antidepressants which rely on single or double-receptor occupancy in the brain, itruvone activates neural circuits that regulate the amygdala, hypothalamus, entorhinal area and hippocampus, prefrontal cortex, locus coeruleus, and raphe nucleus, all involved in the pathophysiology of depression. The scope of itruvone's neural circuit activation, and potential impact on the brain, appears wider, faster and safer than can be achieved with therapies targeting binding to any specific brain receptor. Vistagen is developing itruvone as a potential new non-systemic, stand-alone treatment for major depressive disorder, and the FDA has granted Fast Track designation for the development of itruvone for that indication.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PH80 for the Treatment of Vasomotor Symptoms (Hot Flashes) Due to Menopause</w:t>
      </w:r>
    </w:p>
    <w:p>
      <w:pPr>
        <w:spacing w:after="0" w:line="17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PH80 is an investigational non-hormonal, non-systemic, neurocircuitry-focused intranasal pherine product candidate with a novel, rapid-onset proposed MOA that is fundamentally differentiated from all currently approved treatments for vasomotor symptoms (hot flashes) due to menopause. Rapid activation of peripheral nasal chemosensory neurons via self-administration of low microgram doses of PH80 rapidly stimulates neurocircuits in the olfactory bulbs that are connected to the limbic amygdala and hypothalamus, which are involved in the regulation of the autonomic nervous system and thermoregulatory areas of the hypothalamus. Vistagen is developing PH80 as a potential new non-hormonal, non-systemic treatment for the management of moderate to severe vasomotor symptoms (hot flashes) due to menopause.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Vistagen</w:t>
      </w:r>
    </w:p>
    <w:p>
      <w:pPr>
        <w:spacing w:after="0" w:line="16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2"/>
          <w:szCs w:val="12"/>
          <w:color w:val="auto"/>
        </w:rPr>
        <w:t xml:space="preserve">Headquartered in South San Francisco, CA, Vistagen (Nasdaq: VTGN) is a clinical-stage biopharmaceutical company leveraging a deep understanding of nose-to-brain neurocircuitry to develop and commercialize a broad and diverse pipeline of clinical-stage product candidates from a new class of intranasal therapies called pherines. Pherines specifically and selectively bind to peripheral receptors in human nasal chemosensory neurons, which activate olfactory bulb-to-brain neurocircuits without requiring systemic absorption or uptake into the brain to achieve desired therapeutic benefits and differentiated safety. Vistagen’s neuroscience pipeline also includes an oral prodrug with potential to impact certain neurological conditions involving the NMDA receptor. Vistagen is passionate about developing transformative treatment options to improve the lives of individuals underserved by the current standard of care for multiple highly prevalent indications, including social anxiety disorder, major depressive disorder, and vasomotor symptoms (hot flashes) associated with menopause. Connect at </w:t>
      </w:r>
      <w:r>
        <w:rPr>
          <w:rFonts w:ascii="Times New Roman" w:cs="Times New Roman" w:eastAsia="Times New Roman" w:hAnsi="Times New Roman"/>
          <w:sz w:val="12"/>
          <w:szCs w:val="12"/>
          <w:color w:val="0E32E1"/>
        </w:rPr>
        <w:t>www.Vistagen.com</w:t>
      </w:r>
      <w:r>
        <w:rPr>
          <w:rFonts w:ascii="Times New Roman" w:cs="Times New Roman" w:eastAsia="Times New Roman" w:hAnsi="Times New Roman"/>
          <w:sz w:val="12"/>
          <w:szCs w:val="12"/>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i w:val="1"/>
          <w:iCs w:val="1"/>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will successfully complete ongoing or future clinical trials within estimated timelines or at all, receive regulatory approval or be commercially successful, or that Vistagen will be able to successfully replicate the result of past studies of any of its product candidates. Other factors that may cause such a difference include, without limitation, risks and uncertainties relating to conducting and/or completing ongoing clinical trials, including PALISADE-3 and/or PALISADE-4, as currently expected or at all; completing IND-enabling programs for applicable product candidates, including itruvone and PH80; launching planned clinical trials for any of Vistagen's product candidates; submission of a new drug application (NDA) to the U.S. FDA for any of Vistagen's product candidate, including fasedienol; the ability of any clinical trial information submitted by Vistagen to the U.S. FDA to support a NDA; Vistagen's dependence on third-party collaborators for the development, regulatory approval, and/or commercialization of its product candidates and other aspects of its business, which are outside of Vistagen's full control; risks associated with current and potential future healthcare reforms; the scope and enforceability of Vistagen’s patents, including patents related to Vistagen’s pherine product candidates and AV-101;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w:t>
      </w:r>
    </w:p>
    <w:p>
      <w:pPr>
        <w:sectPr>
          <w:pgSz w:w="11900" w:h="16838" w:orient="portrait"/>
          <w:cols w:equalWidth="0" w:num="1">
            <w:col w:w="11280"/>
          </w:cols>
          <w:pgMar w:left="300" w:top="993" w:right="31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2296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822960" cy="274320"/>
                    </a:xfrm>
                    <a:prstGeom prst="rect">
                      <a:avLst/>
                    </a:prstGeom>
                    <a:noFill/>
                  </pic:spPr>
                </pic:pic>
              </a:graphicData>
            </a:graphic>
          </wp:anchor>
        </w:drawing>
        <w:t>manufacture and commercialization of Vistagen’s product candidates. These risks are more fully discussed in the section entitled “Risk Factors” in Vistagen’s Annual Report on Form 10-K for the fiscal year ended March 31, 2024, and Quarterly Report on Form 10-Q for the period ended December 31, 2024,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Inquiries: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Mark A. McPartland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markmcp@vistagen.com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Inquiries: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Michelle Wellington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mwellington@vistagen.com</w:t>
      </w:r>
    </w:p>
    <w:p>
      <w:pPr>
        <w:sectPr>
          <w:pgSz w:w="11900" w:h="16838" w:orient="portrait"/>
          <w:cols w:equalWidth="0" w:num="1">
            <w:col w:w="11240"/>
          </w:cols>
          <w:pgMar w:left="300" w:top="991"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2296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8229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Current assets:</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Marketable securities</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Prepaid expenses and other current assets</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Total current assets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and equipment, net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Right-of-use asset - operating lease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assets</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2"/>
          <w:szCs w:val="12"/>
          <w:b w:val="1"/>
          <w:bCs w:val="1"/>
          <w:color w:val="auto"/>
        </w:rPr>
        <w:t>VISTAGEN THERAPEUTICS, INC.</w:t>
      </w:r>
    </w:p>
    <w:p>
      <w:pPr>
        <w:spacing w:after="0" w:line="21"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1"/>
          <w:szCs w:val="11"/>
          <w:b w:val="1"/>
          <w:bCs w:val="1"/>
          <w:color w:val="auto"/>
        </w:rPr>
        <w:t>CONDENSED CONSOLIDATED BALANCE SHEETS</w:t>
      </w:r>
    </w:p>
    <w:p>
      <w:pPr>
        <w:spacing w:after="0" w:line="18"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2"/>
          <w:szCs w:val="12"/>
          <w:b w:val="1"/>
          <w:bCs w:val="1"/>
          <w:color w:val="auto"/>
        </w:rPr>
        <w:t>(in thousands, except share and par value amounts)</w:t>
      </w:r>
    </w:p>
    <w:p>
      <w:pPr>
        <w:spacing w:after="0" w:line="186" w:lineRule="exact"/>
        <w:rPr>
          <w:sz w:val="20"/>
          <w:szCs w:val="20"/>
          <w:color w:val="auto"/>
        </w:rPr>
      </w:pPr>
    </w:p>
    <w:tbl>
      <w:tblPr>
        <w:tblLayout w:type="fixed"/>
        <w:tblInd w:w="120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260" w:type="dxa"/>
            <w:vAlign w:val="bottom"/>
          </w:tcPr>
          <w:p>
            <w:pPr>
              <w:spacing w:after="0"/>
              <w:rPr>
                <w:sz w:val="12"/>
                <w:szCs w:val="12"/>
                <w:color w:val="auto"/>
              </w:rPr>
            </w:pPr>
          </w:p>
        </w:tc>
        <w:tc>
          <w:tcPr>
            <w:tcW w:w="122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March 31,</w:t>
            </w:r>
          </w:p>
        </w:tc>
      </w:tr>
      <w:tr>
        <w:trPr>
          <w:trHeight w:val="163"/>
        </w:trPr>
        <w:tc>
          <w:tcPr>
            <w:tcW w:w="2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55"/>
        </w:trPr>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1"/>
        </w:trPr>
        <w:tc>
          <w:tcPr>
            <w:tcW w:w="3060" w:type="dxa"/>
            <w:vAlign w:val="bottom"/>
            <w:gridSpan w:val="2"/>
          </w:tcPr>
          <w:p>
            <w:pPr>
              <w:jc w:val="right"/>
              <w:ind w:right="2620"/>
              <w:spacing w:after="0"/>
              <w:rPr>
                <w:sz w:val="20"/>
                <w:szCs w:val="20"/>
                <w:color w:val="auto"/>
              </w:rPr>
            </w:pPr>
            <w:r>
              <w:rPr>
                <w:rFonts w:ascii="Times New Roman" w:cs="Times New Roman" w:eastAsia="Times New Roman" w:hAnsi="Times New Roman"/>
                <w:sz w:val="12"/>
                <w:szCs w:val="12"/>
                <w:b w:val="1"/>
                <w:bCs w:val="1"/>
                <w:color w:val="auto"/>
                <w:w w:val="93"/>
              </w:rPr>
              <w:t>ASSETS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42"/>
        </w:trPr>
        <w:tc>
          <w:tcPr>
            <w:tcW w:w="3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74,715</w:t>
            </w:r>
          </w:p>
        </w:tc>
        <w:tc>
          <w:tcPr>
            <w:tcW w:w="10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119,166</w:t>
            </w:r>
          </w:p>
        </w:tc>
      </w:tr>
      <w:tr>
        <w:trPr>
          <w:trHeight w:val="171"/>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2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1,506</w:t>
            </w:r>
          </w:p>
        </w:tc>
      </w:tr>
      <w:tr>
        <w:trPr>
          <w:trHeight w:val="155"/>
        </w:trPr>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89,941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120,672</w:t>
            </w:r>
          </w:p>
        </w:tc>
      </w:tr>
      <w:tr>
        <w:trPr>
          <w:trHeight w:val="171"/>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w:t>
            </w:r>
          </w:p>
        </w:tc>
      </w:tr>
      <w:tr>
        <w:trPr>
          <w:trHeight w:val="171"/>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1,820</w:t>
            </w:r>
          </w:p>
        </w:tc>
      </w:tr>
      <w:tr>
        <w:trPr>
          <w:trHeight w:val="175"/>
        </w:trPr>
        <w:tc>
          <w:tcPr>
            <w:tcW w:w="2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477</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726</w:t>
            </w:r>
          </w:p>
        </w:tc>
      </w:tr>
      <w:tr>
        <w:trPr>
          <w:trHeight w:val="156"/>
        </w:trPr>
        <w:tc>
          <w:tcPr>
            <w:tcW w:w="3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92,307</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-1090930</wp:posOffset>
            </wp:positionV>
            <wp:extent cx="7178040" cy="108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-873760</wp:posOffset>
            </wp:positionV>
            <wp:extent cx="7178040" cy="108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-656590</wp:posOffset>
            </wp:positionV>
            <wp:extent cx="7178040" cy="108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-433705</wp:posOffset>
            </wp:positionV>
            <wp:extent cx="7178040" cy="108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-216535</wp:posOffset>
            </wp:positionV>
            <wp:extent cx="7178040" cy="108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5715</wp:posOffset>
            </wp:positionV>
            <wp:extent cx="717804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color w:val="auto"/>
        </w:rPr>
        <w:t>LIABILITIES AND STOCKHOLDERS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EQUITY</w:t>
      </w:r>
    </w:p>
    <w:p>
      <w:pPr>
        <w:spacing w:after="0" w:line="37" w:lineRule="exact"/>
        <w:rPr>
          <w:sz w:val="20"/>
          <w:szCs w:val="20"/>
          <w:color w:val="auto"/>
        </w:rPr>
      </w:pPr>
    </w:p>
    <w:p>
      <w:pPr>
        <w:sectPr>
          <w:pgSz w:w="11900" w:h="16838" w:orient="portrait"/>
          <w:cols w:equalWidth="0" w:num="2">
            <w:col w:w="3500" w:space="720"/>
            <w:col w:w="7080"/>
          </w:cols>
          <w:pgMar w:left="300" w:top="1151" w:right="299" w:bottom="1440" w:gutter="0" w:footer="0" w:header="0"/>
        </w:sect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Accounts payable</w:t>
            </w:r>
          </w:p>
        </w:tc>
        <w:tc>
          <w:tcPr>
            <w:tcW w:w="5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w:t>
            </w:r>
          </w:p>
        </w:tc>
      </w:tr>
      <w:tr>
        <w:trPr>
          <w:trHeight w:val="167"/>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expenses</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2,235</w:t>
            </w:r>
          </w:p>
        </w:tc>
      </w:tr>
      <w:tr>
        <w:trPr>
          <w:trHeight w:val="175"/>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Deferred revenue - current portion</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791</w:t>
            </w:r>
          </w:p>
        </w:tc>
      </w:tr>
      <w:tr>
        <w:trPr>
          <w:trHeight w:val="167"/>
        </w:trPr>
        <w:tc>
          <w:tcPr>
            <w:tcW w:w="8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Operating lease obligation - current portion</w:t>
            </w: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603</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550</w:t>
            </w:r>
          </w:p>
        </w:tc>
      </w:tr>
      <w:tr>
        <w:trPr>
          <w:trHeight w:val="164"/>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current liabilities</w:t>
            </w: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9,621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5,123</w:t>
            </w:r>
          </w:p>
        </w:tc>
      </w:tr>
      <w:tr>
        <w:trPr>
          <w:trHeight w:val="16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 - non-current portion</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2,674</w:t>
            </w: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obligation - non-current portion</w:t>
            </w:r>
          </w:p>
        </w:tc>
        <w:tc>
          <w:tcPr>
            <w:tcW w:w="5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1,570</w:t>
            </w:r>
          </w:p>
        </w:tc>
      </w:tr>
      <w:tr>
        <w:trPr>
          <w:trHeight w:val="160"/>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11,185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9,367</w:t>
            </w:r>
          </w:p>
        </w:tc>
      </w:tr>
      <w:tr>
        <w:trPr>
          <w:trHeight w:val="17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 $0.001 par value; 10,000,000 shares authorized at December 31, 2024 and March 31, 2024; no shares outstanding at December 31, 2024 and March 31,</w:t>
            </w: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64"/>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2024</w:t>
            </w: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Common stock, $0.001 par value; 325,000,000 shares authorized at December 31, 2024 and March 31, 2024; 28,321,216 and 27,029,731 shares issued at December 31,</w:t>
            </w: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9"/>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2024 and March 31, 2024, respectively</w:t>
            </w: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7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479,048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474,441</w:t>
            </w:r>
          </w:p>
        </w:tc>
      </w:tr>
      <w:tr>
        <w:trPr>
          <w:trHeight w:val="166"/>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 4,522 shares of common stock held at December 31, 2024 and March 31, 2024</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(3,968)</w:t>
            </w:r>
          </w:p>
        </w:tc>
      </w:tr>
      <w:tr>
        <w:trPr>
          <w:trHeight w:val="175"/>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7"/>
        </w:trPr>
        <w:tc>
          <w:tcPr>
            <w:tcW w:w="8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(393,997)</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(356,214)</w:t>
            </w:r>
          </w:p>
        </w:tc>
      </w:tr>
      <w:tr>
        <w:trPr>
          <w:trHeight w:val="16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5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81,122</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114,286</w:t>
            </w:r>
          </w:p>
        </w:tc>
      </w:tr>
      <w:tr>
        <w:trPr>
          <w:trHeight w:val="165"/>
        </w:trPr>
        <w:tc>
          <w:tcPr>
            <w:tcW w:w="82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5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92,307</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123,653</w:t>
            </w:r>
          </w:p>
        </w:tc>
      </w:tr>
      <w:tr>
        <w:trPr>
          <w:trHeight w:val="20"/>
        </w:trPr>
        <w:tc>
          <w:tcPr>
            <w:tcW w:w="8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1151" w:right="29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2296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822960" cy="274320"/>
                    </a:xfrm>
                    <a:prstGeom prst="rect">
                      <a:avLst/>
                    </a:prstGeom>
                    <a:noFill/>
                  </pic:spPr>
                </pic:pic>
              </a:graphicData>
            </a:graphic>
          </wp:anchor>
        </w:drawing>
        <w:t>VISTAGEN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3"/>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940" w:type="dxa"/>
            <w:vAlign w:val="bottom"/>
          </w:tcPr>
          <w:p>
            <w:pPr>
              <w:spacing w:after="0"/>
              <w:rPr>
                <w:sz w:val="12"/>
                <w:szCs w:val="12"/>
                <w:color w:val="auto"/>
              </w:rPr>
            </w:pPr>
          </w:p>
        </w:tc>
      </w:tr>
      <w:tr>
        <w:trPr>
          <w:trHeight w:val="168"/>
        </w:trPr>
        <w:tc>
          <w:tcPr>
            <w:tcW w:w="5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40" w:type="dxa"/>
            <w:vAlign w:val="bottom"/>
            <w:tcBorders>
              <w:bottom w:val="single" w:sz="8" w:color="auto"/>
            </w:tcBorders>
          </w:tcPr>
          <w:p>
            <w:pPr>
              <w:spacing w:after="0"/>
              <w:rPr>
                <w:sz w:val="14"/>
                <w:szCs w:val="14"/>
                <w:color w:val="auto"/>
              </w:rPr>
            </w:pPr>
          </w:p>
        </w:tc>
      </w:tr>
      <w:tr>
        <w:trPr>
          <w:trHeight w:val="164"/>
        </w:trPr>
        <w:tc>
          <w:tcPr>
            <w:tcW w:w="5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6"/>
        </w:trPr>
        <w:tc>
          <w:tcPr>
            <w:tcW w:w="5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Sublicense and other revenue</w:t>
            </w:r>
          </w:p>
        </w:tc>
        <w:tc>
          <w:tcPr>
            <w:tcW w:w="880" w:type="dxa"/>
            <w:vAlign w:val="bottom"/>
            <w:tcBorders>
              <w:bottom w:val="single" w:sz="8" w:color="auto"/>
            </w:tcBorders>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867</w:t>
            </w:r>
          </w:p>
        </w:tc>
      </w:tr>
      <w:tr>
        <w:trPr>
          <w:trHeight w:val="16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revenues</w:t>
            </w:r>
          </w:p>
        </w:tc>
        <w:tc>
          <w:tcPr>
            <w:tcW w:w="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1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w:t>
            </w:r>
          </w:p>
        </w:tc>
      </w:tr>
      <w:tr>
        <w:trPr>
          <w:trHeight w:val="147"/>
        </w:trPr>
        <w:tc>
          <w:tcPr>
            <w:tcW w:w="510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75"/>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11,305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4,537</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29,168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12,586</w:t>
            </w:r>
          </w:p>
        </w:tc>
      </w:tr>
      <w:tr>
        <w:trPr>
          <w:trHeight w:val="167"/>
        </w:trPr>
        <w:tc>
          <w:tcPr>
            <w:tcW w:w="5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4,049</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3,758</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12,811</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9,943</w:t>
            </w:r>
          </w:p>
        </w:tc>
      </w:tr>
      <w:tr>
        <w:trPr>
          <w:trHeight w:val="160"/>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operating expenses</w:t>
            </w:r>
          </w:p>
        </w:tc>
        <w:tc>
          <w:tcPr>
            <w:tcW w:w="8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15,354</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8,295</w:t>
            </w:r>
          </w:p>
        </w:tc>
        <w:tc>
          <w:tcPr>
            <w:tcW w:w="14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41,979</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22,529</w:t>
            </w:r>
          </w:p>
        </w:tc>
      </w:tr>
      <w:tr>
        <w:trPr>
          <w:trHeight w:val="160"/>
        </w:trPr>
        <w:tc>
          <w:tcPr>
            <w:tcW w:w="5100" w:type="dxa"/>
            <w:vAlign w:val="bottom"/>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8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(15,120)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(7,884)</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(41,478)</w:t>
            </w:r>
          </w:p>
        </w:tc>
        <w:tc>
          <w:tcPr>
            <w:tcW w:w="100" w:type="dxa"/>
            <w:vAlign w:val="bottom"/>
          </w:tcPr>
          <w:p>
            <w:pPr>
              <w:spacing w:after="0"/>
              <w:rPr>
                <w:sz w:val="13"/>
                <w:szCs w:val="13"/>
                <w:color w:val="auto"/>
              </w:rPr>
            </w:pPr>
          </w:p>
        </w:tc>
        <w:tc>
          <w:tcPr>
            <w:tcW w:w="5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(21,662)</w:t>
            </w:r>
          </w:p>
        </w:tc>
      </w:tr>
      <w:tr>
        <w:trPr>
          <w:trHeight w:val="17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6"/>
        </w:trPr>
        <w:tc>
          <w:tcPr>
            <w:tcW w:w="5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Interest income, net</w:t>
            </w: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1,031</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1,534</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3,702</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1,824</w:t>
            </w:r>
          </w:p>
        </w:tc>
      </w:tr>
      <w:tr>
        <w:trPr>
          <w:trHeight w:val="165"/>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(14,089)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(6,350)</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(37,776)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(19,838)</w:t>
            </w:r>
          </w:p>
        </w:tc>
      </w:tr>
      <w:tr>
        <w:trPr>
          <w:trHeight w:val="167"/>
        </w:trPr>
        <w:tc>
          <w:tcPr>
            <w:tcW w:w="5100" w:type="dxa"/>
            <w:vAlign w:val="bottom"/>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8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4"/>
                <w:szCs w:val="14"/>
                <w:color w:val="auto"/>
              </w:rPr>
            </w:pPr>
          </w:p>
        </w:tc>
        <w:tc>
          <w:tcPr>
            <w:tcW w:w="5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80"/>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880" w:type="dxa"/>
            <w:vAlign w:val="bottom"/>
            <w:tcBorders>
              <w:top w:val="single" w:sz="8" w:color="auto"/>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(14,089)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(6,350)</w:t>
            </w:r>
          </w:p>
        </w:tc>
        <w:tc>
          <w:tcPr>
            <w:tcW w:w="140" w:type="dxa"/>
            <w:vAlign w:val="bottom"/>
            <w:tcBorders>
              <w:top w:val="single" w:sz="8" w:color="CCEEFF"/>
              <w:bottom w:val="single" w:sz="8" w:color="auto"/>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(19,841)</w:t>
            </w:r>
          </w:p>
        </w:tc>
      </w:tr>
      <w:tr>
        <w:trPr>
          <w:trHeight w:val="167"/>
        </w:trPr>
        <w:tc>
          <w:tcPr>
            <w:tcW w:w="5100" w:type="dxa"/>
            <w:vAlign w:val="bottom"/>
          </w:tcPr>
          <w:p>
            <w:pPr>
              <w:spacing w:after="0"/>
              <w:rPr>
                <w:sz w:val="20"/>
                <w:szCs w:val="20"/>
                <w:color w:val="auto"/>
              </w:rPr>
            </w:pPr>
            <w:r>
              <w:rPr>
                <w:rFonts w:ascii="Times New Roman" w:cs="Times New Roman" w:eastAsia="Times New Roman" w:hAnsi="Times New Roman"/>
                <w:sz w:val="12"/>
                <w:szCs w:val="12"/>
                <w:color w:val="auto"/>
              </w:rPr>
              <w:t>Unrealized gain (loss) on marketable securities</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1"/>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880" w:type="dxa"/>
            <w:vAlign w:val="bottom"/>
            <w:tcBorders>
              <w:top w:val="single" w:sz="8" w:color="auto"/>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(19,841)</w:t>
            </w:r>
          </w:p>
        </w:tc>
      </w:tr>
      <w:tr>
        <w:trPr>
          <w:trHeight w:val="187"/>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Basic and diluted net loss per common share</w:t>
            </w:r>
          </w:p>
        </w:tc>
        <w:tc>
          <w:tcPr>
            <w:tcW w:w="880" w:type="dxa"/>
            <w:vAlign w:val="bottom"/>
            <w:tcBorders>
              <w:bottom w:val="single" w:sz="8" w:color="auto"/>
            </w:tcBorders>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(0.46)</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(0.22)</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87"/>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 and diluted</w:t>
            </w:r>
          </w:p>
        </w:tc>
        <w:tc>
          <w:tcPr>
            <w:tcW w:w="8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30,711,872</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29,388,085</w:t>
            </w: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30,649,384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15,632,451</w:t>
            </w:r>
          </w:p>
        </w:tc>
      </w:tr>
    </w:tbl>
    <w:p>
      <w:pPr>
        <w:sectPr>
          <w:pgSz w:w="11900" w:h="16838" w:orient="portrait"/>
          <w:cols w:equalWidth="0" w:num="1">
            <w:col w:w="11300"/>
          </w:cols>
          <w:pgMar w:left="300" w:top="1151" w:right="299" w:bottom="1440"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2025-02-13T16:20:03Z</dcterms:created>
  <dcterms:modified xsi:type="dcterms:W3CDTF">2025-02-13T16:20:03Z</dcterms:modified>
</cp:coreProperties>
</file>