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40"/>
          </w:cols>
          <w:pgMar w:left="320" w:top="733" w:right="3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SEC Only (as permitted by Rule 14a-6(e)(2))</w:t>
      </w:r>
    </w:p>
    <w:p>
      <w:pPr>
        <w:spacing w:after="0" w:line="31" w:lineRule="exact"/>
        <w:rPr>
          <w:sz w:val="24"/>
          <w:szCs w:val="24"/>
          <w:color w:val="auto"/>
        </w:rPr>
      </w:pPr>
    </w:p>
    <w:p>
      <w:pPr>
        <w:sectPr>
          <w:pgSz w:w="11900" w:h="16838" w:orient="portrait"/>
          <w:cols w:equalWidth="0" w:num="2">
            <w:col w:w="260" w:space="540"/>
            <w:col w:w="10440"/>
          </w:cols>
          <w:pgMar w:left="320" w:top="733" w:right="339" w:bottom="1440" w:gutter="0" w:footer="0" w:header="0"/>
          <w:type w:val="continuous"/>
        </w:sectPr>
      </w:pPr>
    </w:p>
    <w:p>
      <w:pPr>
        <w:ind w:left="800" w:hanging="792"/>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240"/>
          </w:cols>
          <w:pgMar w:left="320" w:top="733"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14a-12</w:t>
      </w:r>
    </w:p>
    <w:p>
      <w:pPr>
        <w:spacing w:after="0" w:line="222" w:lineRule="exact"/>
        <w:rPr>
          <w:sz w:val="24"/>
          <w:szCs w:val="24"/>
          <w:color w:val="auto"/>
        </w:rPr>
      </w:pPr>
    </w:p>
    <w:p>
      <w:pPr>
        <w:sectPr>
          <w:pgSz w:w="11900" w:h="16838" w:orient="portrait"/>
          <w:cols w:equalWidth="0" w:num="2">
            <w:col w:w="260" w:space="540"/>
            <w:col w:w="10440"/>
          </w:cols>
          <w:pgMar w:left="320" w:top="733" w:right="339" w:bottom="1440" w:gutter="0" w:footer="0" w:header="0"/>
          <w:type w:val="continuous"/>
        </w:sectPr>
      </w:pP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60" w:hanging="450"/>
        <w:spacing w:after="0" w:line="250" w:lineRule="auto"/>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0" w:lineRule="auto"/>
        <w:tabs>
          <w:tab w:leader="none" w:pos="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3" w:lineRule="exact"/>
        <w:rPr>
          <w:rFonts w:ascii="Arial" w:cs="Arial" w:eastAsia="Arial" w:hAnsi="Arial"/>
          <w:sz w:val="18"/>
          <w:szCs w:val="18"/>
          <w:color w:val="auto"/>
        </w:rPr>
      </w:pPr>
    </w:p>
    <w:p>
      <w:pPr>
        <w:ind w:left="1580" w:hanging="1300"/>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580" w:hanging="1300"/>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580" w:hanging="1300"/>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580" w:hanging="1300"/>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380365</wp:posOffset>
            </wp:positionV>
            <wp:extent cx="1131570"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37235"/>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14, 2021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On behalf of the management team and Board of Directors (our </w:t>
      </w:r>
      <w:r>
        <w:rPr>
          <w:rFonts w:ascii="Arial" w:cs="Arial" w:eastAsia="Arial" w:hAnsi="Arial"/>
          <w:sz w:val="18"/>
          <w:szCs w:val="18"/>
          <w:i w:val="1"/>
          <w:iCs w:val="1"/>
          <w:color w:val="auto"/>
        </w:rPr>
        <w:t>Board</w:t>
      </w:r>
      <w:r>
        <w:rPr>
          <w:rFonts w:ascii="Arial" w:cs="Arial" w:eastAsia="Arial" w:hAnsi="Arial"/>
          <w:sz w:val="18"/>
          <w:szCs w:val="18"/>
          <w:color w:val="auto"/>
        </w:rPr>
        <w:t>), I hope that you and your loved ones are healthy and safe as the world continues to operate amidst the uncertainty caused by the COVID-19 pandemic.</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You are cordially invited to attend a virtual special meeting of stockholders (the </w:t>
      </w:r>
      <w:r>
        <w:rPr>
          <w:rFonts w:ascii="Arial" w:cs="Arial" w:eastAsia="Arial" w:hAnsi="Arial"/>
          <w:sz w:val="16"/>
          <w:szCs w:val="16"/>
          <w:i w:val="1"/>
          <w:iCs w:val="1"/>
          <w:color w:val="auto"/>
        </w:rPr>
        <w:t>Meeting</w:t>
      </w:r>
      <w:r>
        <w:rPr>
          <w:rFonts w:ascii="Arial" w:cs="Arial" w:eastAsia="Arial" w:hAnsi="Arial"/>
          <w:sz w:val="16"/>
          <w:szCs w:val="16"/>
          <w:color w:val="auto"/>
        </w:rPr>
        <w:t xml:space="preserve"> or the </w:t>
      </w:r>
      <w:r>
        <w:rPr>
          <w:rFonts w:ascii="Arial" w:cs="Arial" w:eastAsia="Arial" w:hAnsi="Arial"/>
          <w:sz w:val="16"/>
          <w:szCs w:val="16"/>
          <w:i w:val="1"/>
          <w:iCs w:val="1"/>
          <w:color w:val="auto"/>
        </w:rPr>
        <w:t>Special Meeting</w:t>
      </w:r>
      <w:r>
        <w:rPr>
          <w:rFonts w:ascii="Arial" w:cs="Arial" w:eastAsia="Arial" w:hAnsi="Arial"/>
          <w:sz w:val="16"/>
          <w:szCs w:val="16"/>
          <w:color w:val="auto"/>
        </w:rPr>
        <w:t xml:space="preserve">) of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to be held at 10:00 a.m., Pacific Standard Time, on March 5, 2021. Due to continuing concerns surrounding the ongoing COVID-19 pandemic, the</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will be a virtual meeting conducted exclusively via the Internet. There will not be a physical meeting location, and stockholders will not be able to attend the Meeting in person. Instead, you may attend the Meeting online and submit questions during the Meeting by visiting http://www.meetingcenter.io/255462968. In addition, prior to the Meeting, and during the Meeting until polls are closed, you may vote via the Internet by logging into http://www.meetingcenter.io/255462968 using your stockholder information provided in the proxy card accompanying this Proxy Statement.</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 December 22, 2020, we completed a truly transformational $100 million underwritten public offering (the </w:t>
      </w:r>
      <w:r>
        <w:rPr>
          <w:rFonts w:ascii="Arial" w:cs="Arial" w:eastAsia="Arial" w:hAnsi="Arial"/>
          <w:sz w:val="16"/>
          <w:szCs w:val="16"/>
          <w:i w:val="1"/>
          <w:iCs w:val="1"/>
          <w:color w:val="auto"/>
        </w:rPr>
        <w:t>Public Offering</w:t>
      </w:r>
      <w:r>
        <w:rPr>
          <w:rFonts w:ascii="Arial" w:cs="Arial" w:eastAsia="Arial" w:hAnsi="Arial"/>
          <w:sz w:val="16"/>
          <w:szCs w:val="16"/>
          <w:color w:val="auto"/>
        </w:rPr>
        <w:t>) of our securities, consisting of shares of our common stock and shares of our newly created Series D Convertible Preferred Stock (</w:t>
      </w:r>
      <w:r>
        <w:rPr>
          <w:rFonts w:ascii="Arial" w:cs="Arial" w:eastAsia="Arial" w:hAnsi="Arial"/>
          <w:sz w:val="16"/>
          <w:szCs w:val="16"/>
          <w:i w:val="1"/>
          <w:iCs w:val="1"/>
          <w:color w:val="auto"/>
        </w:rPr>
        <w:t>Series D Preferred</w:t>
      </w:r>
      <w:r>
        <w:rPr>
          <w:rFonts w:ascii="Arial" w:cs="Arial" w:eastAsia="Arial" w:hAnsi="Arial"/>
          <w:sz w:val="16"/>
          <w:szCs w:val="16"/>
          <w:color w:val="auto"/>
        </w:rPr>
        <w:t>). Combined with financing and development and commercialization partnering transactions completed during 2020, the proceeds from the Public Offering provide us with working capital to advance an important stream of catalysts, including, among others, our Phase 3 development program for PH94B for the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and, upon successful Phase 3 development, submission of our New Drug Application to the U.S. Food and Drug Administration and potential U.S. market approval of PH94B.</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through the Public Offering, we have brought numerous large institutional investors to the Company that management and the Board believe share our fundamental view of our drug candidates’ potential to go beyond the standard of care for multiple anxiety and depression disorders and certain neurological conditions.</w:t>
      </w:r>
    </w:p>
    <w:p>
      <w:pPr>
        <w:spacing w:after="0" w:line="194"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18"/>
          <w:szCs w:val="18"/>
          <w:color w:val="auto"/>
        </w:rPr>
        <w:t xml:space="preserve">Each share of Series D Preferred issued in the Public Offering is convertible into twenty-three (23) shares of our common stock, but only after an amendment to our Restated Articles of Incorporation (our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to increase our authorized shares of common stock to a total of 325 million shares becomes effective (the </w:t>
      </w:r>
      <w:r>
        <w:rPr>
          <w:rFonts w:ascii="Arial" w:cs="Arial" w:eastAsia="Arial" w:hAnsi="Arial"/>
          <w:sz w:val="18"/>
          <w:szCs w:val="18"/>
          <w:i w:val="1"/>
          <w:iCs w:val="1"/>
          <w:color w:val="auto"/>
        </w:rPr>
        <w:t>Charter Amendment</w:t>
      </w:r>
      <w:r>
        <w:rPr>
          <w:rFonts w:ascii="Arial" w:cs="Arial" w:eastAsia="Arial" w:hAnsi="Arial"/>
          <w:sz w:val="18"/>
          <w:szCs w:val="18"/>
          <w:color w:val="auto"/>
        </w:rPr>
        <w:t>). Accordingly, at the Meeting, we are asking stockholders to approve the Charter Amendment, as well as a proposal providing us with the authority to adjourn the Meeting, if necessary, to solicit additional proxies to approve of the Charter Amendment. Additional information with respect to each proposal is provided in the accompanying Proxy Statement.</w:t>
      </w:r>
    </w:p>
    <w:p>
      <w:pPr>
        <w:spacing w:after="0" w:line="2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has unanimously approved of the Charter Amendment. In addition to enabling shares of Series D Preferred to be convertible into shares of common stock, the additional authorized common stock will allow the Company to respond to future business opportunities as they may arise from time-to-time in the future, including, without limitation, opportunities to license or acquire additional drug candidates to further expand our pipeline as we have done previously through our exclusive worldwide licenses to develop and commercialize PH94B and PH10, and/or enter into additional strategic collaborations to continue to advance our current and future development and commercialization activities, each without the expense and delay of additional stockholders’ meetings, unless such approval is otherwise required by law, our Charter or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648"/>
        <w:spacing w:after="0" w:line="254" w:lineRule="auto"/>
        <w:rPr>
          <w:sz w:val="20"/>
          <w:szCs w:val="20"/>
          <w:color w:val="auto"/>
        </w:rPr>
      </w:pPr>
      <w:r>
        <w:rPr>
          <w:rFonts w:ascii="Arial" w:cs="Arial" w:eastAsia="Arial" w:hAnsi="Arial"/>
          <w:sz w:val="18"/>
          <w:szCs w:val="18"/>
          <w:color w:val="auto"/>
        </w:rPr>
        <w:t>As noted, we are preparing for Phase 3 development and, if that is successful, commercialization, of PH94B for the acute treatment of anxiety in adults with SAD. We are also preparing for Phase 2a development of PH94B for additional anxiety-related disorders, such as adjustment disorder, postpartum anxiety, post-traumatic stress disorder (</w:t>
      </w:r>
      <w:r>
        <w:rPr>
          <w:rFonts w:ascii="Arial" w:cs="Arial" w:eastAsia="Arial" w:hAnsi="Arial"/>
          <w:sz w:val="18"/>
          <w:szCs w:val="18"/>
          <w:i w:val="1"/>
          <w:iCs w:val="1"/>
          <w:color w:val="auto"/>
        </w:rPr>
        <w:t>PTSD</w:t>
      </w:r>
      <w:r>
        <w:rPr>
          <w:rFonts w:ascii="Arial" w:cs="Arial" w:eastAsia="Arial" w:hAnsi="Arial"/>
          <w:sz w:val="18"/>
          <w:szCs w:val="18"/>
          <w:color w:val="auto"/>
        </w:rPr>
        <w:t>), and pre-procedural anxiety. In addition, we are preparing for Phase 2b development of PH10 as a stand-alone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and assessing the potential clinical development of AV-101 in combination with probenecid for multiple neurological disorders.</w:t>
      </w:r>
    </w:p>
    <w:p>
      <w:pPr>
        <w:spacing w:after="0" w:line="20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Charter Amendment proposal described in the accompanying Proxy Statement is important and vital to the Company’s ability to execute its business plan and its efforts to optimize the potential value of its drug candidate pipeline targeting numerous neuropsychiatric and neurological disorders for which the Company believes the current standard of care is inadequate, resulting in high unmet medical need.</w:t>
      </w:r>
    </w:p>
    <w:p>
      <w:pPr>
        <w:spacing w:after="0" w:line="1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It is important that you </w:t>
      </w:r>
      <w:r>
        <w:rPr>
          <w:rFonts w:ascii="Arial" w:cs="Arial" w:eastAsia="Arial" w:hAnsi="Arial"/>
          <w:sz w:val="16"/>
          <w:szCs w:val="16"/>
          <w:b w:val="1"/>
          <w:bCs w:val="1"/>
          <w:color w:val="auto"/>
        </w:rPr>
        <w:t>please read the accompanying Proxy Statement and then join our Board in voting in favor of the proposals described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 the accompanying Proxy Statement, including the Charter Amendment. You are encouraged to vote electronically via the Internet or by telephone, but you may also vote by postal mail. Please vote as promptly as possible. </w:t>
      </w:r>
      <w:r>
        <w:rPr>
          <w:rFonts w:ascii="Arial" w:cs="Arial" w:eastAsia="Arial" w:hAnsi="Arial"/>
          <w:sz w:val="16"/>
          <w:szCs w:val="16"/>
          <w:color w:val="auto"/>
        </w:rPr>
        <w:t>The accompanying Proxy Statement and Proxy Card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detailed instructions on submitting your votes. Voting promptly will ensure that your shares are represented at the Meeting.</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As noted, our Board has unanimously approved both of the two proposals set forth in the accompanying Proxy Statement, and we recommend that you join us and vote in favor of the proposals.</w:t>
      </w:r>
    </w:p>
    <w:p>
      <w:pPr>
        <w:spacing w:after="0" w:line="1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147955</wp:posOffset>
            </wp:positionV>
            <wp:extent cx="168846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Jon S. Saxe</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555625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00" w:top="56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363220</wp:posOffset>
            </wp:positionV>
            <wp:extent cx="113157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37235"/>
                    </a:xfrm>
                    <a:prstGeom prst="rect">
                      <a:avLst/>
                    </a:prstGeom>
                    <a:noFill/>
                  </pic:spPr>
                </pic:pic>
              </a:graphicData>
            </a:graphic>
          </wp:anchor>
        </w:drawing>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March 5,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 10:00 am Pacific Standard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A virtual special meeting of stockholders (the </w:t>
      </w:r>
      <w:r>
        <w:rPr>
          <w:rFonts w:ascii="Arial" w:cs="Arial" w:eastAsia="Arial" w:hAnsi="Arial"/>
          <w:sz w:val="18"/>
          <w:szCs w:val="18"/>
          <w:i w:val="1"/>
          <w:iCs w:val="1"/>
          <w:color w:val="auto"/>
        </w:rPr>
        <w:t>Meeting</w:t>
      </w:r>
      <w:r>
        <w:rPr>
          <w:rFonts w:ascii="Arial" w:cs="Arial" w:eastAsia="Arial" w:hAnsi="Arial"/>
          <w:sz w:val="18"/>
          <w:szCs w:val="18"/>
          <w:color w:val="auto"/>
        </w:rPr>
        <w:t xml:space="preserve"> or the </w:t>
      </w:r>
      <w:r>
        <w:rPr>
          <w:rFonts w:ascii="Arial" w:cs="Arial" w:eastAsia="Arial" w:hAnsi="Arial"/>
          <w:sz w:val="18"/>
          <w:szCs w:val="18"/>
          <w:i w:val="1"/>
          <w:iCs w:val="1"/>
          <w:color w:val="auto"/>
        </w:rPr>
        <w:t>Special Meeting</w:t>
      </w:r>
      <w:r>
        <w:rPr>
          <w:rFonts w:ascii="Arial" w:cs="Arial" w:eastAsia="Arial" w:hAnsi="Arial"/>
          <w:sz w:val="18"/>
          <w:szCs w:val="18"/>
          <w:color w:val="auto"/>
        </w:rPr>
        <w:t xml:space="preserve">)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we </w:t>
      </w:r>
      <w:r>
        <w:rPr>
          <w:rFonts w:ascii="Arial" w:cs="Arial" w:eastAsia="Arial" w:hAnsi="Arial"/>
          <w:sz w:val="18"/>
          <w:szCs w:val="18"/>
          <w:color w:val="auto"/>
        </w:rPr>
        <w:t>or</w:t>
      </w:r>
      <w:r>
        <w:rPr>
          <w:rFonts w:ascii="Arial" w:cs="Arial" w:eastAsia="Arial" w:hAnsi="Arial"/>
          <w:sz w:val="18"/>
          <w:szCs w:val="18"/>
          <w:i w:val="1"/>
          <w:iCs w:val="1"/>
          <w:color w:val="auto"/>
        </w:rPr>
        <w:t xml:space="preserve"> our</w:t>
      </w:r>
      <w:r>
        <w:rPr>
          <w:rFonts w:ascii="Arial" w:cs="Arial" w:eastAsia="Arial" w:hAnsi="Arial"/>
          <w:sz w:val="18"/>
          <w:szCs w:val="18"/>
          <w:color w:val="auto"/>
        </w:rPr>
        <w:t>), will be held on March 5, 2021, at 10:00 a.m., Pacific Standard Time.</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Due to concerns surrounding the ongoing COVID-19 pandemic and to assist in protecting the health and well-being of our stockholders and employees, the Meeting will be a virtual-format meeting, held exclusively online via the Internet. Stockholders of record as of January 4, 2021, the record date for the Meeting (the </w:t>
      </w:r>
      <w:r>
        <w:rPr>
          <w:rFonts w:ascii="Arial" w:cs="Arial" w:eastAsia="Arial" w:hAnsi="Arial"/>
          <w:sz w:val="18"/>
          <w:szCs w:val="18"/>
          <w:i w:val="1"/>
          <w:iCs w:val="1"/>
          <w:color w:val="auto"/>
        </w:rPr>
        <w:t>Record Date</w:t>
      </w:r>
      <w:r>
        <w:rPr>
          <w:rFonts w:ascii="Arial" w:cs="Arial" w:eastAsia="Arial" w:hAnsi="Arial"/>
          <w:sz w:val="18"/>
          <w:szCs w:val="18"/>
          <w:color w:val="auto"/>
        </w:rPr>
        <w:t xml:space="preserve">), will be able to attend the Meeting, regardless of location, by accessing the Meeting on the Internet at http://www.meetingcenter.io/255462968, and using the control number located on the proxy card accompanying this Proxy Statement. </w:t>
      </w:r>
      <w:r>
        <w:rPr>
          <w:rFonts w:ascii="Arial" w:cs="Arial" w:eastAsia="Arial" w:hAnsi="Arial"/>
          <w:sz w:val="18"/>
          <w:szCs w:val="18"/>
          <w:b w:val="1"/>
          <w:bCs w:val="1"/>
          <w:color w:val="auto"/>
        </w:rPr>
        <w:t>You will not be able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attend the Meeting in person. </w:t>
      </w:r>
      <w:r>
        <w:rPr>
          <w:rFonts w:ascii="Arial" w:cs="Arial" w:eastAsia="Arial" w:hAnsi="Arial"/>
          <w:sz w:val="18"/>
          <w:szCs w:val="18"/>
          <w:color w:val="auto"/>
        </w:rPr>
        <w:t>The Meeting is being held to:</w:t>
      </w:r>
    </w:p>
    <w:p>
      <w:pPr>
        <w:spacing w:after="0" w:line="201" w:lineRule="exact"/>
        <w:rPr>
          <w:sz w:val="20"/>
          <w:szCs w:val="20"/>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approve of an amendment to our Restated Articles of Incorporation, as amended (our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to increase the number of shares of common stock authorized for potential future issuance from 175 million to 325 million shares (the </w:t>
      </w:r>
      <w:r>
        <w:rPr>
          <w:rFonts w:ascii="Arial" w:cs="Arial" w:eastAsia="Arial" w:hAnsi="Arial"/>
          <w:sz w:val="18"/>
          <w:szCs w:val="18"/>
          <w:i w:val="1"/>
          <w:iCs w:val="1"/>
          <w:color w:val="auto"/>
        </w:rPr>
        <w:t>Charter Amendment</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980" w:right="20" w:hanging="324"/>
        <w:spacing w:after="0" w:line="33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approve a proposal to grant discretionary authority to adjourn the Meeting, if necessary, to solicit additional proxies in the event that there are not sufficient votes cast at the time of the Meeting to approve the Charter Amendment (the </w:t>
      </w:r>
      <w:r>
        <w:rPr>
          <w:rFonts w:ascii="Arial" w:cs="Arial" w:eastAsia="Arial" w:hAnsi="Arial"/>
          <w:sz w:val="16"/>
          <w:szCs w:val="16"/>
          <w:i w:val="1"/>
          <w:iCs w:val="1"/>
          <w:color w:val="auto"/>
        </w:rPr>
        <w:t>Adjournment Proposal</w:t>
      </w:r>
      <w:r>
        <w:rPr>
          <w:rFonts w:ascii="Arial" w:cs="Arial" w:eastAsia="Arial" w:hAnsi="Arial"/>
          <w:sz w:val="16"/>
          <w:szCs w:val="16"/>
          <w:color w:val="auto"/>
        </w:rPr>
        <w:t>);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upon such other matters as may properly come before the Meeting or any adjournment or postponement of the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matters are more fully discussed in the attached Proxy Statement.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Board of Directors (our </w:t>
      </w:r>
      <w:r>
        <w:rPr>
          <w:rFonts w:ascii="Arial" w:cs="Arial" w:eastAsia="Arial" w:hAnsi="Arial"/>
          <w:sz w:val="16"/>
          <w:szCs w:val="16"/>
          <w:i w:val="1"/>
          <w:iCs w:val="1"/>
          <w:color w:val="auto"/>
        </w:rPr>
        <w:t>Board</w:t>
      </w:r>
      <w:r>
        <w:rPr>
          <w:rFonts w:ascii="Arial" w:cs="Arial" w:eastAsia="Arial" w:hAnsi="Arial"/>
          <w:sz w:val="16"/>
          <w:szCs w:val="16"/>
          <w:color w:val="auto"/>
        </w:rPr>
        <w:t>) has fixed the close of business on January 4, 2021 as the Record Date for the determination of stockholders entitled to notice of and to vote at the Meeting, or any adjournments or postponements thereof. Only holders of record of our common stock and our Series D Convertible Preferred Stock (</w:t>
      </w:r>
      <w:r>
        <w:rPr>
          <w:rFonts w:ascii="Arial" w:cs="Arial" w:eastAsia="Arial" w:hAnsi="Arial"/>
          <w:sz w:val="16"/>
          <w:szCs w:val="16"/>
          <w:i w:val="1"/>
          <w:iCs w:val="1"/>
          <w:color w:val="auto"/>
        </w:rPr>
        <w:t>Series D Preferred</w:t>
      </w:r>
      <w:r>
        <w:rPr>
          <w:rFonts w:ascii="Arial" w:cs="Arial" w:eastAsia="Arial" w:hAnsi="Arial"/>
          <w:sz w:val="16"/>
          <w:szCs w:val="16"/>
          <w:color w:val="auto"/>
        </w:rPr>
        <w:t xml:space="preserve">) at the close of business on the Record Date are entitled to notice of and to vote at the Meeting. A complete list of these stockholders will be available for examination by any of our stockholders for purposes pertaining to the Meeting by sending an email to </w:t>
      </w:r>
      <w:r>
        <w:rPr>
          <w:rFonts w:ascii="Arial" w:cs="Arial" w:eastAsia="Arial" w:hAnsi="Arial"/>
          <w:sz w:val="16"/>
          <w:szCs w:val="16"/>
          <w:u w:val="single" w:color="auto"/>
          <w:color w:val="0563C1"/>
        </w:rPr>
        <w:t>Corp.Secretary@vistagen.com</w:t>
      </w:r>
      <w:r>
        <w:rPr>
          <w:rFonts w:ascii="Arial" w:cs="Arial" w:eastAsia="Arial" w:hAnsi="Arial"/>
          <w:sz w:val="16"/>
          <w:szCs w:val="16"/>
          <w:color w:val="000000"/>
        </w:rPr>
        <w:t>, stating the purpose of the request and providing proof of ownership of our common stock or Series D Preferred. This list will</w:t>
      </w:r>
      <w:r>
        <w:rPr>
          <w:rFonts w:ascii="Arial" w:cs="Arial" w:eastAsia="Arial" w:hAnsi="Arial"/>
          <w:sz w:val="16"/>
          <w:szCs w:val="16"/>
          <w:color w:val="0563C1"/>
        </w:rPr>
        <w:t xml:space="preserve"> </w:t>
      </w:r>
      <w:r>
        <w:rPr>
          <w:rFonts w:ascii="Arial" w:cs="Arial" w:eastAsia="Arial" w:hAnsi="Arial"/>
          <w:sz w:val="16"/>
          <w:szCs w:val="16"/>
          <w:color w:val="000000"/>
        </w:rPr>
        <w:t>also be available for examination to stockholders of record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122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122680"/>
                    </a:xfrm>
                    <a:prstGeom prst="rect">
                      <a:avLst/>
                    </a:prstGeom>
                    <a:noFill/>
                  </pic:spPr>
                </pic:pic>
              </a:graphicData>
            </a:graphic>
          </wp:anchor>
        </w:drawing>
      </w:r>
    </w:p>
    <w:p>
      <w:pPr>
        <w:spacing w:after="0" w:line="37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YOUR VOTES ARE IMPORTANT</w:t>
      </w:r>
    </w:p>
    <w:p>
      <w:pPr>
        <w:spacing w:after="0" w:line="225" w:lineRule="exact"/>
        <w:rPr>
          <w:sz w:val="20"/>
          <w:szCs w:val="20"/>
          <w:color w:val="auto"/>
        </w:rPr>
      </w:pPr>
    </w:p>
    <w:p>
      <w:pPr>
        <w:jc w:val="both"/>
        <w:ind w:left="120" w:right="220"/>
        <w:spacing w:after="0" w:line="301" w:lineRule="auto"/>
        <w:rPr>
          <w:sz w:val="20"/>
          <w:szCs w:val="20"/>
          <w:color w:val="auto"/>
        </w:rPr>
      </w:pPr>
      <w:r>
        <w:rPr>
          <w:rFonts w:ascii="Arial" w:cs="Arial" w:eastAsia="Arial" w:hAnsi="Arial"/>
          <w:sz w:val="16"/>
          <w:szCs w:val="16"/>
          <w:b w:val="1"/>
          <w:bCs w:val="1"/>
          <w:color w:val="auto"/>
        </w:rPr>
        <w:t>All stockholders are cordially invited to virtually attend the Meeting. However, to ensure your representation at the Meeting, you are urged to vote in advance of the meeting, as promptly as possible, electronically via the Internet or by telephone. You may also vote by postal mail in advance of the Meeting. Submitting your votes in advance of the Meeting assures that a quorum will be present at the Meeting. Any stockholder attending the Meeting virtually may vote at the Meeting, even if such stockholder has returned a proxy prior to the Meeting.</w:t>
      </w:r>
    </w:p>
    <w:p>
      <w:pPr>
        <w:spacing w:after="0" w:line="4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Whether or not you expect to virtually attend the Meeting, we urge you to vote your shares in advance of the Meeting, as promptly as possible, electronically via the Internet or by telephone so that your shares may be represented and voted at the Meeting. </w:t>
      </w:r>
      <w:r>
        <w:rPr>
          <w:rFonts w:ascii="Arial" w:cs="Arial" w:eastAsia="Arial" w:hAnsi="Arial"/>
          <w:sz w:val="18"/>
          <w:szCs w:val="18"/>
          <w:color w:val="auto"/>
        </w:rPr>
        <w:t>You may also vote by postal</w:t>
      </w:r>
      <w:r>
        <w:rPr>
          <w:rFonts w:ascii="Arial" w:cs="Arial" w:eastAsia="Arial" w:hAnsi="Arial"/>
          <w:sz w:val="18"/>
          <w:szCs w:val="18"/>
          <w:b w:val="1"/>
          <w:bCs w:val="1"/>
          <w:color w:val="auto"/>
        </w:rPr>
        <w:t xml:space="preserve"> </w:t>
      </w:r>
      <w:r>
        <w:rPr>
          <w:rFonts w:ascii="Arial" w:cs="Arial" w:eastAsia="Arial" w:hAnsi="Arial"/>
          <w:sz w:val="18"/>
          <w:szCs w:val="18"/>
          <w:color w:val="auto"/>
        </w:rPr>
        <w:t>mail in advance of the Meeting. If your shares are held in the name of a bank, broker, brokerage firm or other fiduciary, please follow the instructions on the voting instruction card furnished by the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firstLine="648"/>
        <w:spacing w:after="0" w:line="275" w:lineRule="auto"/>
        <w:rPr>
          <w:sz w:val="20"/>
          <w:szCs w:val="20"/>
          <w:color w:val="auto"/>
        </w:rPr>
      </w:pPr>
      <w:r>
        <w:rPr>
          <w:rFonts w:ascii="Arial" w:cs="Arial" w:eastAsia="Arial" w:hAnsi="Arial"/>
          <w:sz w:val="18"/>
          <w:szCs w:val="18"/>
          <w:b w:val="1"/>
          <w:bCs w:val="1"/>
          <w:color w:val="auto"/>
        </w:rPr>
        <w:t>Our Board of Directors has unanimously recommended that you vote “FOR” Proposal No. 1 and “FOR” Proposal No. 2, both of which are described in detail in the accompanying Proxy Statement.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IMPORTANT NOTICE REGARDING THE AVAILABILITY OF PROXY MATERIALS FOR THE MEETING:</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b w:val="1"/>
          <w:bCs w:val="1"/>
          <w:color w:val="auto"/>
        </w:rPr>
        <w:t xml:space="preserve">THE PROXY STATEMENT AND OTHER PROXY MATERIALS FOR THE MEETING ARE AVAILABLE ON THE INTERNET AT </w:t>
      </w:r>
      <w:r>
        <w:rPr>
          <w:rFonts w:ascii="Arial" w:cs="Arial" w:eastAsia="Arial" w:hAnsi="Arial"/>
          <w:sz w:val="18"/>
          <w:szCs w:val="18"/>
          <w:b w:val="1"/>
          <w:bCs w:val="1"/>
          <w:u w:val="single" w:color="auto"/>
          <w:color w:val="0000FF"/>
        </w:rPr>
        <w:t>HTTP://WWW.EDOCUMENTVIEW.COM/VTGN</w:t>
      </w:r>
    </w:p>
    <w:p>
      <w:pPr>
        <w:spacing w:after="0" w:line="39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147955</wp:posOffset>
            </wp:positionV>
            <wp:extent cx="150876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Jerrold D. Dotson</w:t>
      </w:r>
    </w:p>
    <w:p>
      <w:pPr>
        <w:spacing w:after="0" w:line="15"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363220</wp:posOffset>
            </wp:positionV>
            <wp:extent cx="1131570"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37235"/>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The enclosed proxy is solicited on behalf of the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xml:space="preserve">)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w:t>
      </w:r>
      <w:r>
        <w:rPr>
          <w:rFonts w:ascii="Arial" w:cs="Arial" w:eastAsia="Arial" w:hAnsi="Arial"/>
          <w:sz w:val="16"/>
          <w:szCs w:val="16"/>
          <w:i w:val="1"/>
          <w:iCs w:val="1"/>
          <w:color w:val="auto"/>
        </w:rPr>
        <w:t xml:space="preserve"> we </w:t>
      </w:r>
      <w:r>
        <w:rPr>
          <w:rFonts w:ascii="Arial" w:cs="Arial" w:eastAsia="Arial" w:hAnsi="Arial"/>
          <w:sz w:val="16"/>
          <w:szCs w:val="16"/>
          <w:color w:val="auto"/>
        </w:rPr>
        <w:t>or</w:t>
      </w:r>
      <w:r>
        <w:rPr>
          <w:rFonts w:ascii="Arial" w:cs="Arial" w:eastAsia="Arial" w:hAnsi="Arial"/>
          <w:sz w:val="16"/>
          <w:szCs w:val="16"/>
          <w:i w:val="1"/>
          <w:iCs w:val="1"/>
          <w:color w:val="auto"/>
        </w:rPr>
        <w:t xml:space="preserve"> our</w:t>
      </w:r>
      <w:r>
        <w:rPr>
          <w:rFonts w:ascii="Arial" w:cs="Arial" w:eastAsia="Arial" w:hAnsi="Arial"/>
          <w:sz w:val="16"/>
          <w:szCs w:val="16"/>
          <w:color w:val="auto"/>
        </w:rPr>
        <w:t>), for use at a virtual special meeting of our stockholders (the</w:t>
      </w:r>
      <w:r>
        <w:rPr>
          <w:rFonts w:ascii="Arial" w:cs="Arial" w:eastAsia="Arial" w:hAnsi="Arial"/>
          <w:sz w:val="16"/>
          <w:szCs w:val="16"/>
          <w:i w:val="1"/>
          <w:iCs w:val="1"/>
          <w:color w:val="auto"/>
        </w:rPr>
        <w:t xml:space="preserve"> Meeting </w:t>
      </w:r>
      <w:r>
        <w:rPr>
          <w:rFonts w:ascii="Arial" w:cs="Arial" w:eastAsia="Arial" w:hAnsi="Arial"/>
          <w:sz w:val="16"/>
          <w:szCs w:val="16"/>
          <w:color w:val="auto"/>
        </w:rPr>
        <w:t>or the</w:t>
      </w:r>
      <w:r>
        <w:rPr>
          <w:rFonts w:ascii="Arial" w:cs="Arial" w:eastAsia="Arial" w:hAnsi="Arial"/>
          <w:sz w:val="16"/>
          <w:szCs w:val="16"/>
          <w:i w:val="1"/>
          <w:iCs w:val="1"/>
          <w:color w:val="auto"/>
        </w:rPr>
        <w:t xml:space="preserve"> Special Meeting</w:t>
      </w:r>
      <w:r>
        <w:rPr>
          <w:rFonts w:ascii="Arial" w:cs="Arial" w:eastAsia="Arial" w:hAnsi="Arial"/>
          <w:sz w:val="16"/>
          <w:szCs w:val="16"/>
          <w:color w:val="auto"/>
        </w:rPr>
        <w:t>). Due to concerns surrounding the ongoing COVID-19 pandemic and to assist in protecting the health and well-being of our stockholders and employees, the Meeting will take place exclusively in a virtual meeting format on March 5, 2021, at 10:00 a.m., Pacific Standard Time, and will be held via the Internet at http://www.meetingcenter.io/255462968.</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or about January 14, 2021, proxy materials for the Meeting were furnished to each holder of record of our common stock and Series D Convertible Preferred Stock (</w:t>
      </w:r>
      <w:r>
        <w:rPr>
          <w:rFonts w:ascii="Arial" w:cs="Arial" w:eastAsia="Arial" w:hAnsi="Arial"/>
          <w:sz w:val="16"/>
          <w:szCs w:val="16"/>
          <w:i w:val="1"/>
          <w:iCs w:val="1"/>
          <w:color w:val="auto"/>
        </w:rPr>
        <w:t>Series D Preferred</w:t>
      </w:r>
      <w:r>
        <w:rPr>
          <w:rFonts w:ascii="Arial" w:cs="Arial" w:eastAsia="Arial" w:hAnsi="Arial"/>
          <w:sz w:val="16"/>
          <w:szCs w:val="16"/>
          <w:color w:val="auto"/>
        </w:rPr>
        <w:t xml:space="preserve">) as of the close of business on January 4, 2021, the record date for the Meeting (the </w:t>
      </w:r>
      <w:r>
        <w:rPr>
          <w:rFonts w:ascii="Arial" w:cs="Arial" w:eastAsia="Arial" w:hAnsi="Arial"/>
          <w:sz w:val="16"/>
          <w:szCs w:val="16"/>
          <w:i w:val="1"/>
          <w:iCs w:val="1"/>
          <w:color w:val="auto"/>
        </w:rPr>
        <w:t>Record Date</w:t>
      </w:r>
      <w:r>
        <w:rPr>
          <w:rFonts w:ascii="Arial" w:cs="Arial" w:eastAsia="Arial" w:hAnsi="Arial"/>
          <w:sz w:val="16"/>
          <w:szCs w:val="16"/>
          <w:color w:val="auto"/>
        </w:rPr>
        <w:t xml:space="preserve">). Included in the proxy materials for the Meeting are instructions for accessing this Proxy Statement and Meeting voting instructions. </w:t>
      </w:r>
      <w:r>
        <w:rPr>
          <w:rFonts w:ascii="Arial" w:cs="Arial" w:eastAsia="Arial" w:hAnsi="Arial"/>
          <w:sz w:val="16"/>
          <w:szCs w:val="16"/>
          <w:b w:val="1"/>
          <w:bCs w:val="1"/>
          <w:color w:val="auto"/>
        </w:rPr>
        <w:t>This Proxy Statement and other proxy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materials for the Meeting are available on the Internet at: </w:t>
      </w:r>
      <w:r>
        <w:rPr>
          <w:rFonts w:ascii="Arial" w:cs="Arial" w:eastAsia="Arial" w:hAnsi="Arial"/>
          <w:sz w:val="16"/>
          <w:szCs w:val="16"/>
          <w:b w:val="1"/>
          <w:bCs w:val="1"/>
          <w:u w:val="single" w:color="auto"/>
          <w:color w:val="0000FF"/>
        </w:rPr>
        <w:t>http://www.edocumentview.com/VTGN</w:t>
      </w:r>
      <w:r>
        <w:rPr>
          <w:rFonts w:ascii="Arial" w:cs="Arial" w:eastAsia="Arial" w:hAnsi="Arial"/>
          <w:sz w:val="16"/>
          <w:szCs w:val="16"/>
          <w:b w:val="1"/>
          <w:bCs w:val="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Shares Outstanding</w:t>
      </w:r>
    </w:p>
    <w:p>
      <w:pPr>
        <w:spacing w:after="0" w:line="258" w:lineRule="exact"/>
        <w:rPr>
          <w:sz w:val="20"/>
          <w:szCs w:val="20"/>
          <w:color w:val="auto"/>
        </w:rPr>
      </w:pPr>
    </w:p>
    <w:p>
      <w:pPr>
        <w:jc w:val="both"/>
        <w:ind w:firstLine="783"/>
        <w:spacing w:after="0" w:line="294" w:lineRule="auto"/>
        <w:rPr>
          <w:sz w:val="20"/>
          <w:szCs w:val="20"/>
          <w:color w:val="auto"/>
        </w:rPr>
      </w:pPr>
      <w:r>
        <w:rPr>
          <w:rFonts w:ascii="Arial" w:cs="Arial" w:eastAsia="Arial" w:hAnsi="Arial"/>
          <w:sz w:val="16"/>
          <w:szCs w:val="16"/>
          <w:color w:val="auto"/>
        </w:rPr>
        <w:t>The specific proposals to be considered and acted upon at the Meeting are described in this Proxy Statement. Holders of our common stock and shares of our Series D Preferred outstanding as of the close of business on the Record Date, January 4, 2021, are entitled to notice of and to vote at the Meeting. On the Record Date, there were 138,543,190 shares of our common stock and 2,000,000 shares of Series D Preferred issued and outstanding. Each holder of common stock and each share of Series D Preferred is entitled to one vote for each share outstanding as of the Record Date and the holders of shares of Series D Preferred will vote as a single class with the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order for any business to be conducted at the Meeting, the holders of more than 50% of the shares entitled to vote must be represented at the Meeting, either in person virtually or by properly executed proxy. If a quorum is not present at the scheduled time of the Meeting, the stockholders who are present either in person virtually or by proxy, may adjourn and postpone the Meeting until a quorum is present. The time and place of the adjourned Meeting will be announced at the time the adjournment is taken, and no other notice will be given. An adjournment will have no effect on the business that may be conducted at the Meeting.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 list of registered stockholders as of the close of business on the Record Date will be open to the examination of any stockholder for a period of ten days prior to the Meeting for a purpose pertaining to the Meeting by sending an email to </w:t>
      </w:r>
      <w:r>
        <w:rPr>
          <w:rFonts w:ascii="Arial" w:cs="Arial" w:eastAsia="Arial" w:hAnsi="Arial"/>
          <w:sz w:val="18"/>
          <w:szCs w:val="18"/>
          <w:u w:val="single" w:color="auto"/>
          <w:color w:val="0563C1"/>
        </w:rPr>
        <w:t>Corp.Secretary@vistagen.com</w:t>
      </w:r>
      <w:r>
        <w:rPr>
          <w:rFonts w:ascii="Arial" w:cs="Arial" w:eastAsia="Arial" w:hAnsi="Arial"/>
          <w:sz w:val="18"/>
          <w:szCs w:val="18"/>
          <w:color w:val="auto"/>
        </w:rPr>
        <w:t>, stating the purpose of the request and providing proof of ownership of our common stock. This list will also be available for examination to stockholders of record during the virtual Meeting webcast at http://www.meetingcenter.io/255462968.</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Attendance at the Virtual Special Meeting</w:t>
      </w:r>
    </w:p>
    <w:p>
      <w:pPr>
        <w:spacing w:after="0" w:line="2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will host the virtual Meeting live online, via Internet webcast. You may attend the Meeting virtually by visiting http://www.meetingcenter.io/255462968. The Internet webcast will start at 10:00 a.m., Pacific Standard Time, on March 5, 2021.</w:t>
      </w:r>
    </w:p>
    <w:p>
      <w:pPr>
        <w:spacing w:after="0" w:line="21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To access the virtual Meeting, please go to http://www.meetingcenter.io/255462968. You will have the option to log in to the virtual Meeting as a “Stockholder” with a control number or as a “Guest.” If you are a stockholder of record as of the Record Date (i.e., if you hold your shares through Computershare, our registrar and transfer agent) (a </w:t>
      </w:r>
      <w:r>
        <w:rPr>
          <w:rFonts w:ascii="Arial" w:cs="Arial" w:eastAsia="Arial" w:hAnsi="Arial"/>
          <w:sz w:val="16"/>
          <w:szCs w:val="16"/>
          <w:i w:val="1"/>
          <w:iCs w:val="1"/>
          <w:color w:val="auto"/>
        </w:rPr>
        <w:t>Stockholder</w:t>
      </w:r>
      <w:r>
        <w:rPr>
          <w:rFonts w:ascii="Arial" w:cs="Arial" w:eastAsia="Arial" w:hAnsi="Arial"/>
          <w:sz w:val="16"/>
          <w:szCs w:val="16"/>
          <w:color w:val="auto"/>
        </w:rPr>
        <w:t>), you may log in as a “Stockholder” using the control number and password for the Meeting, both of which can be found on your proxy card. If you are not a stockholder of record (i.e., if you do not hold your shares through Computershare), but hold shares through an intermediary, such as a bank or broker, trustee or nominee (sometimes referred to as holding in “street name”), you may attend the Meeting as “Guest” by entering your name and email address. As a Guest, you will have access to the Meeting materials and will be able to ask questions during the Meeting, but you will not be able to vote during the Meeting.</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If you hold your shares through an intermediary, such as a bank or broker, and you desire to vote during the Meeting, you must register in advance to attend the Meeting as a Stockholder. To register to attend the virtual Meeting as a Stockholder, you must provide proof of beneficial ownership as of the Record Date, such as an account statement, legal proxy from your broker, or similar evidence of ownership along with your name and email address to Computershare. Requests for Meeting registration of beneficial owners must be labeled as “Legal Proxy” and be received no later than 5:00 p.m., Eastern Standard Time, on March 4, 2021. You will receive a confirmation of your Meeting registration by email after Computershare receives your registration materials. </w:t>
      </w:r>
      <w:r>
        <w:rPr>
          <w:rFonts w:ascii="Arial" w:cs="Arial" w:eastAsia="Arial" w:hAnsi="Arial"/>
          <w:sz w:val="16"/>
          <w:szCs w:val="16"/>
          <w:b w:val="1"/>
          <w:bCs w:val="1"/>
          <w:color w:val="auto"/>
        </w:rPr>
        <w:t>Requests for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registration by email are preferred and should be directed to </w:t>
      </w:r>
      <w:r>
        <w:rPr>
          <w:rFonts w:ascii="Arial" w:cs="Arial" w:eastAsia="Arial" w:hAnsi="Arial"/>
          <w:sz w:val="16"/>
          <w:szCs w:val="16"/>
          <w:b w:val="1"/>
          <w:bCs w:val="1"/>
          <w:u w:val="single" w:color="auto"/>
          <w:color w:val="4A2CE2"/>
        </w:rPr>
        <w:t>legalproxy@computershare.com</w:t>
      </w:r>
      <w:r>
        <w:rPr>
          <w:rFonts w:ascii="Arial" w:cs="Arial" w:eastAsia="Arial" w:hAnsi="Arial"/>
          <w:sz w:val="16"/>
          <w:szCs w:val="16"/>
          <w:b w:val="1"/>
          <w:bCs w:val="1"/>
          <w:color w:val="auto"/>
        </w:rPr>
        <w:t xml:space="preserve">. </w:t>
      </w:r>
      <w:r>
        <w:rPr>
          <w:rFonts w:ascii="Arial" w:cs="Arial" w:eastAsia="Arial" w:hAnsi="Arial"/>
          <w:sz w:val="16"/>
          <w:szCs w:val="16"/>
          <w:color w:val="auto"/>
        </w:rPr>
        <w:t>Requests for registration may also be made by postal mail</w:t>
      </w:r>
      <w:r>
        <w:rPr>
          <w:rFonts w:ascii="Arial" w:cs="Arial" w:eastAsia="Arial" w:hAnsi="Arial"/>
          <w:sz w:val="16"/>
          <w:szCs w:val="16"/>
          <w:b w:val="1"/>
          <w:bCs w:val="1"/>
          <w:color w:val="auto"/>
        </w:rPr>
        <w:t xml:space="preserve"> </w:t>
      </w:r>
      <w:r>
        <w:rPr>
          <w:rFonts w:ascii="Arial" w:cs="Arial" w:eastAsia="Arial" w:hAnsi="Arial"/>
          <w:sz w:val="16"/>
          <w:szCs w:val="16"/>
          <w:color w:val="auto"/>
        </w:rPr>
        <w:t>to Computershare, VistaGen Therapeutics, Inc. Legal Proxy, P.O. Box 43001, Providence, RI 02940-3001. You will receive a confirmation email from Computershare of your Meeting registration and will receive a control number to enter the Meeting as a Stockholder.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Whether you attend the Meeting as a Stockholder or as a Guest, please allow yourself ample time for the online check-in procedures.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at the Special Meeting</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By accessing </w:t>
      </w:r>
      <w:r>
        <w:rPr>
          <w:rFonts w:ascii="Arial" w:cs="Arial" w:eastAsia="Arial" w:hAnsi="Arial"/>
          <w:sz w:val="16"/>
          <w:szCs w:val="16"/>
          <w:u w:val="single" w:color="auto"/>
          <w:color w:val="0000FF"/>
        </w:rPr>
        <w:t>http://www.meetingcenter.io/255462968 on</w:t>
      </w:r>
      <w:r>
        <w:rPr>
          <w:rFonts w:ascii="Arial" w:cs="Arial" w:eastAsia="Arial" w:hAnsi="Arial"/>
          <w:sz w:val="16"/>
          <w:szCs w:val="16"/>
          <w:color w:val="auto"/>
        </w:rPr>
        <w:t xml:space="preserve"> the Internet, our stockholders will be able to submit questions in writing in advance of or during the Meeting, vote, view the Meeting procedures, and obtain copies of proxy materials. Stockholders will need their unique control number which appears on the proxy card accompanying this Proxy Statement and the instructions that accompanied the proxy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as of the Record Date, there are four ways you can vote:</w:t>
      </w:r>
    </w:p>
    <w:p>
      <w:pPr>
        <w:spacing w:after="0" w:line="225" w:lineRule="exact"/>
        <w:rPr>
          <w:sz w:val="20"/>
          <w:szCs w:val="20"/>
          <w:color w:val="auto"/>
        </w:rPr>
      </w:pPr>
    </w:p>
    <w:p>
      <w:pPr>
        <w:ind w:left="1300" w:hanging="482"/>
        <w:spacing w:after="0" w:line="26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the Internet: You may vote online via the Internet by following the instructions provided in this Proxy Statement, as well as the proxy card accompanying this Proxy Statement.</w:t>
      </w:r>
    </w:p>
    <w:p>
      <w:pPr>
        <w:spacing w:after="0" w:line="185"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You may vote by telephone by following the instructions on the proxy card.</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Postal Mail: You may vote by mailing your proxy as described in the proxy card accompanying this Proxy Statement.</w:t>
      </w:r>
    </w:p>
    <w:p>
      <w:pPr>
        <w:spacing w:after="0" w:line="225" w:lineRule="exact"/>
        <w:rPr>
          <w:rFonts w:ascii="Arial" w:cs="Arial" w:eastAsia="Arial" w:hAnsi="Arial"/>
          <w:sz w:val="18"/>
          <w:szCs w:val="18"/>
          <w:color w:val="auto"/>
        </w:rPr>
      </w:pPr>
    </w:p>
    <w:p>
      <w:pPr>
        <w:jc w:val="both"/>
        <w:ind w:left="1300" w:hanging="482"/>
        <w:spacing w:after="0" w:line="25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Meeting: You will have the ability to attend the virtual Meeting and vote online via the Internet during the Meeting. The Meeting will be a virtual only meeting and can be accessed on the Internet at http://www.meetingcenter.io/255462968 . Submitting a proxy will not prevent a stockholder from attending the Meeting virtually, revoking an earlier-submitted proxy in accordance with the process outlined below and voting online during the Meeting.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 w:name="page8"/>
    <w:bookmarkEnd w:id="7"/>
    <w:p>
      <w:pPr>
        <w:jc w:val="both"/>
        <w:ind w:right="20" w:firstLine="648"/>
        <w:spacing w:after="0" w:line="268" w:lineRule="auto"/>
        <w:rPr>
          <w:sz w:val="20"/>
          <w:szCs w:val="20"/>
          <w:color w:val="auto"/>
        </w:rPr>
      </w:pPr>
      <w:r>
        <w:rPr>
          <w:rFonts w:ascii="Arial" w:cs="Arial" w:eastAsia="Arial" w:hAnsi="Arial"/>
          <w:sz w:val="18"/>
          <w:szCs w:val="18"/>
          <w:color w:val="auto"/>
        </w:rPr>
        <w:t xml:space="preserve">In order to be counted, proxies submitted electronically by </w:t>
      </w:r>
      <w:r>
        <w:rPr>
          <w:rFonts w:ascii="Arial" w:cs="Arial" w:eastAsia="Arial" w:hAnsi="Arial"/>
          <w:sz w:val="18"/>
          <w:szCs w:val="18"/>
          <w:u w:val="single" w:color="auto"/>
          <w:color w:val="auto"/>
        </w:rPr>
        <w:t>telephone</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Internet</w:t>
      </w:r>
      <w:r>
        <w:rPr>
          <w:rFonts w:ascii="Arial" w:cs="Arial" w:eastAsia="Arial" w:hAnsi="Arial"/>
          <w:sz w:val="18"/>
          <w:szCs w:val="18"/>
          <w:color w:val="auto"/>
        </w:rPr>
        <w:t xml:space="preserve"> must be received by 11:59 p.m., Eastern Standard Time, on March 4, 2021. Proxies submitted by </w:t>
      </w:r>
      <w:r>
        <w:rPr>
          <w:rFonts w:ascii="Arial" w:cs="Arial" w:eastAsia="Arial" w:hAnsi="Arial"/>
          <w:sz w:val="18"/>
          <w:szCs w:val="18"/>
          <w:u w:val="single" w:color="auto"/>
          <w:color w:val="auto"/>
        </w:rPr>
        <w:t>postal mail</w:t>
      </w:r>
      <w:r>
        <w:rPr>
          <w:rFonts w:ascii="Arial" w:cs="Arial" w:eastAsia="Arial" w:hAnsi="Arial"/>
          <w:sz w:val="18"/>
          <w:szCs w:val="18"/>
          <w:color w:val="auto"/>
        </w:rPr>
        <w:t xml:space="preserve"> must be received before the start of the virtual Meeting.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you hold your shares through a bank or broker, please follow their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Proposal No. 1: Amendment to the Company’s Restated Articles of Incorporation to Increase the Authorized Common Stock. </w:t>
      </w:r>
      <w:r>
        <w:rPr>
          <w:rFonts w:ascii="Arial" w:cs="Arial" w:eastAsia="Arial" w:hAnsi="Arial"/>
          <w:sz w:val="16"/>
          <w:szCs w:val="16"/>
          <w:color w:val="auto"/>
        </w:rPr>
        <w:t>On December 16, 2020,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Board unanimously approved an amendment to our Restated Articles of Incorporation, as amended (our </w:t>
      </w:r>
      <w:r>
        <w:rPr>
          <w:rFonts w:ascii="Arial" w:cs="Arial" w:eastAsia="Arial" w:hAnsi="Arial"/>
          <w:sz w:val="16"/>
          <w:szCs w:val="16"/>
          <w:i w:val="1"/>
          <w:iCs w:val="1"/>
          <w:color w:val="auto"/>
        </w:rPr>
        <w:t>Charter</w:t>
      </w:r>
      <w:r>
        <w:rPr>
          <w:rFonts w:ascii="Arial" w:cs="Arial" w:eastAsia="Arial" w:hAnsi="Arial"/>
          <w:sz w:val="16"/>
          <w:szCs w:val="16"/>
          <w:color w:val="auto"/>
        </w:rPr>
        <w:t xml:space="preserve">), to increase the number of authorized shares of common stock for potential future issuance thereunder from 175 million to 325 million (the </w:t>
      </w:r>
      <w:r>
        <w:rPr>
          <w:rFonts w:ascii="Arial" w:cs="Arial" w:eastAsia="Arial" w:hAnsi="Arial"/>
          <w:sz w:val="16"/>
          <w:szCs w:val="16"/>
          <w:i w:val="1"/>
          <w:iCs w:val="1"/>
          <w:color w:val="auto"/>
        </w:rPr>
        <w:t>Charter Amendment</w:t>
      </w:r>
      <w:r>
        <w:rPr>
          <w:rFonts w:ascii="Arial" w:cs="Arial" w:eastAsia="Arial" w:hAnsi="Arial"/>
          <w:sz w:val="16"/>
          <w:szCs w:val="16"/>
          <w:color w:val="auto"/>
        </w:rPr>
        <w:t xml:space="preserve">). Pursuant to our Charter, our Amended and Restated Bylaws and the Nevada Revised Statutes, the Charter Amendment must be approved by holders of a majority of our outstanding voting securities before taking effect. A copy of the Charter Amendment is attached to this Proxy Statement as </w:t>
      </w:r>
      <w:r>
        <w:rPr>
          <w:rFonts w:ascii="Arial" w:cs="Arial" w:eastAsia="Arial" w:hAnsi="Arial"/>
          <w:sz w:val="16"/>
          <w:szCs w:val="16"/>
          <w:u w:val="single" w:color="auto"/>
          <w:color w:val="auto"/>
        </w:rPr>
        <w:t>Appendix A</w:t>
      </w:r>
      <w:r>
        <w:rPr>
          <w:rFonts w:ascii="Arial" w:cs="Arial" w:eastAsia="Arial" w:hAnsi="Arial"/>
          <w:sz w:val="16"/>
          <w:szCs w:val="16"/>
          <w:color w:val="auto"/>
          <w:highlight w:val="white"/>
        </w:rPr>
        <w:t>.</w:t>
      </w:r>
      <w:r>
        <w:rPr>
          <w:rFonts w:ascii="Arial" w:cs="Arial" w:eastAsia="Arial" w:hAnsi="Arial"/>
          <w:sz w:val="16"/>
          <w:szCs w:val="16"/>
          <w:color w:val="auto"/>
        </w:rPr>
        <w:t xml:space="preserve"> The affirmative “FOR” vote of a majority of our outstanding voting securities entitled to vote as of the Record Date is required to approve this proposal.</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i w:val="1"/>
          <w:iCs w:val="1"/>
          <w:color w:val="auto"/>
        </w:rPr>
        <w:t xml:space="preserve">Proposal No. 2: Authority to Adjourn the Meeting. </w:t>
      </w:r>
      <w:r>
        <w:rPr>
          <w:rFonts w:ascii="Arial" w:cs="Arial" w:eastAsia="Arial" w:hAnsi="Arial"/>
          <w:sz w:val="16"/>
          <w:szCs w:val="16"/>
          <w:color w:val="auto"/>
        </w:rPr>
        <w:t>The affirmative “FOR” vote of a majority of the shares present in person or by proxy 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Meeting and entitled to vote is required to grant us discretionary authority to adjourn the Meeting, if necessary, to solicit additional proxies in the event that there are not sufficient votes cast at the time of the virtual Meeting to approve the Charter Amendment (the </w:t>
      </w:r>
      <w:r>
        <w:rPr>
          <w:rFonts w:ascii="Arial" w:cs="Arial" w:eastAsia="Arial" w:hAnsi="Arial"/>
          <w:sz w:val="16"/>
          <w:szCs w:val="16"/>
          <w:i w:val="1"/>
          <w:iCs w:val="1"/>
          <w:color w:val="auto"/>
        </w:rPr>
        <w:t>Adjournment Proposal</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votes will be tabulated by the inspector of election appointed for the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(i.e., through a broker, brokerage firm or other nominee), your broker, brokerage firm or nominee may not be permitted to exercise voting discretion with respect to some of the matters to be acted upon. If you do not give your broker, brokerage firm or nominee specific instructions regarding such matters, your proxy will be deemed a “broker non-vote.”</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Approval of the Charter Amendment described in Proposal No. 1 requires the affirmative vote of a majority of our outstanding shares of common stock and Series D Preferred, voting as a single class, entitled to vote as of the Record Date. Accordingly, abstentions and broker non-votes have the effect of a vote against Proposal No. 1.</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Nevada law and our Amended and Restated Bylaws, Proposal No. 2 will be determined by the holders of a majority of the votes cast, excluding abstentions, in person virtually or by proxy at the virtual Meeting. For this matter, abstentions and any broker non-votes cast will not be counted as shares voting for or against such matter.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If your proxy is properly returned to the Company, the shares represented thereby will be voted at the virtual Meeting in accordance with the instructions specified thereon. If you return your proxy without specifying how the shares represented thereby are to be voted, the proxy will be voted in the manner unanimously approved by our Board, as follows: (i)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Charter Amendment; (ii)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Adjournment Proposal; and (iii) at the discretion of the proxy holders on any other matter that may properly come before the Meeting or any adjournment or postponement thereof.</w:t>
      </w:r>
    </w:p>
    <w:p>
      <w:pPr>
        <w:spacing w:after="0" w:line="20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You may revoke or change your proxy at any time before the Meeting by filing, with our Corporate Secretary at our principal executive offices, located at 343 Allerton Avenue, South San Francisco, California 94080, a notice of revocation or another signed proxy with a later date. You may also revoke your proxy by virtually attending the Meeting and virtually voting in person. Your virtual attendance at the Meeting will not, by itself, revoke your proxy.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will bear the entire cost of solicitation, including the preparation, printing and mailing of this Proxy Statement, the proxy card and any other solicitation materials or services we may use in connection with the virtual Meeting or any adjournment thereof, as well as the preparation and posting of all proxy materials furnished to the stockholders in connection with the Meeting or any adjournment thereof. We have retained Georgeson LLC to assist in the solicitation of proxies for the Meeting. We expect that the remuneration to Georgeson LLC for its services will be approximately $10,000, plus reimbursement for out-of-pocket expenses.</w:t>
      </w:r>
    </w:p>
    <w:p>
      <w:pPr>
        <w:spacing w:after="0" w:line="13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MATTERS TO BE CONSIDERED AT THE SPECIAL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APPROVAL OF AN AMENDMENT TO OUR CHARTER TO INCREASE THE NUMBER OF SHARES OF COMMON STOCK AUTHORIZED FOR ISSUANCE FROM 175 MILLION TO 325 MILLION</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On December 18, 2020, we entered into an underwriting agreement with Jefferies LLC and William Blair &amp; Company, L.L.C., as representatives of the underwriters named therein, pursuant to which we sold, in an underwritten public offering (the </w:t>
      </w:r>
      <w:r>
        <w:rPr>
          <w:rFonts w:ascii="Arial" w:cs="Arial" w:eastAsia="Arial" w:hAnsi="Arial"/>
          <w:sz w:val="16"/>
          <w:szCs w:val="16"/>
          <w:i w:val="1"/>
          <w:iCs w:val="1"/>
          <w:color w:val="auto"/>
        </w:rPr>
        <w:t>Public Offering</w:t>
      </w:r>
      <w:r>
        <w:rPr>
          <w:rFonts w:ascii="Arial" w:cs="Arial" w:eastAsia="Arial" w:hAnsi="Arial"/>
          <w:sz w:val="16"/>
          <w:szCs w:val="16"/>
          <w:color w:val="auto"/>
        </w:rPr>
        <w:t>), 63,000,000 shares of our common stock at a public offering price of $0.92 per share and 2,000,000 shares of our newly created Series D Preferred at a public offering price of $21.16 per share, resulting in gross proceeds to the Company of $100 million. The Public Offering closed on December 22, 2020.</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Each share of Series D Preferred sold in the Public Offering is convertible into twenty-three (23) shares of our common stock, but only after an amendment to our Restated Articles of Incorporation (our </w:t>
      </w:r>
      <w:r>
        <w:rPr>
          <w:rFonts w:ascii="Arial" w:cs="Arial" w:eastAsia="Arial" w:hAnsi="Arial"/>
          <w:sz w:val="16"/>
          <w:szCs w:val="16"/>
          <w:i w:val="1"/>
          <w:iCs w:val="1"/>
          <w:color w:val="auto"/>
        </w:rPr>
        <w:t>Charter</w:t>
      </w:r>
      <w:r>
        <w:rPr>
          <w:rFonts w:ascii="Arial" w:cs="Arial" w:eastAsia="Arial" w:hAnsi="Arial"/>
          <w:sz w:val="16"/>
          <w:szCs w:val="16"/>
          <w:color w:val="auto"/>
        </w:rPr>
        <w:t xml:space="preserve">) to increase our authorized shares of common stock to a total of 325 million shares becomes effective (the </w:t>
      </w:r>
      <w:r>
        <w:rPr>
          <w:rFonts w:ascii="Arial" w:cs="Arial" w:eastAsia="Arial" w:hAnsi="Arial"/>
          <w:sz w:val="16"/>
          <w:szCs w:val="16"/>
          <w:i w:val="1"/>
          <w:iCs w:val="1"/>
          <w:color w:val="auto"/>
        </w:rPr>
        <w:t>Charter Amendment</w:t>
      </w:r>
      <w:r>
        <w:rPr>
          <w:rFonts w:ascii="Arial" w:cs="Arial" w:eastAsia="Arial" w:hAnsi="Arial"/>
          <w:sz w:val="16"/>
          <w:szCs w:val="16"/>
          <w:color w:val="auto"/>
        </w:rPr>
        <w:t>). Accordingly, on December 16, 2020, our Board unanimously approved the Charter Amendment, subject to approval of the Charter Amendment by holders of a majority of shares of our voting securities entitled to vote on such matter.</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 Nevada corporation. Therefore, the Charter Amendment will become effective upon filing of the amendment with the Nevada Secretary of State. If the Charter Amendment is approved by stockholders at the Meeting, we intend to file the Charter Amendment as soon as practicable following the Meeting.</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The form of Certificate of Amendment to be filed with the Nevada Secretary of State to affect the Charter Amendment is set forth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(subject to any changes required by applicable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Charter Amendment</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Charter currently authorizes us to issue a maximum of 175 million shares of common stock, par value $0.001 per share and 10 million shares of preferred stock, $0.001 par value per share. Our issued and outstanding securities, as of January 4, 2021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2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w:t>
            </w:r>
          </w:p>
        </w:tc>
      </w:tr>
      <w:tr>
        <w:trPr>
          <w:trHeight w:val="216"/>
        </w:trPr>
        <w:tc>
          <w:tcPr>
            <w:tcW w:w="102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4,</w:t>
            </w:r>
          </w:p>
        </w:tc>
      </w:tr>
      <w:tr>
        <w:trPr>
          <w:trHeight w:val="237"/>
        </w:trPr>
        <w:tc>
          <w:tcPr>
            <w:tcW w:w="10220" w:type="dxa"/>
            <w:vAlign w:val="bottom"/>
          </w:tcPr>
          <w:p>
            <w:pPr>
              <w:ind w:left="4160"/>
              <w:spacing w:after="0"/>
              <w:rPr>
                <w:sz w:val="20"/>
                <w:szCs w:val="20"/>
                <w:color w:val="auto"/>
              </w:rPr>
            </w:pPr>
            <w:r>
              <w:rPr>
                <w:rFonts w:ascii="Arial" w:cs="Arial" w:eastAsia="Arial" w:hAnsi="Arial"/>
                <w:sz w:val="18"/>
                <w:szCs w:val="18"/>
                <w:b w:val="1"/>
                <w:bCs w:val="1"/>
                <w:color w:val="auto"/>
              </w:rPr>
              <w:t>Shares of common stock</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138,543,190</w:t>
            </w: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Issuable upon conversion of outstanding shares of our preferred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A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r>
      <w:tr>
        <w:trPr>
          <w:trHeight w:val="216"/>
        </w:trPr>
        <w:tc>
          <w:tcPr>
            <w:tcW w:w="1022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Series B 10% Convertible Preferred Stock </w:t>
            </w:r>
            <w:r>
              <w:rPr>
                <w:rFonts w:ascii="Arial" w:cs="Arial" w:eastAsia="Arial" w:hAnsi="Arial"/>
                <w:sz w:val="24"/>
                <w:szCs w:val="24"/>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1,131,669</w:t>
            </w:r>
          </w:p>
        </w:tc>
        <w:tc>
          <w:tcPr>
            <w:tcW w:w="100" w:type="dxa"/>
            <w:vAlign w:val="bottom"/>
          </w:tcPr>
          <w:p>
            <w:pPr>
              <w:spacing w:after="0"/>
              <w:rPr>
                <w:sz w:val="18"/>
                <w:szCs w:val="18"/>
                <w:color w:val="auto"/>
              </w:rPr>
            </w:pPr>
          </w:p>
        </w:tc>
      </w:tr>
      <w:tr>
        <w:trPr>
          <w:trHeight w:val="216"/>
        </w:trPr>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C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00" w:type="dxa"/>
            <w:vAlign w:val="bottom"/>
            <w:shd w:val="clear" w:color="auto" w:fill="CCEEFF"/>
          </w:tcPr>
          <w:p>
            <w:pPr>
              <w:spacing w:after="0"/>
              <w:rPr>
                <w:sz w:val="18"/>
                <w:szCs w:val="18"/>
                <w:color w:val="auto"/>
              </w:rPr>
            </w:pPr>
          </w:p>
        </w:tc>
      </w:tr>
      <w:tr>
        <w:trPr>
          <w:trHeight w:val="216"/>
        </w:trPr>
        <w:tc>
          <w:tcPr>
            <w:tcW w:w="10220" w:type="dxa"/>
            <w:vAlign w:val="bottom"/>
          </w:tcPr>
          <w:p>
            <w:pPr>
              <w:ind w:left="340"/>
              <w:spacing w:after="0"/>
              <w:rPr>
                <w:sz w:val="20"/>
                <w:szCs w:val="20"/>
                <w:color w:val="auto"/>
              </w:rPr>
            </w:pPr>
            <w:r>
              <w:rPr>
                <w:rFonts w:ascii="Arial" w:cs="Arial" w:eastAsia="Arial" w:hAnsi="Arial"/>
                <w:sz w:val="18"/>
                <w:szCs w:val="18"/>
                <w:color w:val="auto"/>
              </w:rPr>
              <w:t>Series D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46,000,000</w:t>
            </w:r>
          </w:p>
        </w:tc>
        <w:tc>
          <w:tcPr>
            <w:tcW w:w="100" w:type="dxa"/>
            <w:vAlign w:val="bottom"/>
          </w:tcPr>
          <w:p>
            <w:pPr>
              <w:spacing w:after="0"/>
              <w:rPr>
                <w:sz w:val="18"/>
                <w:szCs w:val="18"/>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Issuable upon exercise of warrants outstanding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24,435,334</w:t>
            </w:r>
          </w:p>
        </w:tc>
        <w:tc>
          <w:tcPr>
            <w:tcW w:w="100" w:type="dxa"/>
            <w:vAlign w:val="bottom"/>
            <w:shd w:val="clear" w:color="auto" w:fill="CCEEFF"/>
          </w:tcPr>
          <w:p>
            <w:pPr>
              <w:spacing w:after="0"/>
              <w:rPr>
                <w:sz w:val="18"/>
                <w:szCs w:val="18"/>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Issuable upon exercise of options outstanding</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12,343,088</w:t>
            </w:r>
          </w:p>
        </w:tc>
        <w:tc>
          <w:tcPr>
            <w:tcW w:w="100" w:type="dxa"/>
            <w:vAlign w:val="bottom"/>
          </w:tcPr>
          <w:p>
            <w:pPr>
              <w:spacing w:after="0"/>
              <w:rPr>
                <w:sz w:val="18"/>
                <w:szCs w:val="18"/>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Reserved for future grants, awards and issuances under our 2019 Omnibus Equity Incentive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4,390,162</w:t>
            </w:r>
          </w:p>
        </w:tc>
        <w:tc>
          <w:tcPr>
            <w:tcW w:w="100" w:type="dxa"/>
            <w:vAlign w:val="bottom"/>
            <w:shd w:val="clear" w:color="auto" w:fill="CCEEFF"/>
          </w:tcPr>
          <w:p>
            <w:pPr>
              <w:spacing w:after="0"/>
              <w:rPr>
                <w:sz w:val="18"/>
                <w:szCs w:val="18"/>
                <w:color w:val="auto"/>
              </w:rPr>
            </w:pPr>
          </w:p>
        </w:tc>
      </w:tr>
      <w:tr>
        <w:trPr>
          <w:trHeight w:val="223"/>
        </w:trPr>
        <w:tc>
          <w:tcPr>
            <w:tcW w:w="10220" w:type="dxa"/>
            <w:vAlign w:val="bottom"/>
          </w:tcPr>
          <w:p>
            <w:pPr>
              <w:spacing w:after="0"/>
              <w:rPr>
                <w:sz w:val="20"/>
                <w:szCs w:val="20"/>
                <w:color w:val="auto"/>
              </w:rPr>
            </w:pPr>
            <w:r>
              <w:rPr>
                <w:rFonts w:ascii="Arial" w:cs="Arial" w:eastAsia="Arial" w:hAnsi="Arial"/>
                <w:sz w:val="18"/>
                <w:szCs w:val="18"/>
                <w:color w:val="auto"/>
              </w:rPr>
              <w:t>Reserved for future purchases under our 2019 Employee Stock Purchase Plan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941,875</w:t>
            </w:r>
          </w:p>
        </w:tc>
        <w:tc>
          <w:tcPr>
            <w:tcW w:w="100" w:type="dxa"/>
            <w:vAlign w:val="bottom"/>
          </w:tcPr>
          <w:p>
            <w:pPr>
              <w:spacing w:after="0"/>
              <w:rPr>
                <w:sz w:val="19"/>
                <w:szCs w:val="19"/>
                <w:color w:val="auto"/>
              </w:rPr>
            </w:pPr>
          </w:p>
        </w:tc>
      </w:tr>
      <w:tr>
        <w:trPr>
          <w:trHeight w:val="223"/>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Outstanding or reserved on a fully diluted basis</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230,853,330</w:t>
            </w:r>
          </w:p>
        </w:tc>
      </w:tr>
      <w:tr>
        <w:trPr>
          <w:trHeight w:val="222"/>
        </w:trPr>
        <w:tc>
          <w:tcPr>
            <w:tcW w:w="10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________________</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201" w:lineRule="exact"/>
        <w:rPr>
          <w:sz w:val="20"/>
          <w:szCs w:val="20"/>
          <w:color w:val="auto"/>
        </w:rPr>
      </w:pPr>
    </w:p>
    <w:p>
      <w:pPr>
        <w:ind w:left="460" w:right="20" w:hanging="452"/>
        <w:spacing w:after="0" w:line="217" w:lineRule="auto"/>
        <w:tabs>
          <w:tab w:leader="none" w:pos="46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Does not include shares of common stock issuable upon conversion of outstanding Series B 10% Convertible Preferred Stock as payment of accrued, but unpaid, dividends.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firstLine="648"/>
        <w:spacing w:after="0" w:line="290" w:lineRule="auto"/>
        <w:rPr>
          <w:sz w:val="20"/>
          <w:szCs w:val="20"/>
          <w:color w:val="auto"/>
        </w:rPr>
      </w:pPr>
      <w:r>
        <w:rPr>
          <w:rFonts w:ascii="Arial" w:cs="Arial" w:eastAsia="Arial" w:hAnsi="Arial"/>
          <w:sz w:val="16"/>
          <w:szCs w:val="16"/>
          <w:color w:val="auto"/>
        </w:rPr>
        <w:t xml:space="preserve">As shown in the table above, as of January 4, 2021, there were a total of 230,853,330 shares of our common stock either issued and outstanding, or reserved for future issuance upon conversion of outstanding shares of preferred stock, including shares of Series D Preferred, and upon exercise of all outstanding warrants and options to purchase common stock, as well as shares of our common stock currently reserved for future issuance pursuant to future awards under our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xml:space="preserve">) and our 2019 Employee Stock Purchase Plan (the </w:t>
      </w:r>
      <w:r>
        <w:rPr>
          <w:rFonts w:ascii="Arial" w:cs="Arial" w:eastAsia="Arial" w:hAnsi="Arial"/>
          <w:sz w:val="16"/>
          <w:szCs w:val="16"/>
          <w:i w:val="1"/>
          <w:iCs w:val="1"/>
          <w:color w:val="auto"/>
        </w:rPr>
        <w:t>2019 ESPP</w:t>
      </w:r>
      <w:r>
        <w:rPr>
          <w:rFonts w:ascii="Arial" w:cs="Arial" w:eastAsia="Arial" w:hAnsi="Arial"/>
          <w:sz w:val="16"/>
          <w:szCs w:val="16"/>
          <w:color w:val="auto"/>
        </w:rPr>
        <w:t>). Accordingly, currently, there is not a sufficient number of authorized, unissued and available shares of our common stock to permit the conversion and/or exercise of all of our outstanding derivative securities, including the Series D Preferred. In addition, there is not a sufficient number of authorized, unissued and available shares of our common stock to permit the issuance of the shares under our 2019 Plan or our 2019 ESPP.</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allowing for the conversion from-time-to time in the future of all outstanding preferred stock, the proposed Charter Amendment will allow for future exercise of outstanding options and warrants which, if exercised, will provide the Company with additional working capital, and will allow for the issuance of shares under the 2019 Plan and the 2019 ESPP. In addition, the proposed Charter Amendment will allow the Company to respond to future business opportunities as they may arise, and without the expense and delay of additional stockholders’ meetings, unless such approval is otherwise required by law, including, without limitation, opportunities to license or acquire additional drug candidates to further expand our pipeline in a manner similar to our previous licenses to PH94B and PH10, and/or enter into additional strategic collaborations to continue to advance our current and future development and commercialization activities similar to our PH94B development and commercialization agreement with AffaMed Therapeutics (formerly EverInsight Therapeutics) in June 2020.</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Board believes that it is important to have available for issuance a sufficient number of authorized shares of our common stock to permit the conversion and/or exercise of all outstanding derivative securities and the future issuance of shares under the 2019 Plan and the 2019 ESPP. Other than these purposes, we do not have any current intentions to issue additional authorized shares of our common stock. In addition, our Board believes that the availability of additional authorized shares of our common stock will provide us with the potential to receive additional cash proceeds from the exercise of outstanding options and warrants, as well as flexibility in the future to respond to future business opportunities as they may arise, including, without limitation, opportunities to license or acquire additional drug candidates to further expand our pipeline, and/or enter into additional strategic collaborations to continue to advance our current and future development and commercialization activities, each without the expense and delay of additional stockholders’ meetings, unless such approval is otherwise required by law.</w:t>
      </w:r>
    </w:p>
    <w:p>
      <w:pPr>
        <w:spacing w:after="0" w:line="17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Board will determine whether, when and on what terms the issuance of shares of our common stock may be warranted in connection with any future actions. No further action or authorization by our stockholders will be necessary before issuance of additional shares of common stock authorized under our Charter and as further amended by the Charter Amendment, except as may be required for a particular transaction by applicable law or regulatory agencies or by the rules of the Nasdaq Stock Market or the rules of any other stock market or exchange on which our common stock may then be listed.</w:t>
      </w:r>
    </w:p>
    <w:p>
      <w:pPr>
        <w:spacing w:after="0" w:line="9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additional shares of our common stock, if issued, would have the same rights and privileges as the existing shares of our common stock. Any issuance of additional shares of our common stock would increase the number of outstanding shares of our common stock, and our existing stockholders’ percentage ownership of our common stock would be diluted accordingly.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proposed Charter Amendment could, under certain circumstances, have an anti-takeover effect or delay or prevent a change in control of the Company by providing the Company with the capability to engage in actions that would be dilutive to a potential acquirer, to pursue alternative transactions, or to otherwise increase the potential cost to acquire control of the Company. The Company currently has no intent to employ the additional unissued authorized shares as an anti-takeover device. However, the proposed Charter Amendment may have the effect of discouraging future unsolicited takeover attempts. The Board is not currently aware of any such unsolicited attempt to take control of the Company, and would act in the best interest of stockholders if any such attempt is made in the future. The proposed Charter Amendment has only been prompted by the completion of the Public Offering and the Company’s business and financial considerations.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Effect of Charter Amendment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proposed increase in the number of authorized shares of the Company's common stock will not change the number of shares of common stock outstanding, nor will it have any immediate dilutive effect or change the rights of current holders of the Company's common stock, other than enabling the conversion of outstanding shares of Series D Preferred. However, the issuance of additional shares of common stock authorized by this Charter Amendment may occur at times or under circumstances so as to have a dilutive effect on earnings per share, book value per share or the percentage voting or ownership interest of the present holders of the Company's common stock.</w:t>
      </w:r>
    </w:p>
    <w:p>
      <w:pPr>
        <w:spacing w:after="0" w:line="2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this Proposal No. 1 is approved, no further action by the stockholders would be necessary prior to the issuance of additional shares of common stock unless required by law or the rules of any stock exchange or national securities association on which the common stock is then listed or quoted. Under the proposed amendment, each of the newly authorized shares of common stock will have the same rights and privileges as currently authorized common stock. Adoption of the Charter Amendment will not affect the rights of the holders of currently outstanding common stock of the Company nor will it change the par value of the common stock, which will remain $0.001 per share. If the proposed Charter Amendment is adopted, it will become effective upon filing of an amendment to the Company's Charter with the Nevada Secretary of State.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a majority of the Company’s shares of common stock and Series D Preferred outstanding as of the Record Date, voting together as a single class, or 70,271,596 shares, is required to approve the Charter Amendment. Unless otherwise instructed on the proxy or unless authority to vote is withheld, shares represented by executed proxies will be voted “</w:t>
      </w:r>
      <w:r>
        <w:rPr>
          <w:rFonts w:ascii="Arial" w:cs="Arial" w:eastAsia="Arial" w:hAnsi="Arial"/>
          <w:sz w:val="18"/>
          <w:szCs w:val="18"/>
          <w:b w:val="1"/>
          <w:bCs w:val="1"/>
          <w:color w:val="auto"/>
        </w:rPr>
        <w:t>FOR</w:t>
      </w:r>
      <w:r>
        <w:rPr>
          <w:rFonts w:ascii="Arial" w:cs="Arial" w:eastAsia="Arial" w:hAnsi="Arial"/>
          <w:sz w:val="18"/>
          <w:szCs w:val="18"/>
          <w:color w:val="auto"/>
        </w:rPr>
        <w:t>” this Proposal No. 1.</w:t>
      </w:r>
    </w:p>
    <w:p>
      <w:pPr>
        <w:spacing w:after="0" w:line="188" w:lineRule="exact"/>
        <w:rPr>
          <w:sz w:val="20"/>
          <w:szCs w:val="20"/>
          <w:color w:val="auto"/>
        </w:rPr>
      </w:pPr>
    </w:p>
    <w:p>
      <w:pPr>
        <w:jc w:val="center"/>
        <w:ind w:left="340"/>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Charter Amendment to increase the number of shares authorized under our Charter from 175 million to 325 million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 OF DISCRETIONARY AUTHORITY TO ADJOURN THE SPECIAL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NECESSARY, TO SOLICIT ADDITIONAL PROXIES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the Special Meeting</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it is not expected to occur, the Meeting may be adjourned for the purpose of allowing more time to solicit additional proxies for the approval of the Charter Amendment, if there are not sufficient votes cast to approve the Charter Amendment at the commencement of the Meeting. Any such adjournment of the Meeting may be made without notice, other than by the announcement made at the Meeting, by approval of the holders of a majority of the outstanding voting securities present in person or by proxy and entitled to vote at the Meeting. We are soliciting proxies to grant discretionary authority to the Chair of the Meeting to adjourn the Meeting, if necessary, for the purpose of soliciting additional proxies in favor of the Charter Amendment. The Chair of the Meeting will have the discretion to decide whether or not to use the authority granted to such person pursuant to this Proposal No. 2 to adjourn the Meeting. The Chair may also adjourn the Meeting at his discretion in the event of a negative vote on this Proposal No.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a quorum is present, approval of the proposal to adjourn the Meeting to a later date requires the affirmative vote of the holders of a majority of the votes cast in person, excluding abstentions, via virtual attendance at the Meeting or by proxy.</w:t>
      </w:r>
    </w:p>
    <w:p>
      <w:pPr>
        <w:spacing w:after="0" w:line="112" w:lineRule="exact"/>
        <w:rPr>
          <w:sz w:val="20"/>
          <w:szCs w:val="20"/>
          <w:color w:val="auto"/>
        </w:rPr>
      </w:pPr>
    </w:p>
    <w:p>
      <w:pPr>
        <w:jc w:val="center"/>
        <w:ind w:left="340" w:right="200"/>
        <w:spacing w:after="0" w:line="275" w:lineRule="auto"/>
        <w:rPr>
          <w:sz w:val="20"/>
          <w:szCs w:val="20"/>
          <w:color w:val="auto"/>
        </w:rPr>
      </w:pPr>
      <w:r>
        <w:rPr>
          <w:rFonts w:ascii="Arial" w:cs="Arial" w:eastAsia="Arial" w:hAnsi="Arial"/>
          <w:sz w:val="18"/>
          <w:szCs w:val="18"/>
          <w:b w:val="1"/>
          <w:bCs w:val="1"/>
          <w:color w:val="auto"/>
        </w:rPr>
        <w:t>The Board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proposal to adjourn the Meeting to solicit additional proxies, if there are not sufficient votes cast at the Meeting to approve the Charter Amendment.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5200" w:right="440" w:hanging="4115"/>
        <w:spacing w:after="0" w:line="275"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STOCKHOLDERS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and shares of our Series D Preferred as of January 4, 2021 for:</w:t>
      </w:r>
    </w:p>
    <w:p>
      <w:pPr>
        <w:spacing w:after="0" w:line="186" w:lineRule="exact"/>
        <w:rPr>
          <w:sz w:val="20"/>
          <w:szCs w:val="20"/>
          <w:color w:val="auto"/>
        </w:rPr>
      </w:pPr>
    </w:p>
    <w:p>
      <w:pPr>
        <w:ind w:left="660" w:right="2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five percent (5%) of shares of our common stock and shares of our Series D Preferred;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Applicable percentage ownership is based on 138,543,190 shares of common stock and 2,000,000 shares of Series D Preferred outstanding at January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4, 2021.</w:t>
      </w:r>
    </w:p>
    <w:p>
      <w:pPr>
        <w:spacing w:after="0" w:line="219"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In computing the percentage of shares of common stock beneficially owned, we deemed to be outstanding all shares of common stock subject to options or warrants and all shares of our Series A Preferred Stock, Series B 10% Convertible Preferred Stock and Series C Convertible Preferred Stock held by that person or entity that are currently exercisable or exchangeable or that will become exercisable or exchangeable within 60 days of January 4, 2021.</w:t>
      </w:r>
    </w:p>
    <w:p>
      <w:pPr>
        <w:spacing w:after="0" w:line="16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However, shares of common stock issuable upon conversion of outstanding shares of Series D Preferred Stock were excluded from the calculation, as such shares of common stock are not issuable until stockholders approve the Charter Amendment and the Charter Amendment is filed with the Nevada Secretary of State.</w:t>
      </w:r>
    </w:p>
    <w:p>
      <w:pPr>
        <w:spacing w:after="0" w:line="19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Unless otherwise noted below, the address of each beneficial owner listed in the table is c/o VistaGen Therapeutics, Inc., 343 Allerton Avenue, South San Francisco, California 94080.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Beneficial Ownership of Common Stock:</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86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w:t>
            </w:r>
          </w:p>
        </w:tc>
      </w:tr>
      <w:tr>
        <w:trPr>
          <w:trHeight w:val="216"/>
        </w:trPr>
        <w:tc>
          <w:tcPr>
            <w:tcW w:w="86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shares</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2"/>
              </w:rPr>
              <w:t>of shares</w:t>
            </w:r>
          </w:p>
        </w:tc>
      </w:tr>
      <w:tr>
        <w:trPr>
          <w:trHeight w:val="215"/>
        </w:trPr>
        <w:tc>
          <w:tcPr>
            <w:tcW w:w="86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beneficially</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beneficially</w:t>
            </w:r>
          </w:p>
        </w:tc>
      </w:tr>
      <w:tr>
        <w:trPr>
          <w:trHeight w:val="238"/>
        </w:trPr>
        <w:tc>
          <w:tcPr>
            <w:tcW w:w="868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owned</w:t>
            </w:r>
          </w:p>
        </w:tc>
        <w:tc>
          <w:tcPr>
            <w:tcW w:w="1220" w:type="dxa"/>
            <w:vAlign w:val="bottom"/>
            <w:gridSpan w:val="3"/>
          </w:tcPr>
          <w:p>
            <w:pPr>
              <w:jc w:val="center"/>
              <w:ind w:right="160"/>
              <w:spacing w:after="0" w:line="232" w:lineRule="exact"/>
              <w:rPr>
                <w:sz w:val="20"/>
                <w:szCs w:val="20"/>
                <w:color w:val="auto"/>
              </w:rPr>
            </w:pPr>
            <w:r>
              <w:rPr>
                <w:rFonts w:ascii="Arial" w:cs="Arial" w:eastAsia="Arial" w:hAnsi="Arial"/>
                <w:sz w:val="18"/>
                <w:szCs w:val="18"/>
                <w:b w:val="1"/>
                <w:bCs w:val="1"/>
                <w:color w:val="auto"/>
                <w:w w:val="80"/>
              </w:rPr>
              <w:t xml:space="preserve">owned </w:t>
            </w:r>
            <w:r>
              <w:rPr>
                <w:rFonts w:ascii="Arial" w:cs="Arial" w:eastAsia="Arial" w:hAnsi="Arial"/>
                <w:sz w:val="24"/>
                <w:szCs w:val="24"/>
                <w:b w:val="1"/>
                <w:bCs w:val="1"/>
                <w:color w:val="auto"/>
                <w:w w:val="80"/>
                <w:vertAlign w:val="superscript"/>
              </w:rPr>
              <w:t>(1)</w:t>
            </w:r>
          </w:p>
        </w:tc>
      </w:tr>
      <w:tr>
        <w:trPr>
          <w:trHeight w:val="242"/>
        </w:trPr>
        <w:tc>
          <w:tcPr>
            <w:tcW w:w="8680" w:type="dxa"/>
            <w:vAlign w:val="bottom"/>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86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Shawn K. Singh, J.D.</w:t>
            </w:r>
            <w:r>
              <w:rPr>
                <w:rFonts w:ascii="Arial" w:cs="Arial" w:eastAsia="Arial" w:hAnsi="Arial"/>
                <w:sz w:val="24"/>
                <w:szCs w:val="24"/>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(3)</w:t>
            </w:r>
          </w:p>
        </w:tc>
        <w:tc>
          <w:tcPr>
            <w:tcW w:w="1080" w:type="dxa"/>
            <w:vAlign w:val="bottom"/>
          </w:tcPr>
          <w:p>
            <w:pPr>
              <w:jc w:val="right"/>
              <w:spacing w:after="0"/>
              <w:rPr>
                <w:sz w:val="20"/>
                <w:szCs w:val="20"/>
                <w:color w:val="auto"/>
              </w:rPr>
            </w:pPr>
            <w:r>
              <w:rPr>
                <w:rFonts w:ascii="Arial" w:cs="Arial" w:eastAsia="Arial" w:hAnsi="Arial"/>
                <w:sz w:val="18"/>
                <w:szCs w:val="18"/>
                <w:color w:val="auto"/>
              </w:rPr>
              <w:t>87,724</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McPartland </w:t>
            </w:r>
            <w:r>
              <w:rPr>
                <w:rFonts w:ascii="Arial" w:cs="Arial" w:eastAsia="Arial" w:hAnsi="Arial"/>
                <w:sz w:val="24"/>
                <w:szCs w:val="24"/>
                <w:color w:val="auto"/>
                <w:vertAlign w:val="superscript"/>
              </w:rPr>
              <w:t>(6)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8"/>
                <w:szCs w:val="18"/>
                <w:color w:val="auto"/>
              </w:rPr>
              <w:t xml:space="preserve">Jon S. Saxe, J.D., LL.M. </w:t>
            </w:r>
            <w:r>
              <w:rPr>
                <w:rFonts w:ascii="Arial" w:cs="Arial" w:eastAsia="Arial" w:hAnsi="Arial"/>
                <w:sz w:val="24"/>
                <w:szCs w:val="24"/>
                <w:color w:val="auto"/>
                <w:vertAlign w:val="superscript"/>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53,251</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(8)</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(9)</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(10)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8"/>
                <w:szCs w:val="18"/>
                <w:color w:val="auto"/>
              </w:rPr>
              <w:t xml:space="preserve">All executive officers and directors as a group (9 persons) </w:t>
            </w:r>
            <w:r>
              <w:rPr>
                <w:rFonts w:ascii="Arial" w:cs="Arial" w:eastAsia="Arial" w:hAnsi="Arial"/>
                <w:sz w:val="24"/>
                <w:szCs w:val="24"/>
                <w:color w:val="auto"/>
                <w:vertAlign w:val="superscript"/>
              </w:rPr>
              <w:t>(11)</w:t>
            </w:r>
          </w:p>
        </w:tc>
        <w:tc>
          <w:tcPr>
            <w:tcW w:w="1080" w:type="dxa"/>
            <w:vAlign w:val="bottom"/>
          </w:tcPr>
          <w:p>
            <w:pPr>
              <w:jc w:val="right"/>
              <w:spacing w:after="0"/>
              <w:rPr>
                <w:sz w:val="20"/>
                <w:szCs w:val="20"/>
                <w:color w:val="auto"/>
              </w:rPr>
            </w:pPr>
            <w:r>
              <w:rPr>
                <w:rFonts w:ascii="Arial" w:cs="Arial" w:eastAsia="Arial" w:hAnsi="Arial"/>
                <w:sz w:val="18"/>
                <w:szCs w:val="18"/>
                <w:color w:val="auto"/>
              </w:rPr>
              <w:t>322,584</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43"/>
        </w:trPr>
        <w:tc>
          <w:tcPr>
            <w:tcW w:w="86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5% Stockholders: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Entities associated with New Enterprise Associates </w:t>
            </w:r>
            <w:r>
              <w:rPr>
                <w:rFonts w:ascii="Arial" w:cs="Arial" w:eastAsia="Arial" w:hAnsi="Arial"/>
                <w:sz w:val="24"/>
                <w:szCs w:val="24"/>
                <w:color w:val="auto"/>
                <w:vertAlign w:val="superscript"/>
              </w:rPr>
              <w:t>(12)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8"/>
                <w:szCs w:val="18"/>
                <w:color w:val="auto"/>
              </w:rPr>
              <w:t xml:space="preserve">Entities affiliated with Venrock </w:t>
            </w:r>
            <w:r>
              <w:rPr>
                <w:rFonts w:ascii="Arial" w:cs="Arial" w:eastAsia="Arial" w:hAnsi="Arial"/>
                <w:sz w:val="24"/>
                <w:szCs w:val="24"/>
                <w:color w:val="auto"/>
                <w:vertAlign w:val="superscript"/>
              </w:rPr>
              <w:t>(13)</w:t>
            </w:r>
          </w:p>
        </w:tc>
        <w:tc>
          <w:tcPr>
            <w:tcW w:w="1080" w:type="dxa"/>
            <w:vAlign w:val="bottom"/>
          </w:tcPr>
          <w:p>
            <w:pPr>
              <w:jc w:val="right"/>
              <w:spacing w:after="0"/>
              <w:rPr>
                <w:sz w:val="20"/>
                <w:szCs w:val="20"/>
                <w:color w:val="auto"/>
              </w:rPr>
            </w:pPr>
            <w:r>
              <w:rPr>
                <w:rFonts w:ascii="Arial" w:cs="Arial" w:eastAsia="Arial" w:hAnsi="Arial"/>
                <w:sz w:val="18"/>
                <w:szCs w:val="18"/>
                <w:color w:val="auto"/>
              </w:rPr>
              <w:t>9,360,000</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Acuta Capital Partners, LLC </w:t>
            </w:r>
            <w:r>
              <w:rPr>
                <w:rFonts w:ascii="Arial" w:cs="Arial" w:eastAsia="Arial" w:hAnsi="Arial"/>
                <w:sz w:val="24"/>
                <w:szCs w:val="24"/>
                <w:color w:val="auto"/>
                <w:vertAlign w:val="superscript"/>
              </w:rPr>
              <w:t>(14)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8"/>
                <w:szCs w:val="18"/>
                <w:color w:val="auto"/>
              </w:rPr>
            </w:pPr>
          </w:p>
        </w:tc>
      </w:tr>
      <w:tr>
        <w:trPr>
          <w:trHeight w:val="320"/>
        </w:trPr>
        <w:tc>
          <w:tcPr>
            <w:tcW w:w="8680" w:type="dxa"/>
            <w:vAlign w:val="bottom"/>
          </w:tcPr>
          <w:p>
            <w:pPr>
              <w:spacing w:after="0"/>
              <w:rPr>
                <w:sz w:val="20"/>
                <w:szCs w:val="20"/>
                <w:color w:val="auto"/>
              </w:rPr>
            </w:pPr>
            <w:r>
              <w:rPr>
                <w:rFonts w:ascii="Arial" w:cs="Arial" w:eastAsia="Arial" w:hAnsi="Arial"/>
                <w:sz w:val="18"/>
                <w:szCs w:val="18"/>
                <w:color w:val="auto"/>
              </w:rPr>
              <w:t xml:space="preserve">Orbimed Advisors LLC </w:t>
            </w:r>
            <w:r>
              <w:rPr>
                <w:rFonts w:ascii="Arial" w:cs="Arial" w:eastAsia="Arial" w:hAnsi="Arial"/>
                <w:sz w:val="24"/>
                <w:szCs w:val="24"/>
                <w:color w:val="auto"/>
                <w:vertAlign w:val="superscript"/>
              </w:rPr>
              <w:t>(15)</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7,500,000</w:t>
            </w:r>
          </w:p>
        </w:tc>
        <w:tc>
          <w:tcPr>
            <w:tcW w:w="2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9100" w:type="dxa"/>
            <w:vAlign w:val="bottom"/>
          </w:tcPr>
          <w:p>
            <w:pPr>
              <w:spacing w:after="0"/>
              <w:rPr>
                <w:sz w:val="20"/>
                <w:szCs w:val="20"/>
                <w:color w:val="auto"/>
              </w:rPr>
            </w:pPr>
            <w:r>
              <w:rPr>
                <w:rFonts w:ascii="Arial" w:cs="Arial" w:eastAsia="Arial" w:hAnsi="Arial"/>
                <w:sz w:val="18"/>
                <w:szCs w:val="18"/>
                <w:b w:val="1"/>
                <w:bCs w:val="1"/>
                <w:color w:val="auto"/>
              </w:rPr>
              <w:t>Beneficial Ownership of Series D Preferred:</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74"/>
        </w:trPr>
        <w:tc>
          <w:tcPr>
            <w:tcW w:w="9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00" w:type="dxa"/>
            <w:vAlign w:val="bottom"/>
          </w:tcPr>
          <w:p>
            <w:pPr>
              <w:spacing w:after="0"/>
              <w:rPr>
                <w:sz w:val="24"/>
                <w:szCs w:val="2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Percent of</w:t>
            </w:r>
          </w:p>
        </w:tc>
      </w:tr>
      <w:tr>
        <w:trPr>
          <w:trHeight w:val="216"/>
        </w:trPr>
        <w:tc>
          <w:tcPr>
            <w:tcW w:w="9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0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2"/>
              </w:rPr>
              <w:t>shares</w:t>
            </w:r>
          </w:p>
        </w:tc>
      </w:tr>
      <w:tr>
        <w:trPr>
          <w:trHeight w:val="215"/>
        </w:trPr>
        <w:tc>
          <w:tcPr>
            <w:tcW w:w="9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beneficially</w:t>
            </w:r>
          </w:p>
        </w:tc>
        <w:tc>
          <w:tcPr>
            <w:tcW w:w="20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beneficially</w:t>
            </w:r>
          </w:p>
        </w:tc>
      </w:tr>
      <w:tr>
        <w:trPr>
          <w:trHeight w:val="238"/>
        </w:trPr>
        <w:tc>
          <w:tcPr>
            <w:tcW w:w="9100" w:type="dxa"/>
            <w:vAlign w:val="bottom"/>
          </w:tcPr>
          <w:p>
            <w:pPr>
              <w:spacing w:after="0" w:line="232" w:lineRule="exact"/>
              <w:rPr>
                <w:sz w:val="20"/>
                <w:szCs w:val="20"/>
                <w:color w:val="auto"/>
              </w:rPr>
            </w:pPr>
            <w:r>
              <w:rPr>
                <w:rFonts w:ascii="Arial" w:cs="Arial" w:eastAsia="Arial" w:hAnsi="Arial"/>
                <w:sz w:val="18"/>
                <w:szCs w:val="18"/>
                <w:b w:val="1"/>
                <w:bCs w:val="1"/>
                <w:color w:val="auto"/>
              </w:rPr>
              <w:t xml:space="preserve">Name and address of beneficial owner </w:t>
            </w:r>
            <w:r>
              <w:rPr>
                <w:rFonts w:ascii="Arial" w:cs="Arial" w:eastAsia="Arial" w:hAnsi="Arial"/>
                <w:sz w:val="24"/>
                <w:szCs w:val="24"/>
                <w:b w:val="1"/>
                <w:bCs w:val="1"/>
                <w:color w:val="auto"/>
                <w:vertAlign w:val="superscript"/>
              </w:rPr>
              <w:t>(16)</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owned</w:t>
            </w:r>
          </w:p>
        </w:tc>
        <w:tc>
          <w:tcPr>
            <w:tcW w:w="200" w:type="dxa"/>
            <w:vAlign w:val="bottom"/>
          </w:tcPr>
          <w:p>
            <w:pPr>
              <w:spacing w:after="0"/>
              <w:rPr>
                <w:sz w:val="20"/>
                <w:szCs w:val="20"/>
                <w:color w:val="auto"/>
              </w:rPr>
            </w:pPr>
          </w:p>
        </w:tc>
        <w:tc>
          <w:tcPr>
            <w:tcW w:w="1060" w:type="dxa"/>
            <w:vAlign w:val="bottom"/>
            <w:gridSpan w:val="3"/>
          </w:tcPr>
          <w:p>
            <w:pPr>
              <w:jc w:val="center"/>
              <w:ind w:right="140"/>
              <w:spacing w:after="0" w:line="232" w:lineRule="exact"/>
              <w:rPr>
                <w:sz w:val="20"/>
                <w:szCs w:val="20"/>
                <w:color w:val="auto"/>
              </w:rPr>
            </w:pPr>
            <w:r>
              <w:rPr>
                <w:rFonts w:ascii="Arial" w:cs="Arial" w:eastAsia="Arial" w:hAnsi="Arial"/>
                <w:sz w:val="18"/>
                <w:szCs w:val="18"/>
                <w:b w:val="1"/>
                <w:bCs w:val="1"/>
                <w:color w:val="auto"/>
                <w:w w:val="79"/>
              </w:rPr>
              <w:t xml:space="preserve">owned </w:t>
            </w:r>
            <w:r>
              <w:rPr>
                <w:rFonts w:ascii="Arial" w:cs="Arial" w:eastAsia="Arial" w:hAnsi="Arial"/>
                <w:sz w:val="24"/>
                <w:szCs w:val="24"/>
                <w:b w:val="1"/>
                <w:bCs w:val="1"/>
                <w:color w:val="auto"/>
                <w:w w:val="79"/>
                <w:vertAlign w:val="superscript"/>
              </w:rPr>
              <w:t>(17)</w:t>
            </w:r>
          </w:p>
        </w:tc>
      </w:tr>
      <w:tr>
        <w:trPr>
          <w:trHeight w:val="241"/>
        </w:trPr>
        <w:tc>
          <w:tcPr>
            <w:tcW w:w="9100" w:type="dxa"/>
            <w:vAlign w:val="bottom"/>
          </w:tcPr>
          <w:p>
            <w:pPr>
              <w:spacing w:after="0"/>
              <w:rPr>
                <w:sz w:val="20"/>
                <w:szCs w:val="20"/>
                <w:color w:val="auto"/>
              </w:rPr>
            </w:pPr>
            <w:r>
              <w:rPr>
                <w:rFonts w:ascii="Arial" w:cs="Arial" w:eastAsia="Arial" w:hAnsi="Arial"/>
                <w:sz w:val="18"/>
                <w:szCs w:val="18"/>
                <w:i w:val="1"/>
                <w:iCs w:val="1"/>
                <w:color w:val="auto"/>
              </w:rPr>
              <w:t>5% Stockholders:</w:t>
            </w:r>
          </w:p>
        </w:tc>
        <w:tc>
          <w:tcPr>
            <w:tcW w:w="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910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 xml:space="preserve">Entities associated with New Enterprise Associates </w:t>
            </w:r>
            <w:r>
              <w:rPr>
                <w:rFonts w:ascii="Arial" w:cs="Arial" w:eastAsia="Arial" w:hAnsi="Arial"/>
                <w:sz w:val="24"/>
                <w:szCs w:val="24"/>
                <w:color w:val="auto"/>
                <w:vertAlign w:val="superscript"/>
              </w:rPr>
              <w:t>(12)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301,852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40" w:type="dxa"/>
            <w:vAlign w:val="bottom"/>
          </w:tcPr>
          <w:p>
            <w:pPr>
              <w:spacing w:after="0"/>
              <w:rPr>
                <w:sz w:val="18"/>
                <w:szCs w:val="18"/>
                <w:color w:val="auto"/>
              </w:rPr>
            </w:pPr>
          </w:p>
        </w:tc>
      </w:tr>
      <w:tr>
        <w:trPr>
          <w:trHeight w:val="216"/>
        </w:trPr>
        <w:tc>
          <w:tcPr>
            <w:tcW w:w="9100" w:type="dxa"/>
            <w:vAlign w:val="bottom"/>
          </w:tcPr>
          <w:p>
            <w:pPr>
              <w:spacing w:after="0" w:line="216" w:lineRule="exact"/>
              <w:rPr>
                <w:sz w:val="20"/>
                <w:szCs w:val="20"/>
                <w:color w:val="auto"/>
              </w:rPr>
            </w:pPr>
            <w:r>
              <w:rPr>
                <w:rFonts w:ascii="Arial" w:cs="Arial" w:eastAsia="Arial" w:hAnsi="Arial"/>
                <w:sz w:val="18"/>
                <w:szCs w:val="18"/>
                <w:color w:val="auto"/>
              </w:rPr>
              <w:t xml:space="preserve">Entities affiliated with Venrock </w:t>
            </w:r>
            <w:r>
              <w:rPr>
                <w:rFonts w:ascii="Arial" w:cs="Arial" w:eastAsia="Arial" w:hAnsi="Arial"/>
                <w:sz w:val="24"/>
                <w:szCs w:val="24"/>
                <w:color w:val="auto"/>
                <w:vertAlign w:val="superscript"/>
              </w:rPr>
              <w:t>(13)</w:t>
            </w:r>
          </w:p>
        </w:tc>
        <w:tc>
          <w:tcPr>
            <w:tcW w:w="920" w:type="dxa"/>
            <w:vAlign w:val="bottom"/>
          </w:tcPr>
          <w:p>
            <w:pPr>
              <w:jc w:val="right"/>
              <w:spacing w:after="0"/>
              <w:rPr>
                <w:sz w:val="20"/>
                <w:szCs w:val="20"/>
                <w:color w:val="auto"/>
              </w:rPr>
            </w:pPr>
            <w:r>
              <w:rPr>
                <w:rFonts w:ascii="Arial" w:cs="Arial" w:eastAsia="Arial" w:hAnsi="Arial"/>
                <w:sz w:val="18"/>
                <w:szCs w:val="18"/>
                <w:color w:val="auto"/>
              </w:rPr>
              <w:t>301,852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15.09%</w:t>
            </w: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Acuta Capital Partners, LLC </w:t>
            </w:r>
            <w:r>
              <w:rPr>
                <w:rFonts w:ascii="Arial" w:cs="Arial" w:eastAsia="Arial" w:hAnsi="Arial"/>
                <w:sz w:val="24"/>
                <w:szCs w:val="24"/>
                <w:color w:val="auto"/>
                <w:vertAlign w:val="superscript"/>
              </w:rPr>
              <w:t>(14)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240,741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40" w:type="dxa"/>
            <w:vAlign w:val="bottom"/>
          </w:tcPr>
          <w:p>
            <w:pPr>
              <w:spacing w:after="0"/>
              <w:rPr>
                <w:sz w:val="18"/>
                <w:szCs w:val="18"/>
                <w:color w:val="auto"/>
              </w:rPr>
            </w:pPr>
          </w:p>
        </w:tc>
      </w:tr>
      <w:tr>
        <w:trPr>
          <w:trHeight w:val="216"/>
        </w:trPr>
        <w:tc>
          <w:tcPr>
            <w:tcW w:w="9100" w:type="dxa"/>
            <w:vAlign w:val="bottom"/>
          </w:tcPr>
          <w:p>
            <w:pPr>
              <w:spacing w:after="0" w:line="216" w:lineRule="exact"/>
              <w:rPr>
                <w:sz w:val="20"/>
                <w:szCs w:val="20"/>
                <w:color w:val="auto"/>
              </w:rPr>
            </w:pPr>
            <w:r>
              <w:rPr>
                <w:rFonts w:ascii="Arial" w:cs="Arial" w:eastAsia="Arial" w:hAnsi="Arial"/>
                <w:sz w:val="18"/>
                <w:szCs w:val="18"/>
                <w:color w:val="auto"/>
              </w:rPr>
              <w:t xml:space="preserve">Orbimed Advisors LLC </w:t>
            </w:r>
            <w:r>
              <w:rPr>
                <w:rFonts w:ascii="Arial" w:cs="Arial" w:eastAsia="Arial" w:hAnsi="Arial"/>
                <w:sz w:val="24"/>
                <w:szCs w:val="24"/>
                <w:color w:val="auto"/>
                <w:vertAlign w:val="superscript"/>
              </w:rPr>
              <w:t>(15)</w:t>
            </w:r>
          </w:p>
        </w:tc>
        <w:tc>
          <w:tcPr>
            <w:tcW w:w="920" w:type="dxa"/>
            <w:vAlign w:val="bottom"/>
          </w:tcPr>
          <w:p>
            <w:pPr>
              <w:jc w:val="right"/>
              <w:spacing w:after="0"/>
              <w:rPr>
                <w:sz w:val="20"/>
                <w:szCs w:val="20"/>
                <w:color w:val="auto"/>
              </w:rPr>
            </w:pPr>
            <w:r>
              <w:rPr>
                <w:rFonts w:ascii="Arial" w:cs="Arial" w:eastAsia="Arial" w:hAnsi="Arial"/>
                <w:sz w:val="18"/>
                <w:szCs w:val="18"/>
                <w:color w:val="auto"/>
              </w:rPr>
              <w:t>240,741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12.04%</w:t>
            </w: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Franklin Advisors, Inc. </w:t>
            </w:r>
            <w:r>
              <w:rPr>
                <w:rFonts w:ascii="Arial" w:cs="Arial" w:eastAsia="Arial" w:hAnsi="Arial"/>
                <w:sz w:val="24"/>
                <w:szCs w:val="24"/>
                <w:color w:val="auto"/>
                <w:vertAlign w:val="superscript"/>
              </w:rPr>
              <w:t>(18)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201,111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40" w:type="dxa"/>
            <w:vAlign w:val="bottom"/>
          </w:tcPr>
          <w:p>
            <w:pPr>
              <w:spacing w:after="0"/>
              <w:rPr>
                <w:sz w:val="18"/>
                <w:szCs w:val="18"/>
                <w:color w:val="auto"/>
              </w:rPr>
            </w:pPr>
          </w:p>
        </w:tc>
      </w:tr>
      <w:tr>
        <w:trPr>
          <w:trHeight w:val="208"/>
        </w:trPr>
        <w:tc>
          <w:tcPr>
            <w:tcW w:w="9100" w:type="dxa"/>
            <w:vAlign w:val="bottom"/>
          </w:tcPr>
          <w:p>
            <w:pPr>
              <w:spacing w:after="0"/>
              <w:rPr>
                <w:sz w:val="20"/>
                <w:szCs w:val="20"/>
                <w:color w:val="auto"/>
              </w:rPr>
            </w:pPr>
            <w:r>
              <w:rPr>
                <w:rFonts w:ascii="Arial" w:cs="Arial" w:eastAsia="Arial" w:hAnsi="Arial"/>
                <w:sz w:val="18"/>
                <w:szCs w:val="18"/>
                <w:color w:val="auto"/>
              </w:rPr>
              <w:t>____________________</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9100" w:type="dxa"/>
            <w:vAlign w:val="bottom"/>
          </w:tcPr>
          <w:p>
            <w:pPr>
              <w:spacing w:after="0"/>
              <w:rPr>
                <w:sz w:val="20"/>
                <w:szCs w:val="20"/>
                <w:color w:val="auto"/>
              </w:rPr>
            </w:pPr>
            <w:r>
              <w:rPr>
                <w:rFonts w:ascii="Arial" w:cs="Arial" w:eastAsia="Arial" w:hAnsi="Arial"/>
                <w:sz w:val="18"/>
                <w:szCs w:val="18"/>
                <w:color w:val="auto"/>
              </w:rPr>
              <w:t>*  less than 1%</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3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138,543,190 shares of common stock issued and outstanding as of January 4, 2021.</w:t>
      </w:r>
    </w:p>
    <w:p>
      <w:pPr>
        <w:spacing w:after="0" w:line="225" w:lineRule="exact"/>
        <w:rPr>
          <w:rFonts w:ascii="Arial" w:cs="Arial" w:eastAsia="Arial" w:hAnsi="Arial"/>
          <w:sz w:val="18"/>
          <w:szCs w:val="18"/>
          <w:color w:val="auto"/>
        </w:rPr>
      </w:pPr>
    </w:p>
    <w:p>
      <w:pPr>
        <w:ind w:left="340" w:right="40" w:hanging="332"/>
        <w:spacing w:after="0" w:line="33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options to purchase 1,786,253 shares of common stock and warrants to purchase 72,000 restricted shares of common stock that would otherwise be exercisable within 60 days of January 4, 2021, but for a lock-up agreement executed by Mr. Singh in connection with the Public Offering.</w:t>
      </w:r>
    </w:p>
    <w:p>
      <w:pPr>
        <w:spacing w:after="0" w:line="140" w:lineRule="exact"/>
        <w:rPr>
          <w:rFonts w:ascii="Arial" w:cs="Arial" w:eastAsia="Arial" w:hAnsi="Arial"/>
          <w:sz w:val="16"/>
          <w:szCs w:val="16"/>
          <w:color w:val="auto"/>
        </w:rPr>
      </w:pPr>
    </w:p>
    <w:p>
      <w:pPr>
        <w:ind w:left="340" w:right="40"/>
        <w:spacing w:after="0" w:line="268" w:lineRule="auto"/>
        <w:rPr>
          <w:rFonts w:ascii="Arial" w:cs="Arial" w:eastAsia="Arial" w:hAnsi="Arial"/>
          <w:sz w:val="16"/>
          <w:szCs w:val="16"/>
          <w:color w:val="auto"/>
        </w:rPr>
      </w:pPr>
      <w:r>
        <w:rPr>
          <w:rFonts w:ascii="Arial" w:cs="Arial" w:eastAsia="Arial" w:hAnsi="Arial"/>
          <w:sz w:val="18"/>
          <w:szCs w:val="18"/>
          <w:color w:val="auto"/>
        </w:rPr>
        <w:t>Following the expiration of the aforementioned lock-up agreement, Mr. Singh will beneficially own a total of 1,919,862 shares of common stock, or approximately 1.37%.</w:t>
      </w:r>
    </w:p>
    <w:p>
      <w:pPr>
        <w:spacing w:after="0" w:line="185" w:lineRule="exact"/>
        <w:rPr>
          <w:rFonts w:ascii="Arial" w:cs="Arial" w:eastAsia="Arial" w:hAnsi="Arial"/>
          <w:sz w:val="16"/>
          <w:szCs w:val="16"/>
          <w:color w:val="auto"/>
        </w:rPr>
      </w:pPr>
    </w:p>
    <w:p>
      <w:pPr>
        <w:ind w:left="340" w:right="40" w:hanging="332"/>
        <w:spacing w:after="0" w:line="369"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Excludes options to purchase 1,095,625 shares of common stock and warrants to purchase 50,000 restricted shares of common stock that would otherwise be exercisable within 60 days of January 4, 2021, but for a lock-up agreement executed by Dr. Snodgrass in connection with the Public Offering.</w:t>
      </w:r>
    </w:p>
    <w:p>
      <w:pPr>
        <w:spacing w:after="0" w:line="117"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Following the expiration of the aforementioned lock-up agreement, Dr. Snodgrass will beneficially own a total of 1,233,349 shares of common stock.</w:t>
      </w:r>
    </w:p>
    <w:p>
      <w:pPr>
        <w:spacing w:after="0" w:line="248" w:lineRule="exact"/>
        <w:rPr>
          <w:rFonts w:ascii="Arial" w:cs="Arial" w:eastAsia="Arial" w:hAnsi="Arial"/>
          <w:sz w:val="15"/>
          <w:szCs w:val="15"/>
          <w:color w:val="auto"/>
        </w:rPr>
      </w:pPr>
    </w:p>
    <w:p>
      <w:pPr>
        <w:ind w:left="340" w:right="4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options to purchase 1,094,375 shares of common stock that would otherwise be exercisable within 60 days of January 4, 2021, but for a lock-up agreement executed by Dr. Smith in connection with the Public Offering.</w:t>
      </w:r>
    </w:p>
    <w:p>
      <w:pPr>
        <w:spacing w:after="0" w:line="18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Following the expiration of the aforementioned lock-up agreement, Dr. Smith will beneficially own a total of 1,104,375 shares of common stock.</w:t>
      </w:r>
    </w:p>
    <w:p>
      <w:pPr>
        <w:spacing w:after="0" w:line="248" w:lineRule="exact"/>
        <w:rPr>
          <w:rFonts w:ascii="Arial" w:cs="Arial" w:eastAsia="Arial" w:hAnsi="Arial"/>
          <w:sz w:val="18"/>
          <w:szCs w:val="18"/>
          <w:color w:val="auto"/>
        </w:rPr>
      </w:pPr>
    </w:p>
    <w:p>
      <w:pPr>
        <w:jc w:val="both"/>
        <w:ind w:left="340" w:right="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options to purchase 978,502 shares of common stock, including options to purchase 626 shares of common stock held by Mr. Dotson’s wife, and warrants to purchase 10,000 restricted shares of common stock that would otherwise be exercisable within 60 days of January 4, 2021, but for a lock-up agreement executed by Mr. Dotson in connection with the Public Offering.</w:t>
      </w:r>
    </w:p>
    <w:p>
      <w:pPr>
        <w:spacing w:after="0" w:line="19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Following the expiration of the aforementioned lock-up agreement, Mr. Dotson will beneficially own a total of 998,502 shares of common stock.</w:t>
      </w:r>
    </w:p>
    <w:p>
      <w:pPr>
        <w:spacing w:after="0" w:line="248" w:lineRule="exact"/>
        <w:rPr>
          <w:rFonts w:ascii="Arial" w:cs="Arial" w:eastAsia="Arial" w:hAnsi="Arial"/>
          <w:sz w:val="18"/>
          <w:szCs w:val="18"/>
          <w:color w:val="auto"/>
        </w:rPr>
      </w:pPr>
    </w:p>
    <w:p>
      <w:pPr>
        <w:ind w:left="340" w:right="4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options to purchase 924,375 shares of common stock that would otherwise be exercisable within 60 days of January 4, 2021, but for a lock-up agreement executed by Mr. McPartland in connection with the Public Offering.</w:t>
      </w:r>
    </w:p>
    <w:p>
      <w:pPr>
        <w:spacing w:after="0" w:line="18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Following the expiration of the aforementioned lock-up agreement, Mr. McPartland will beneficially own a total of 924,375, shares of common stock.</w:t>
      </w:r>
    </w:p>
    <w:p>
      <w:pPr>
        <w:spacing w:after="0" w:line="248" w:lineRule="exact"/>
        <w:rPr>
          <w:rFonts w:ascii="Arial" w:cs="Arial" w:eastAsia="Arial" w:hAnsi="Arial"/>
          <w:sz w:val="18"/>
          <w:szCs w:val="18"/>
          <w:color w:val="auto"/>
        </w:rPr>
      </w:pPr>
    </w:p>
    <w:p>
      <w:pPr>
        <w:ind w:left="340" w:right="40" w:hanging="332"/>
        <w:spacing w:after="0" w:line="33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options to purchase 468,751 shares of common stock and warrants to purchase 7,500 restricted shares of common stock that would otherwise be exercisable within 60 days of January 4, 2021, but for a lock-up agreement executed by Mr. Saxe in connection with the Public Offering.</w:t>
      </w:r>
    </w:p>
    <w:p>
      <w:pPr>
        <w:spacing w:after="0" w:line="14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Following the expiration of the aforementioned lock-up agreement, Mr. Saxe will beneficially own a total of 529,502 shares of common stock.</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15" w:name="page16"/>
    <w:bookmarkEnd w:id="15"/>
    <w:p>
      <w:pPr>
        <w:ind w:left="340" w:hanging="332"/>
        <w:spacing w:after="0" w:line="33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options to purchase 468,751 shares of common stock and warrants to purchase 7,500 restricted shares of common stock that would otherwise be exercisable within 60 days of January 4, 2021, but for a lock-up agreement executed by Dr. Underdown in connection with the Public Offering.</w:t>
      </w:r>
    </w:p>
    <w:p>
      <w:pPr>
        <w:spacing w:after="0" w:line="14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Following the expiration of the aforementioned lock-up agreement, Dr. Underdown will beneficially own a total of 476,251 shares of common stock.</w:t>
      </w:r>
    </w:p>
    <w:p>
      <w:pPr>
        <w:spacing w:after="0" w:line="248"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50,000 restricted shares of common stock held by Dr. Gin’s wife. Excludes options to purchase 491,251 shares of common stock and warrants to purchase 100,000 registered shares of common stock, including currently exercisable warrants to purchase 50,000 registered shares held by Dr. Gin’s wife, that would otherwise be exercisable within 60 days of January 4, 2021, but for a lock-up agreement executed by Dr. Gin in connection with the Public Offering.</w:t>
      </w:r>
    </w:p>
    <w:p>
      <w:pPr>
        <w:spacing w:after="0" w:line="19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Following the expiration of the aforementioned lock-up agreement, Dr. Gin will beneficially own a total of 691,251 shares of common stock.</w:t>
      </w:r>
    </w:p>
    <w:p>
      <w:pPr>
        <w:spacing w:after="0" w:line="24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options to purchase 181,251 shares of common stock that would otherwise be exercisable within 60 days of January 4, 2021, but for a lock-up agreement executed by Ms. Cunningham in connection with the Public Offering.</w:t>
      </w:r>
    </w:p>
    <w:p>
      <w:pPr>
        <w:spacing w:after="0" w:line="18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Following the expiration of the aforementioned lock-up agreement, Ms. Cunningham will beneficially own a total of 181,251 shares of common stock.</w:t>
      </w:r>
    </w:p>
    <w:p>
      <w:pPr>
        <w:spacing w:after="0" w:line="248" w:lineRule="exact"/>
        <w:rPr>
          <w:rFonts w:ascii="Arial" w:cs="Arial" w:eastAsia="Arial" w:hAnsi="Arial"/>
          <w:sz w:val="18"/>
          <w:szCs w:val="18"/>
          <w:color w:val="auto"/>
        </w:rPr>
      </w:pPr>
    </w:p>
    <w:p>
      <w:pPr>
        <w:jc w:val="both"/>
        <w:ind w:left="340" w:hanging="332"/>
        <w:spacing w:after="0" w:line="30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50,000 restricted shares of common stock held by Dr. Gin's wife. Excludes options to purchase 7,489,134 shares of common stock and warrants to purchase 100,000 registered shares and 147,000 restricted shares of common stock that would otherwise be exercisable within 60 days of January 4, 2021, but for lock-up agreements executed by each executive officer and director in connection with the Public Offering.</w:t>
      </w:r>
    </w:p>
    <w:p>
      <w:pPr>
        <w:spacing w:after="0" w:line="160" w:lineRule="exact"/>
        <w:rPr>
          <w:rFonts w:ascii="Arial" w:cs="Arial" w:eastAsia="Arial" w:hAnsi="Arial"/>
          <w:sz w:val="16"/>
          <w:szCs w:val="16"/>
          <w:color w:val="auto"/>
        </w:rPr>
      </w:pPr>
    </w:p>
    <w:p>
      <w:pPr>
        <w:ind w:left="340"/>
        <w:spacing w:after="0" w:line="268" w:lineRule="auto"/>
        <w:rPr>
          <w:rFonts w:ascii="Arial" w:cs="Arial" w:eastAsia="Arial" w:hAnsi="Arial"/>
          <w:sz w:val="16"/>
          <w:szCs w:val="16"/>
          <w:color w:val="auto"/>
        </w:rPr>
      </w:pPr>
      <w:r>
        <w:rPr>
          <w:rFonts w:ascii="Arial" w:cs="Arial" w:eastAsia="Arial" w:hAnsi="Arial"/>
          <w:sz w:val="18"/>
          <w:szCs w:val="18"/>
          <w:color w:val="auto"/>
        </w:rPr>
        <w:t>Following the expiration of the aforementioned lock-up agreements, the Company’s executive officers and directors will beneficially own an aggregate of 7,877,467 shares of common stock, or approximately 5.39%.</w:t>
      </w:r>
    </w:p>
    <w:p>
      <w:pPr>
        <w:spacing w:after="0" w:line="185" w:lineRule="exact"/>
        <w:rPr>
          <w:rFonts w:ascii="Arial" w:cs="Arial" w:eastAsia="Arial" w:hAnsi="Arial"/>
          <w:sz w:val="16"/>
          <w:szCs w:val="16"/>
          <w:color w:val="auto"/>
        </w:rPr>
      </w:pPr>
    </w:p>
    <w:p>
      <w:pPr>
        <w:jc w:val="both"/>
        <w:ind w:left="340" w:hanging="332"/>
        <w:spacing w:after="0" w:line="29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upon Schedule 13D filed by Growth Opportunities 17, LLC on January 4, 2021, and on the Company’s records through January 4, 2021. The shares held by Growth Opportunities 17, LLC (</w:t>
      </w:r>
      <w:r>
        <w:rPr>
          <w:rFonts w:ascii="Arial" w:cs="Arial" w:eastAsia="Arial" w:hAnsi="Arial"/>
          <w:sz w:val="16"/>
          <w:szCs w:val="16"/>
          <w:i w:val="1"/>
          <w:iCs w:val="1"/>
          <w:color w:val="auto"/>
        </w:rPr>
        <w:t>GEO</w:t>
      </w:r>
      <w:r>
        <w:rPr>
          <w:rFonts w:ascii="Arial" w:cs="Arial" w:eastAsia="Arial" w:hAnsi="Arial"/>
          <w:sz w:val="16"/>
          <w:szCs w:val="16"/>
          <w:color w:val="auto"/>
        </w:rPr>
        <w:t>) are indirectly held by New Enterprise Associates 17, L.P. (</w:t>
      </w:r>
      <w:r>
        <w:rPr>
          <w:rFonts w:ascii="Arial" w:cs="Arial" w:eastAsia="Arial" w:hAnsi="Arial"/>
          <w:sz w:val="16"/>
          <w:szCs w:val="16"/>
          <w:i w:val="1"/>
          <w:iCs w:val="1"/>
          <w:color w:val="auto"/>
        </w:rPr>
        <w:t>NEA 17</w:t>
      </w:r>
      <w:r>
        <w:rPr>
          <w:rFonts w:ascii="Arial" w:cs="Arial" w:eastAsia="Arial" w:hAnsi="Arial"/>
          <w:sz w:val="16"/>
          <w:szCs w:val="16"/>
          <w:color w:val="auto"/>
        </w:rPr>
        <w:t>), which is the sole member of GEO; NEA Partners 17, L.P. (</w:t>
      </w:r>
      <w:r>
        <w:rPr>
          <w:rFonts w:ascii="Arial" w:cs="Arial" w:eastAsia="Arial" w:hAnsi="Arial"/>
          <w:sz w:val="16"/>
          <w:szCs w:val="16"/>
          <w:i w:val="1"/>
          <w:iCs w:val="1"/>
          <w:color w:val="auto"/>
        </w:rPr>
        <w:t>NEA Partners 17</w:t>
      </w:r>
      <w:r>
        <w:rPr>
          <w:rFonts w:ascii="Arial" w:cs="Arial" w:eastAsia="Arial" w:hAnsi="Arial"/>
          <w:sz w:val="16"/>
          <w:szCs w:val="16"/>
          <w:color w:val="auto"/>
        </w:rPr>
        <w:t>), which is the sole general partner of NEA 17; and NEA 17 GP, LLC (</w:t>
      </w:r>
      <w:r>
        <w:rPr>
          <w:rFonts w:ascii="Arial" w:cs="Arial" w:eastAsia="Arial" w:hAnsi="Arial"/>
          <w:sz w:val="16"/>
          <w:szCs w:val="16"/>
          <w:i w:val="1"/>
          <w:iCs w:val="1"/>
          <w:color w:val="auto"/>
        </w:rPr>
        <w:t>NEA 17 LLC</w:t>
      </w:r>
      <w:r>
        <w:rPr>
          <w:rFonts w:ascii="Arial" w:cs="Arial" w:eastAsia="Arial" w:hAnsi="Arial"/>
          <w:sz w:val="16"/>
          <w:szCs w:val="16"/>
          <w:color w:val="auto"/>
        </w:rPr>
        <w:t xml:space="preserve"> and, together with NEA Partners 17, the </w:t>
      </w:r>
      <w:r>
        <w:rPr>
          <w:rFonts w:ascii="Arial" w:cs="Arial" w:eastAsia="Arial" w:hAnsi="Arial"/>
          <w:sz w:val="16"/>
          <w:szCs w:val="16"/>
          <w:i w:val="1"/>
          <w:iCs w:val="1"/>
          <w:color w:val="auto"/>
        </w:rPr>
        <w:t>Control Entities</w:t>
      </w:r>
      <w:r>
        <w:rPr>
          <w:rFonts w:ascii="Arial" w:cs="Arial" w:eastAsia="Arial" w:hAnsi="Arial"/>
          <w:sz w:val="16"/>
          <w:szCs w:val="16"/>
          <w:color w:val="auto"/>
        </w:rPr>
        <w:t xml:space="preserve">), which is the sole general partner of NEA Partners 17. The Managing Members of NEA 17 LLC are Forest Baskett, Ali Behbahani, Carmen Chang, Anthony A. Florence, Jr., Liza Landsman, Mohamad H. Makhzoumi, Joshua Makower, Edward T. Mathers, Scott D. Sandell, Peter W. Sonsini, Paul Walker and Rick Yang (together, the </w:t>
      </w:r>
      <w:r>
        <w:rPr>
          <w:rFonts w:ascii="Arial" w:cs="Arial" w:eastAsia="Arial" w:hAnsi="Arial"/>
          <w:sz w:val="16"/>
          <w:szCs w:val="16"/>
          <w:i w:val="1"/>
          <w:iCs w:val="1"/>
          <w:color w:val="auto"/>
        </w:rPr>
        <w:t>Managers</w:t>
      </w:r>
      <w:r>
        <w:rPr>
          <w:rFonts w:ascii="Arial" w:cs="Arial" w:eastAsia="Arial" w:hAnsi="Arial"/>
          <w:sz w:val="16"/>
          <w:szCs w:val="16"/>
          <w:color w:val="auto"/>
        </w:rPr>
        <w:t xml:space="preserve">). GEO is the record owner of the shares identified herein (the </w:t>
      </w:r>
      <w:r>
        <w:rPr>
          <w:rFonts w:ascii="Arial" w:cs="Arial" w:eastAsia="Arial" w:hAnsi="Arial"/>
          <w:sz w:val="16"/>
          <w:szCs w:val="16"/>
          <w:i w:val="1"/>
          <w:iCs w:val="1"/>
          <w:color w:val="auto"/>
        </w:rPr>
        <w:t>GEO Shares</w:t>
      </w:r>
      <w:r>
        <w:rPr>
          <w:rFonts w:ascii="Arial" w:cs="Arial" w:eastAsia="Arial" w:hAnsi="Arial"/>
          <w:sz w:val="16"/>
          <w:szCs w:val="16"/>
          <w:color w:val="auto"/>
        </w:rPr>
        <w:t>). As the sole member of GEO, NEA 17 may be deemed to own beneficially the GEO Shares. As the general partner of NEA 17, NEA Partners 17 may be deemed to own beneficially the GEO Shares. As the sole general partner of NEA Partners 17, NEA 17 LLC may be deemed to own beneficially the GEO Shares. As members of NEA 17 LLC, each of the Managers may be deemed to own beneficially the GEO Shares. Each of the aforementioned reporting persons disclaims beneficial ownership of the GEO Shares other than those shares which such person owns of record. The principal business address for GEO 10 is 1954 Greenspring Drive, Suite 600, Timonium, MD 21093.</w:t>
      </w:r>
    </w:p>
    <w:p>
      <w:pPr>
        <w:spacing w:after="0" w:line="173" w:lineRule="exact"/>
        <w:rPr>
          <w:rFonts w:ascii="Arial" w:cs="Arial" w:eastAsia="Arial" w:hAnsi="Arial"/>
          <w:sz w:val="16"/>
          <w:szCs w:val="16"/>
          <w:color w:val="auto"/>
        </w:rPr>
      </w:pPr>
    </w:p>
    <w:p>
      <w:pPr>
        <w:jc w:val="both"/>
        <w:ind w:left="340" w:hanging="332"/>
        <w:spacing w:after="0" w:line="25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the Company’s records through January 4, 2021. Entities associated with Venrock that hold the securities listed herein include Venrock Healthcare Capital Partners II, L.P.; VHCP Co-Investment Holdings II, LLC and Venrock Healthcare Capital Partners EG, L.P. VHCP Management II, LLC (</w:t>
      </w:r>
      <w:r>
        <w:rPr>
          <w:rFonts w:ascii="Arial" w:cs="Arial" w:eastAsia="Arial" w:hAnsi="Arial"/>
          <w:sz w:val="18"/>
          <w:szCs w:val="18"/>
          <w:i w:val="1"/>
          <w:iCs w:val="1"/>
          <w:color w:val="auto"/>
        </w:rPr>
        <w:t>VHCPM</w:t>
      </w:r>
      <w:r>
        <w:rPr>
          <w:rFonts w:ascii="Arial" w:cs="Arial" w:eastAsia="Arial" w:hAnsi="Arial"/>
          <w:sz w:val="18"/>
          <w:szCs w:val="18"/>
          <w:color w:val="auto"/>
        </w:rPr>
        <w:t>) is the sole general partner of Venrock Healthcare Capital Partners II, L.P. and the sole manager of VHCP Co Investment Holdings II, LLC. VHCP Management EG, LLC (</w:t>
      </w:r>
      <w:r>
        <w:rPr>
          <w:rFonts w:ascii="Arial" w:cs="Arial" w:eastAsia="Arial" w:hAnsi="Arial"/>
          <w:sz w:val="18"/>
          <w:szCs w:val="18"/>
          <w:i w:val="1"/>
          <w:iCs w:val="1"/>
          <w:color w:val="auto"/>
        </w:rPr>
        <w:t>VHCPEG</w:t>
      </w:r>
      <w:r>
        <w:rPr>
          <w:rFonts w:ascii="Arial" w:cs="Arial" w:eastAsia="Arial" w:hAnsi="Arial"/>
          <w:sz w:val="18"/>
          <w:szCs w:val="18"/>
          <w:color w:val="auto"/>
        </w:rPr>
        <w:t>) is the sole general partner of Venrock Healthcare Capital Partners EG, L.P. Dr. Bong Koh and Nimish Shah are the voting members of VHCPM and VHCPEG. The address of each of the entities and individuals identified in this footnote is c/o Venrock, 7 Bryant Park, 23rd Floor, New York, NY 10018.</w:t>
      </w:r>
    </w:p>
    <w:p>
      <w:pPr>
        <w:spacing w:after="0" w:line="197"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the Company’s records through January 4, 2021. Anupam Dalal is the Chief Investment Officer and Manfred Yu is the Manager of Acuta Capital Partners, LLC (</w:t>
      </w:r>
      <w:r>
        <w:rPr>
          <w:rFonts w:ascii="Arial" w:cs="Arial" w:eastAsia="Arial" w:hAnsi="Arial"/>
          <w:sz w:val="18"/>
          <w:szCs w:val="18"/>
          <w:i w:val="1"/>
          <w:iCs w:val="1"/>
          <w:color w:val="auto"/>
        </w:rPr>
        <w:t>Acuta</w:t>
      </w:r>
      <w:r>
        <w:rPr>
          <w:rFonts w:ascii="Arial" w:cs="Arial" w:eastAsia="Arial" w:hAnsi="Arial"/>
          <w:sz w:val="18"/>
          <w:szCs w:val="18"/>
          <w:color w:val="auto"/>
        </w:rPr>
        <w:t>). Both Mr. Dalal and Mr. Yu have voting and investment authority over all of the shares held by each of Acuta, and disclaim beneficial ownership except to the extent of their indirect pecuniary interests therein. The business address for Acuta is 1301 Shoreway Road, Suite 350, Belmont, California 94002.</w:t>
      </w:r>
    </w:p>
    <w:p>
      <w:pPr>
        <w:spacing w:after="0" w:line="196"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the Company’s records through January 4, 2021. OrbiMed Advisors LLC (</w:t>
      </w:r>
      <w:r>
        <w:rPr>
          <w:rFonts w:ascii="Arial" w:cs="Arial" w:eastAsia="Arial" w:hAnsi="Arial"/>
          <w:sz w:val="18"/>
          <w:szCs w:val="18"/>
          <w:i w:val="1"/>
          <w:iCs w:val="1"/>
          <w:color w:val="auto"/>
        </w:rPr>
        <w:t>Orbimed</w:t>
      </w:r>
      <w:r>
        <w:rPr>
          <w:rFonts w:ascii="Arial" w:cs="Arial" w:eastAsia="Arial" w:hAnsi="Arial"/>
          <w:sz w:val="18"/>
          <w:szCs w:val="18"/>
          <w:color w:val="auto"/>
        </w:rPr>
        <w:t>) exercises voting and investment power through a management committee comprised of Carl L. Gordon, Sven H. Borho, and Jonathan T. Silverstein, each of whom disclaim beneficial ownership except to the extent of their indirect pecuniary interests therein. The business address for OrbiMed is c/o OrbiMed Advisors LLC, 601 Lexington Avenue, 54th Floor, New York, NY 10022.</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Ownership of our directors and named executive officers are not included, as no directors or named executive officers hold shares of Series D Preferred.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2,000,000 shares of Series D Preferred issued and outstanding as of January 4, 2021.</w:t>
      </w:r>
    </w:p>
    <w:p>
      <w:pPr>
        <w:spacing w:after="0" w:line="225"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the Company’s records through January 4, 2021. These shares are beneficially owned by one or more open - or closed - end investment companies or other managed accounts that are investment management clients of investment managers that are direct and indirect subsidiaries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Subsidiaries</w:t>
      </w:r>
      <w:r>
        <w:rPr>
          <w:rFonts w:ascii="Arial" w:cs="Arial" w:eastAsia="Arial" w:hAnsi="Arial"/>
          <w:sz w:val="18"/>
          <w:szCs w:val="18"/>
          <w:color w:val="auto"/>
        </w:rPr>
        <w:t>) of Franklin Resources, Inc. (</w:t>
      </w:r>
      <w:r>
        <w:rPr>
          <w:rFonts w:ascii="Arial" w:cs="Arial" w:eastAsia="Arial" w:hAnsi="Arial"/>
          <w:sz w:val="18"/>
          <w:szCs w:val="18"/>
          <w:i w:val="1"/>
          <w:iCs w:val="1"/>
          <w:color w:val="auto"/>
        </w:rPr>
        <w:t>FRI</w:t>
      </w:r>
      <w:r>
        <w:rPr>
          <w:rFonts w:ascii="Arial" w:cs="Arial" w:eastAsia="Arial" w:hAnsi="Arial"/>
          <w:sz w:val="18"/>
          <w:szCs w:val="18"/>
          <w:color w:val="auto"/>
        </w:rPr>
        <w:t>). Charles B. Johnson and Rupert H. Johnson, Jr. (</w:t>
      </w:r>
      <w:r>
        <w:rPr>
          <w:rFonts w:ascii="Arial" w:cs="Arial" w:eastAsia="Arial" w:hAnsi="Arial"/>
          <w:sz w:val="18"/>
          <w:szCs w:val="18"/>
          <w:i w:val="1"/>
          <w:iCs w:val="1"/>
          <w:color w:val="auto"/>
        </w:rPr>
        <w:t>Principal Shareholders</w:t>
      </w:r>
      <w:r>
        <w:rPr>
          <w:rFonts w:ascii="Arial" w:cs="Arial" w:eastAsia="Arial" w:hAnsi="Arial"/>
          <w:sz w:val="18"/>
          <w:szCs w:val="18"/>
          <w:color w:val="auto"/>
        </w:rPr>
        <w:t>) each own in excess</w:t>
      </w:r>
      <w:r>
        <w:rPr>
          <w:rFonts w:ascii="Arial" w:cs="Arial" w:eastAsia="Arial" w:hAnsi="Arial"/>
          <w:sz w:val="18"/>
          <w:szCs w:val="18"/>
          <w:i w:val="1"/>
          <w:iCs w:val="1"/>
          <w:color w:val="auto"/>
        </w:rPr>
        <w:t xml:space="preserve"> </w:t>
      </w:r>
      <w:r>
        <w:rPr>
          <w:rFonts w:ascii="Arial" w:cs="Arial" w:eastAsia="Arial" w:hAnsi="Arial"/>
          <w:sz w:val="18"/>
          <w:szCs w:val="18"/>
          <w:color w:val="auto"/>
        </w:rPr>
        <w:t>of 10% of the outstanding common stock of FRI and are the principal stockholders of FRI. FRI, the Principal Shareholders and each of the Investment Management Subsidiaries disclaim any pecuniary interest in any of the shares. Franklin Advisors, Inc. has sole voting and sole dispositive power with respect to the shares. The principal address of Franklin Advisors, Inc., FRI and the Principal Shareholders is One Franklin Parkway, San Mateo, California 94403.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058"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Option Agreements with Pherin Pharmaceuticals, Inc.</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our fiscal year ended March 31, 2019, we issued an aggregate of 2,556,361 shares of our unregistered common stock having an issue-date fair market value of $4,250,000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to acquire exclusive worldwide licenses to develop and commercialize PH94B, a potential first-in-class neuroactive nasal spray with rapid-onset effects observed at microgram doses and without systemic exposure for the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and an option to acquire a similar license for PH10, a potential neuroactive nasal spray with potential as a rapid-onset stand-alone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We recorded the acquisition of the licenses as research and development expense during our fiscal year ended March 31, 2019. During the years ended March 31, 2020 and 2019, we recorded $120,000 and $70,000 representing monthly support payments to Pherin under the terms of the PH94B license agreement. We recorded no amounts payable to Pherin at March 31, 2020 or 2019. At January 4, 2021, Pherin held less than 1% of our outstanding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our fiscal year ended March 31, 2020, we engaged a consulting firm headed by one of the independent members of our Board, to provide various market research studies and commercial advisory projects for certain of our CNS pipeline candidates. We recorded research and development expense of $108,400 and $11,700 during the fiscal years ended March 31, 2020 and 2019, respectively, related to such studies and projects. We recorded no amounts payable at March 31, 2020 or 2019 related to these studies or projects.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ind w:left="438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2021 Annual Meeting of Stockholders</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Rule 14a-8 under the Securities Exchange Act of 1934, as amended, stockholder proposals that are intended to be presented by stockholders at the Company’s 2021 Annual Meeting of Stockholders must be received by the Secretary of the Company no later than the close of business on March 31, 2021, in order that they may be included, if appropriate, in the Company’s proxy statement and form of proxy relating to that meeting. A stockholder proposal, including any stockholder director nominees, not included in the Company’s proxy statement for the 2021 Annual Meeting of Stockholders will be ineligible for presentation at the meeting unless the stockholder gives timely notice of the proposal or director nominees in writing to the Secretary of the Company at the principal executive offices of the Company and otherwise complies with the provisions of the Company’s Bylaws. To be timely, the Bylaws provide that the Company must have received the stockholder’s notice no later than the close of business on July 19, 2021 nor earlier than the close of business on June 19, 2021. However, if the date of the 2021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virtual Meeting. If any other business should come before the Meeting, it is intended that the proxy holders will vote all proxies using their best judgment in the interest of the Company and the stockholders.</w:t>
      </w:r>
    </w:p>
    <w:p>
      <w:pPr>
        <w:spacing w:after="0" w:line="194"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Board invites you to participate at the virtual Meeting. Whether or not you expect to participate in the virtual Meeting, please submit your vote, electronically by the Internet or by telephone, or by postal mail, as promptly as possible so that your shares will be represented at the virtual Meeting.</w:t>
      </w:r>
    </w:p>
    <w:p>
      <w:pPr>
        <w:spacing w:after="0" w:line="13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b w:val="1"/>
          <w:bCs w:val="1"/>
          <w:color w:val="auto"/>
        </w:rPr>
        <w:t>REGARDLESS OF WHETHER YOU PLAN TO PARTICIPATE IN THE VIRTUAL MEETING, PLEASE READ THIS PROXY STATEMENT AND THEN VOTE, ELECTRONICALLY BY INTERNET OR BY TELEPHONE, OR BY POSTAL MAIL, AS PROMPTLY AS POSSIBLE. VOTING PROMPTLY WILL ENSURE THAT YOUR SHARES ARE REPRESENTED AT THE VIRTUAL MEETING.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FIRST: This Certificate of Amendment amends the provisions of the Corporation's Restated Articles of Incorporation (the "</w:t>
      </w:r>
      <w:r>
        <w:rPr>
          <w:rFonts w:ascii="Arial" w:cs="Arial" w:eastAsia="Arial" w:hAnsi="Arial"/>
          <w:sz w:val="16"/>
          <w:szCs w:val="16"/>
          <w:i w:val="1"/>
          <w:iCs w:val="1"/>
          <w:color w:val="auto"/>
        </w:rPr>
        <w:t>Articles of Incorporation</w:t>
      </w:r>
      <w:r>
        <w:rPr>
          <w:rFonts w:ascii="Arial" w:cs="Arial" w:eastAsia="Arial" w:hAnsi="Arial"/>
          <w:sz w:val="16"/>
          <w:szCs w:val="16"/>
          <w:color w:val="auto"/>
        </w:rPr>
        <w:t>").</w:t>
      </w:r>
    </w:p>
    <w:p>
      <w:pPr>
        <w:spacing w:after="0" w:line="248" w:lineRule="exact"/>
        <w:rPr>
          <w:sz w:val="20"/>
          <w:szCs w:val="20"/>
          <w:color w:val="auto"/>
        </w:rPr>
      </w:pPr>
    </w:p>
    <w:p>
      <w:pPr>
        <w:ind w:firstLine="418"/>
        <w:spacing w:after="0" w:line="268"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78.390 of the Nevada Revised Statutes and shall become effective immediately upon filing this Certificate of Amendment.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25" w:lineRule="exact"/>
        <w:rPr>
          <w:sz w:val="20"/>
          <w:szCs w:val="20"/>
          <w:color w:val="auto"/>
        </w:rPr>
      </w:pPr>
    </w:p>
    <w:p>
      <w:pPr>
        <w:jc w:val="both"/>
        <w:ind w:left="1140" w:right="980" w:firstLine="648"/>
        <w:spacing w:after="0" w:line="291"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Three Hundred Twenty-Five Million (325,000,000),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20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IN WITNESS WHEREOF, the Corporation has caused this Certificate of Amendment to be signed by its officers thereunto duly authorized this [●] day of [●] 2021</w:t>
      </w:r>
      <w:r>
        <w:rPr>
          <w:rFonts w:ascii="Arial" w:cs="Arial" w:eastAsia="Arial" w:hAnsi="Arial"/>
          <w:sz w:val="21"/>
          <w:szCs w:val="21"/>
          <w:color w:val="auto"/>
        </w:rPr>
        <w:t>.</w:t>
      </w:r>
    </w:p>
    <w:p>
      <w:pPr>
        <w:spacing w:after="0" w:line="174"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______________________</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7972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7972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143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143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upperLetter"/>
      <w:start w:val="24"/>
    </w:lvl>
  </w:abstractNum>
  <w:abstractNum w:abstractNumId="2">
    <w:nsid w:val="2EB141F2"/>
    <w:multiLevelType w:val="hybridMultilevel"/>
    <w:lvl w:ilvl="0">
      <w:lvlJc w:val="left"/>
      <w:lvlText w:val="["/>
      <w:numFmt w:val="bullet"/>
      <w:start w:val="1"/>
    </w:lvl>
    <w:lvl w:ilvl="1">
      <w:lvlJc w:val="left"/>
      <w:lvlText w:val="%2."/>
      <w:numFmt w:val="decimal"/>
      <w:start w:val="1"/>
    </w:lvl>
  </w:abstractNum>
  <w:abstractNum w:abstractNumId="3">
    <w:nsid w:val="41B71EFB"/>
    <w:multiLevelType w:val="hybridMultilevel"/>
    <w:lvl w:ilvl="0">
      <w:lvlJc w:val="left"/>
      <w:lvlText w:val="["/>
      <w:numFmt w:val="bullet"/>
      <w:start w:val="1"/>
    </w:lvl>
    <w:lvl w:ilvl="1">
      <w:lvlJc w:val="left"/>
      <w:lvlText w:val="%2."/>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2021-01-14T15:48:11Z</dcterms:created>
  <dcterms:modified xsi:type="dcterms:W3CDTF">2021-01-14T15:48:11Z</dcterms:modified>
</cp:coreProperties>
</file>