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48621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486219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MCPARTLAND MARK A.</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2440" w:type="dxa"/>
            <w:vAlign w:val="bottom"/>
            <w:tcBorders>
              <w:top w:val="single" w:sz="8" w:color="0000EE"/>
              <w:bottom w:val="single" w:sz="8" w:color="9A9A9A"/>
            </w:tcBorders>
          </w:tcPr>
          <w:p>
            <w:pPr>
              <w:spacing w:after="0"/>
              <w:rPr>
                <w:sz w:val="15"/>
                <w:szCs w:val="15"/>
                <w:color w:val="auto"/>
              </w:rPr>
            </w:pPr>
          </w:p>
        </w:tc>
        <w:tc>
          <w:tcPr>
            <w:tcW w:w="78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09/19/2017</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19"/>
          <w:szCs w:val="19"/>
          <w:color w:val="0000EE"/>
        </w:rPr>
      </w:pPr>
      <w:hyperlink r:id="rId12">
        <w:r>
          <w:rPr>
            <w:rFonts w:ascii="Arial" w:cs="Arial" w:eastAsia="Arial" w:hAnsi="Arial"/>
            <w:sz w:val="19"/>
            <w:szCs w:val="19"/>
            <w:u w:val="single" w:color="auto"/>
            <w:color w:val="0000EE"/>
          </w:rPr>
          <w:t>VistaGen Therapeutics,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VTGN</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418" w:lineRule="exact"/>
        <w:rPr>
          <w:sz w:val="24"/>
          <w:szCs w:val="24"/>
          <w:color w:val="auto"/>
        </w:rPr>
      </w:pPr>
    </w:p>
    <w:p>
      <w:pPr>
        <w:sectPr>
          <w:pgSz w:w="11900" w:h="16838" w:orient="portrait"/>
          <w:cols w:equalWidth="0" w:num="2">
            <w:col w:w="4720" w:space="480"/>
            <w:col w:w="6220"/>
          </w:cols>
          <w:pgMar w:left="240" w:top="226" w:right="239" w:bottom="1440" w:gutter="0" w:footer="0" w:header="0"/>
          <w:type w:val="continuous"/>
        </w:sectPr>
      </w:pPr>
    </w:p>
    <w:p>
      <w:pPr>
        <w:spacing w:after="0" w:line="1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1060" w:type="dxa"/>
            <w:vAlign w:val="bottom"/>
          </w:tcPr>
          <w:p>
            <w:pPr>
              <w:ind w:left="20"/>
              <w:spacing w:after="0"/>
              <w:rPr>
                <w:sz w:val="20"/>
                <w:szCs w:val="20"/>
                <w:color w:val="auto"/>
              </w:rPr>
            </w:pPr>
            <w:r>
              <w:rPr>
                <w:rFonts w:ascii="Arial" w:cs="Arial" w:eastAsia="Arial" w:hAnsi="Arial"/>
                <w:sz w:val="14"/>
                <w:szCs w:val="14"/>
                <w:color w:val="auto"/>
              </w:rPr>
              <w:t>(Last)</w:t>
            </w:r>
          </w:p>
        </w:tc>
        <w:tc>
          <w:tcPr>
            <w:tcW w:w="1040" w:type="dxa"/>
            <w:vAlign w:val="bottom"/>
          </w:tcPr>
          <w:p>
            <w:pPr>
              <w:ind w:left="60"/>
              <w:spacing w:after="0"/>
              <w:rPr>
                <w:sz w:val="20"/>
                <w:szCs w:val="20"/>
                <w:color w:val="auto"/>
              </w:rPr>
            </w:pPr>
            <w:r>
              <w:rPr>
                <w:rFonts w:ascii="Arial" w:cs="Arial" w:eastAsia="Arial" w:hAnsi="Arial"/>
                <w:sz w:val="14"/>
                <w:szCs w:val="14"/>
                <w:color w:val="auto"/>
              </w:rPr>
              <w:t>(First)</w:t>
            </w:r>
          </w:p>
        </w:tc>
        <w:tc>
          <w:tcPr>
            <w:tcW w:w="1140" w:type="dxa"/>
            <w:vAlign w:val="bottom"/>
          </w:tcPr>
          <w:p>
            <w:pPr>
              <w:ind w:left="100"/>
              <w:spacing w:after="0"/>
              <w:rPr>
                <w:sz w:val="20"/>
                <w:szCs w:val="20"/>
                <w:color w:val="auto"/>
              </w:rPr>
            </w:pPr>
            <w:r>
              <w:rPr>
                <w:rFonts w:ascii="Arial" w:cs="Arial" w:eastAsia="Arial" w:hAnsi="Arial"/>
                <w:sz w:val="14"/>
                <w:szCs w:val="14"/>
                <w:color w:val="auto"/>
              </w:rPr>
              <w:t>(Middle)</w:t>
            </w:r>
          </w:p>
        </w:tc>
      </w:tr>
      <w:tr>
        <w:trPr>
          <w:trHeight w:val="282"/>
        </w:trPr>
        <w:tc>
          <w:tcPr>
            <w:tcW w:w="20" w:type="dxa"/>
            <w:vAlign w:val="bottom"/>
          </w:tcPr>
          <w:p>
            <w:pPr>
              <w:spacing w:after="0"/>
              <w:rPr>
                <w:sz w:val="24"/>
                <w:szCs w:val="24"/>
                <w:color w:val="auto"/>
              </w:rPr>
            </w:pPr>
          </w:p>
        </w:tc>
        <w:tc>
          <w:tcPr>
            <w:tcW w:w="3240" w:type="dxa"/>
            <w:vAlign w:val="bottom"/>
            <w:gridSpan w:val="3"/>
          </w:tcPr>
          <w:p>
            <w:pPr>
              <w:ind w:left="20"/>
              <w:spacing w:after="0"/>
              <w:rPr>
                <w:sz w:val="20"/>
                <w:szCs w:val="20"/>
                <w:color w:val="auto"/>
              </w:rPr>
            </w:pPr>
            <w:r>
              <w:rPr>
                <w:rFonts w:ascii="Arial" w:cs="Arial" w:eastAsia="Arial" w:hAnsi="Arial"/>
                <w:sz w:val="18"/>
                <w:szCs w:val="18"/>
                <w:color w:val="0000FF"/>
              </w:rPr>
              <w:t>C/O VISTAGEN THERAPEUTICS, INC.</w:t>
            </w:r>
          </w:p>
        </w:tc>
      </w:tr>
      <w:tr>
        <w:trPr>
          <w:trHeight w:val="270"/>
        </w:trPr>
        <w:tc>
          <w:tcPr>
            <w:tcW w:w="20" w:type="dxa"/>
            <w:vAlign w:val="bottom"/>
          </w:tcPr>
          <w:p>
            <w:pPr>
              <w:spacing w:after="0"/>
              <w:rPr>
                <w:sz w:val="23"/>
                <w:szCs w:val="23"/>
                <w:color w:val="auto"/>
              </w:rPr>
            </w:pPr>
          </w:p>
        </w:tc>
        <w:tc>
          <w:tcPr>
            <w:tcW w:w="2100" w:type="dxa"/>
            <w:vAlign w:val="bottom"/>
            <w:gridSpan w:val="2"/>
          </w:tcPr>
          <w:p>
            <w:pPr>
              <w:ind w:left="20"/>
              <w:spacing w:after="0"/>
              <w:rPr>
                <w:sz w:val="20"/>
                <w:szCs w:val="20"/>
                <w:color w:val="auto"/>
              </w:rPr>
            </w:pPr>
            <w:r>
              <w:rPr>
                <w:rFonts w:ascii="Arial" w:cs="Arial" w:eastAsia="Arial" w:hAnsi="Arial"/>
                <w:sz w:val="18"/>
                <w:szCs w:val="18"/>
                <w:color w:val="0000FF"/>
                <w:w w:val="98"/>
              </w:rPr>
              <w:t>343 ALLERTON AVENUE</w:t>
            </w:r>
          </w:p>
        </w:tc>
        <w:tc>
          <w:tcPr>
            <w:tcW w:w="1140" w:type="dxa"/>
            <w:vAlign w:val="bottom"/>
          </w:tcPr>
          <w:p>
            <w:pPr>
              <w:spacing w:after="0"/>
              <w:rPr>
                <w:sz w:val="23"/>
                <w:szCs w:val="23"/>
                <w:color w:val="auto"/>
              </w:rPr>
            </w:pPr>
          </w:p>
        </w:tc>
      </w:tr>
      <w:tr>
        <w:trPr>
          <w:trHeight w:val="158"/>
        </w:trPr>
        <w:tc>
          <w:tcPr>
            <w:tcW w:w="2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r>
      <w:tr>
        <w:trPr>
          <w:trHeight w:val="270"/>
        </w:trPr>
        <w:tc>
          <w:tcPr>
            <w:tcW w:w="108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40" w:type="dxa"/>
            <w:vAlign w:val="bottom"/>
          </w:tcPr>
          <w:p>
            <w:pPr>
              <w:spacing w:after="0"/>
              <w:rPr>
                <w:sz w:val="23"/>
                <w:szCs w:val="23"/>
                <w:color w:val="auto"/>
              </w:rPr>
            </w:pPr>
          </w:p>
        </w:tc>
        <w:tc>
          <w:tcPr>
            <w:tcW w:w="1140" w:type="dxa"/>
            <w:vAlign w:val="bottom"/>
          </w:tcPr>
          <w:p>
            <w:pPr>
              <w:spacing w:after="0"/>
              <w:rPr>
                <w:sz w:val="23"/>
                <w:szCs w:val="23"/>
                <w:color w:val="auto"/>
              </w:rPr>
            </w:pPr>
          </w:p>
        </w:tc>
      </w:tr>
      <w:tr>
        <w:trPr>
          <w:trHeight w:val="298"/>
        </w:trPr>
        <w:tc>
          <w:tcPr>
            <w:tcW w:w="20" w:type="dxa"/>
            <w:vAlign w:val="bottom"/>
          </w:tcPr>
          <w:p>
            <w:pPr>
              <w:spacing w:after="0"/>
              <w:rPr>
                <w:sz w:val="24"/>
                <w:szCs w:val="24"/>
                <w:color w:val="auto"/>
              </w:rPr>
            </w:pPr>
          </w:p>
        </w:tc>
        <w:tc>
          <w:tcPr>
            <w:tcW w:w="1060" w:type="dxa"/>
            <w:vAlign w:val="bottom"/>
          </w:tcPr>
          <w:p>
            <w:pPr>
              <w:ind w:left="20"/>
              <w:spacing w:after="0"/>
              <w:rPr>
                <w:sz w:val="20"/>
                <w:szCs w:val="20"/>
                <w:color w:val="auto"/>
              </w:rPr>
            </w:pPr>
            <w:r>
              <w:rPr>
                <w:rFonts w:ascii="Arial" w:cs="Arial" w:eastAsia="Arial" w:hAnsi="Arial"/>
                <w:sz w:val="18"/>
                <w:szCs w:val="18"/>
                <w:color w:val="0000FF"/>
                <w:w w:val="97"/>
              </w:rPr>
              <w:t>SOUTH SAN</w:t>
            </w:r>
          </w:p>
        </w:tc>
        <w:tc>
          <w:tcPr>
            <w:tcW w:w="1040" w:type="dxa"/>
            <w:vAlign w:val="bottom"/>
          </w:tcPr>
          <w:p>
            <w:pPr>
              <w:ind w:left="60"/>
              <w:spacing w:after="0"/>
              <w:rPr>
                <w:sz w:val="20"/>
                <w:szCs w:val="20"/>
                <w:color w:val="auto"/>
              </w:rPr>
            </w:pPr>
            <w:r>
              <w:rPr>
                <w:rFonts w:ascii="Arial" w:cs="Arial" w:eastAsia="Arial" w:hAnsi="Arial"/>
                <w:sz w:val="18"/>
                <w:szCs w:val="18"/>
                <w:color w:val="0000FF"/>
              </w:rPr>
              <w:t>CA</w:t>
            </w:r>
          </w:p>
        </w:tc>
        <w:tc>
          <w:tcPr>
            <w:tcW w:w="1140" w:type="dxa"/>
            <w:vAlign w:val="bottom"/>
          </w:tcPr>
          <w:p>
            <w:pPr>
              <w:ind w:left="100"/>
              <w:spacing w:after="0"/>
              <w:rPr>
                <w:sz w:val="20"/>
                <w:szCs w:val="20"/>
                <w:color w:val="auto"/>
              </w:rPr>
            </w:pPr>
            <w:r>
              <w:rPr>
                <w:rFonts w:ascii="Arial" w:cs="Arial" w:eastAsia="Arial" w:hAnsi="Arial"/>
                <w:sz w:val="18"/>
                <w:szCs w:val="18"/>
                <w:color w:val="0000FF"/>
              </w:rPr>
              <w:t>94080</w:t>
            </w:r>
          </w:p>
        </w:tc>
      </w:tr>
      <w:tr>
        <w:trPr>
          <w:trHeight w:val="222"/>
        </w:trPr>
        <w:tc>
          <w:tcPr>
            <w:tcW w:w="20" w:type="dxa"/>
            <w:vAlign w:val="bottom"/>
          </w:tcPr>
          <w:p>
            <w:pPr>
              <w:spacing w:after="0"/>
              <w:rPr>
                <w:sz w:val="19"/>
                <w:szCs w:val="19"/>
                <w:color w:val="auto"/>
              </w:rPr>
            </w:pPr>
          </w:p>
        </w:tc>
        <w:tc>
          <w:tcPr>
            <w:tcW w:w="1060" w:type="dxa"/>
            <w:vAlign w:val="bottom"/>
          </w:tcPr>
          <w:p>
            <w:pPr>
              <w:ind w:left="20"/>
              <w:spacing w:after="0"/>
              <w:rPr>
                <w:sz w:val="20"/>
                <w:szCs w:val="20"/>
                <w:color w:val="auto"/>
              </w:rPr>
            </w:pPr>
            <w:r>
              <w:rPr>
                <w:rFonts w:ascii="Arial" w:cs="Arial" w:eastAsia="Arial" w:hAnsi="Arial"/>
                <w:sz w:val="18"/>
                <w:szCs w:val="18"/>
                <w:color w:val="0000FF"/>
                <w:w w:val="96"/>
              </w:rPr>
              <w:t>FRANCISCO</w:t>
            </w:r>
          </w:p>
        </w:tc>
        <w:tc>
          <w:tcPr>
            <w:tcW w:w="1040" w:type="dxa"/>
            <w:vAlign w:val="bottom"/>
          </w:tcPr>
          <w:p>
            <w:pPr>
              <w:spacing w:after="0"/>
              <w:rPr>
                <w:sz w:val="19"/>
                <w:szCs w:val="19"/>
                <w:color w:val="auto"/>
              </w:rPr>
            </w:pPr>
          </w:p>
        </w:tc>
        <w:tc>
          <w:tcPr>
            <w:tcW w:w="1140" w:type="dxa"/>
            <w:vAlign w:val="bottom"/>
          </w:tcPr>
          <w:p>
            <w:pPr>
              <w:spacing w:after="0"/>
              <w:rPr>
                <w:sz w:val="19"/>
                <w:szCs w:val="19"/>
                <w:color w:val="auto"/>
              </w:rPr>
            </w:pPr>
          </w:p>
        </w:tc>
      </w:tr>
    </w:tbl>
    <w:p>
      <w:pPr>
        <w:spacing w:after="0" w:line="20" w:lineRule="exact"/>
        <w:rPr>
          <w:sz w:val="24"/>
          <w:szCs w:val="24"/>
          <w:color w:val="auto"/>
        </w:rPr>
      </w:pPr>
      <w:r>
        <w:rPr>
          <w:sz w:val="24"/>
          <w:szCs w:val="24"/>
          <w:color w:val="auto"/>
        </w:rPr>
        <w:br w:type="column"/>
      </w:r>
    </w:p>
    <w:p>
      <w:pPr>
        <w:ind w:left="6" w:right="160" w:hanging="6"/>
        <w:spacing w:after="0" w:line="231" w:lineRule="auto"/>
        <w:tabs>
          <w:tab w:leader="none" w:pos="156"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6" w:type="dxa"/>
        <w:tblCellMar>
          <w:top w:w="0" w:type="dxa"/>
          <w:left w:w="0" w:type="dxa"/>
          <w:bottom w:w="0" w:type="dxa"/>
          <w:right w:w="0" w:type="dxa"/>
        </w:tblCellMar>
      </w:tblPr>
      <w:tr>
        <w:trPr>
          <w:trHeight w:val="162"/>
        </w:trPr>
        <w:tc>
          <w:tcPr>
            <w:tcW w:w="220" w:type="dxa"/>
            <w:vAlign w:val="bottom"/>
          </w:tcPr>
          <w:p>
            <w:pPr>
              <w:spacing w:after="0"/>
              <w:rPr>
                <w:sz w:val="14"/>
                <w:szCs w:val="14"/>
                <w:color w:val="auto"/>
              </w:rPr>
            </w:pPr>
          </w:p>
        </w:tc>
        <w:tc>
          <w:tcPr>
            <w:tcW w:w="1420" w:type="dxa"/>
            <w:vAlign w:val="bottom"/>
          </w:tcPr>
          <w:p>
            <w:pPr>
              <w:ind w:left="120"/>
              <w:spacing w:after="0"/>
              <w:rPr>
                <w:sz w:val="20"/>
                <w:szCs w:val="20"/>
                <w:color w:val="auto"/>
              </w:rPr>
            </w:pPr>
            <w:r>
              <w:rPr>
                <w:rFonts w:ascii="Arial" w:cs="Arial" w:eastAsia="Arial" w:hAnsi="Arial"/>
                <w:sz w:val="14"/>
                <w:szCs w:val="14"/>
                <w:color w:val="auto"/>
              </w:rPr>
              <w:t>Director</w:t>
            </w:r>
          </w:p>
        </w:tc>
        <w:tc>
          <w:tcPr>
            <w:tcW w:w="1160" w:type="dxa"/>
            <w:vAlign w:val="bottom"/>
          </w:tcPr>
          <w:p>
            <w:pPr>
              <w:ind w:left="32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2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20" w:type="dxa"/>
            <w:vAlign w:val="bottom"/>
          </w:tcPr>
          <w:p>
            <w:pPr>
              <w:ind w:left="120"/>
              <w:spacing w:after="0"/>
              <w:rPr>
                <w:sz w:val="20"/>
                <w:szCs w:val="20"/>
                <w:color w:val="auto"/>
              </w:rPr>
            </w:pPr>
            <w:r>
              <w:rPr>
                <w:rFonts w:ascii="Arial" w:cs="Arial" w:eastAsia="Arial" w:hAnsi="Arial"/>
                <w:sz w:val="14"/>
                <w:szCs w:val="14"/>
                <w:color w:val="auto"/>
              </w:rPr>
              <w:t>Officer (give title</w:t>
            </w:r>
          </w:p>
        </w:tc>
        <w:tc>
          <w:tcPr>
            <w:tcW w:w="1160" w:type="dxa"/>
            <w:vAlign w:val="bottom"/>
          </w:tcPr>
          <w:p>
            <w:pPr>
              <w:ind w:left="32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20" w:type="dxa"/>
            <w:vAlign w:val="bottom"/>
            <w:vMerge w:val="continue"/>
          </w:tcPr>
          <w:p>
            <w:pPr>
              <w:spacing w:after="0"/>
              <w:rPr>
                <w:sz w:val="9"/>
                <w:szCs w:val="9"/>
                <w:color w:val="auto"/>
              </w:rPr>
            </w:pPr>
          </w:p>
        </w:tc>
        <w:tc>
          <w:tcPr>
            <w:tcW w:w="1420" w:type="dxa"/>
            <w:vAlign w:val="bottom"/>
            <w:vMerge w:val="restart"/>
          </w:tcPr>
          <w:p>
            <w:pPr>
              <w:ind w:left="120"/>
              <w:spacing w:after="0"/>
              <w:rPr>
                <w:sz w:val="20"/>
                <w:szCs w:val="20"/>
                <w:color w:val="auto"/>
              </w:rPr>
            </w:pPr>
            <w:r>
              <w:rPr>
                <w:rFonts w:ascii="Arial" w:cs="Arial" w:eastAsia="Arial" w:hAnsi="Arial"/>
                <w:sz w:val="14"/>
                <w:szCs w:val="14"/>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2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646"/>
        <w:spacing w:after="0"/>
        <w:rPr>
          <w:sz w:val="20"/>
          <w:szCs w:val="20"/>
          <w:color w:val="auto"/>
        </w:rPr>
      </w:pPr>
      <w:r>
        <w:rPr>
          <w:rFonts w:ascii="Arial" w:cs="Arial" w:eastAsia="Arial" w:hAnsi="Arial"/>
          <w:sz w:val="18"/>
          <w:szCs w:val="18"/>
          <w:color w:val="0000FF"/>
        </w:rPr>
        <w:t>VP Corporate Development</w:t>
      </w:r>
    </w:p>
    <w:p>
      <w:pPr>
        <w:spacing w:after="0" w:line="20" w:lineRule="exact"/>
        <w:rPr>
          <w:sz w:val="24"/>
          <w:szCs w:val="24"/>
          <w:color w:val="auto"/>
        </w:rPr>
      </w:pPr>
      <w:r>
        <w:rPr>
          <w:sz w:val="24"/>
          <w:szCs w:val="24"/>
          <w:color w:val="auto"/>
        </w:rPr>
        <w:br w:type="column"/>
      </w:r>
    </w:p>
    <w:p>
      <w:pPr>
        <w:ind w:left="3" w:right="4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338" w:lineRule="exact"/>
        <w:rPr>
          <w:rFonts w:ascii="Arial" w:cs="Arial" w:eastAsia="Arial" w:hAnsi="Arial"/>
          <w:sz w:val="14"/>
          <w:szCs w:val="14"/>
          <w:color w:val="auto"/>
        </w:rPr>
      </w:pPr>
    </w:p>
    <w:p>
      <w:pPr>
        <w:ind w:left="3" w:right="3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4"/>
          <w:szCs w:val="24"/>
          <w:color w:val="auto"/>
        </w:rPr>
      </w:pPr>
    </w:p>
    <w:p>
      <w:pPr>
        <w:ind w:left="483" w:hanging="316"/>
        <w:spacing w:after="0"/>
        <w:tabs>
          <w:tab w:leader="none" w:pos="483" w:val="left"/>
        </w:tabs>
        <w:numPr>
          <w:ilvl w:val="0"/>
          <w:numId w:val="3"/>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3" w:right="64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329" w:lineRule="exact"/>
        <w:rPr>
          <w:sz w:val="24"/>
          <w:szCs w:val="24"/>
          <w:color w:val="auto"/>
        </w:rPr>
      </w:pPr>
    </w:p>
    <w:p>
      <w:pPr>
        <w:sectPr>
          <w:pgSz w:w="11900" w:h="16838" w:orient="portrait"/>
          <w:cols w:equalWidth="0" w:num="3">
            <w:col w:w="4474" w:space="720"/>
            <w:col w:w="3006" w:space="397"/>
            <w:col w:w="2823"/>
          </w:cols>
          <w:pgMar w:left="240" w:top="226" w:right="239" w:bottom="1440" w:gutter="0" w:footer="0" w:header="0"/>
          <w:type w:val="continuous"/>
        </w:sectPr>
      </w:pPr>
    </w:p>
    <w:p>
      <w:pPr>
        <w:spacing w:after="0" w:line="63"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20" w:type="dxa"/>
            <w:vAlign w:val="bottom"/>
            <w:gridSpan w:val="2"/>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20" w:type="dxa"/>
            <w:vAlign w:val="bottom"/>
            <w:gridSpan w:val="2"/>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78"/>
        </w:trPr>
        <w:tc>
          <w:tcPr>
            <w:tcW w:w="20" w:type="dxa"/>
            <w:vAlign w:val="bottom"/>
          </w:tcPr>
          <w:p>
            <w:pPr>
              <w:spacing w:after="0"/>
              <w:rPr>
                <w:sz w:val="15"/>
                <w:szCs w:val="15"/>
                <w:color w:val="auto"/>
              </w:rPr>
            </w:pPr>
          </w:p>
        </w:tc>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73"/>
        </w:trPr>
        <w:tc>
          <w:tcPr>
            <w:tcW w:w="20" w:type="dxa"/>
            <w:vAlign w:val="bottom"/>
            <w:tcBorders>
              <w:bottom w:val="single" w:sz="8" w:color="2C2C2C"/>
            </w:tcBorders>
          </w:tcPr>
          <w:p>
            <w:pPr>
              <w:spacing w:after="0"/>
              <w:rPr>
                <w:sz w:val="5"/>
                <w:szCs w:val="5"/>
                <w:color w:val="auto"/>
              </w:rPr>
            </w:pPr>
          </w:p>
        </w:tc>
        <w:tc>
          <w:tcPr>
            <w:tcW w:w="3440" w:type="dxa"/>
            <w:vAlign w:val="bottom"/>
            <w:tcBorders>
              <w:bottom w:val="single" w:sz="8" w:color="2C2C2C"/>
            </w:tcBorders>
          </w:tcPr>
          <w:p>
            <w:pPr>
              <w:spacing w:after="0"/>
              <w:rPr>
                <w:sz w:val="5"/>
                <w:szCs w:val="5"/>
                <w:color w:val="auto"/>
              </w:rPr>
            </w:pPr>
          </w:p>
        </w:tc>
        <w:tc>
          <w:tcPr>
            <w:tcW w:w="3620" w:type="dxa"/>
            <w:vAlign w:val="bottom"/>
            <w:tcBorders>
              <w:bottom w:val="single" w:sz="8" w:color="2C2C2C"/>
            </w:tcBorders>
          </w:tcPr>
          <w:p>
            <w:pPr>
              <w:spacing w:after="0"/>
              <w:rPr>
                <w:sz w:val="5"/>
                <w:szCs w:val="5"/>
                <w:color w:val="auto"/>
              </w:rPr>
            </w:pPr>
          </w:p>
        </w:tc>
        <w:tc>
          <w:tcPr>
            <w:tcW w:w="1320" w:type="dxa"/>
            <w:vAlign w:val="bottom"/>
            <w:tcBorders>
              <w:bottom w:val="single" w:sz="8" w:color="2C2C2C"/>
            </w:tcBorders>
          </w:tcPr>
          <w:p>
            <w:pPr>
              <w:spacing w:after="0"/>
              <w:rPr>
                <w:sz w:val="5"/>
                <w:szCs w:val="5"/>
                <w:color w:val="auto"/>
              </w:rPr>
            </w:pPr>
          </w:p>
        </w:tc>
        <w:tc>
          <w:tcPr>
            <w:tcW w:w="300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40" w:type="dxa"/>
            <w:vAlign w:val="bottom"/>
            <w:tcBorders>
              <w:top w:val="single" w:sz="8" w:color="808080"/>
            </w:tcBorders>
            <w:shd w:val="clear" w:color="auto" w:fill="2C2C2C"/>
          </w:tcPr>
          <w:p>
            <w:pPr>
              <w:spacing w:after="0" w:line="20" w:lineRule="exact"/>
              <w:rPr>
                <w:sz w:val="1"/>
                <w:szCs w:val="1"/>
                <w:color w:val="auto"/>
              </w:rPr>
            </w:pPr>
          </w:p>
        </w:tc>
        <w:tc>
          <w:tcPr>
            <w:tcW w:w="3620" w:type="dxa"/>
            <w:vAlign w:val="bottom"/>
            <w:tcBorders>
              <w:top w:val="single" w:sz="8" w:color="808080"/>
            </w:tcBorders>
            <w:shd w:val="clear" w:color="auto" w:fill="2C2C2C"/>
          </w:tcPr>
          <w:p>
            <w:pPr>
              <w:spacing w:after="0" w:line="20" w:lineRule="exact"/>
              <w:rPr>
                <w:sz w:val="1"/>
                <w:szCs w:val="1"/>
                <w:color w:val="auto"/>
              </w:rPr>
            </w:pPr>
          </w:p>
        </w:tc>
        <w:tc>
          <w:tcPr>
            <w:tcW w:w="1320" w:type="dxa"/>
            <w:vAlign w:val="bottom"/>
            <w:tcBorders>
              <w:top w:val="single" w:sz="8" w:color="808080"/>
            </w:tcBorders>
            <w:shd w:val="clear" w:color="auto" w:fill="2C2C2C"/>
          </w:tcPr>
          <w:p>
            <w:pPr>
              <w:spacing w:after="0" w:line="20" w:lineRule="exact"/>
              <w:rPr>
                <w:sz w:val="1"/>
                <w:szCs w:val="1"/>
                <w:color w:val="auto"/>
              </w:rPr>
            </w:pPr>
          </w:p>
        </w:tc>
        <w:tc>
          <w:tcPr>
            <w:tcW w:w="300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98"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520" w:type="dxa"/>
            <w:vAlign w:val="bottom"/>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1700" w:type="dxa"/>
            <w:vAlign w:val="bottom"/>
            <w:gridSpan w:val="2"/>
          </w:tcPr>
          <w:p>
            <w:pPr>
              <w:ind w:left="80"/>
              <w:spacing w:after="0"/>
              <w:rPr>
                <w:sz w:val="20"/>
                <w:szCs w:val="20"/>
                <w:color w:val="auto"/>
              </w:rPr>
            </w:pPr>
            <w:r>
              <w:rPr>
                <w:rFonts w:ascii="Arial" w:cs="Arial" w:eastAsia="Arial" w:hAnsi="Arial"/>
                <w:sz w:val="14"/>
                <w:szCs w:val="14"/>
                <w:b w:val="1"/>
                <w:bCs w:val="1"/>
                <w:color w:val="auto"/>
              </w:rPr>
              <w:t>2. Date Exercisable and</w:t>
            </w:r>
          </w:p>
        </w:tc>
        <w:tc>
          <w:tcPr>
            <w:tcW w:w="2780" w:type="dxa"/>
            <w:vAlign w:val="bottom"/>
            <w:gridSpan w:val="2"/>
          </w:tcPr>
          <w:p>
            <w:pPr>
              <w:ind w:left="60"/>
              <w:spacing w:after="0"/>
              <w:rPr>
                <w:sz w:val="20"/>
                <w:szCs w:val="20"/>
                <w:color w:val="auto"/>
              </w:rPr>
            </w:pPr>
            <w:r>
              <w:rPr>
                <w:rFonts w:ascii="Arial" w:cs="Arial" w:eastAsia="Arial" w:hAnsi="Arial"/>
                <w:sz w:val="14"/>
                <w:szCs w:val="14"/>
                <w:b w:val="1"/>
                <w:bCs w:val="1"/>
                <w:color w:val="auto"/>
              </w:rPr>
              <w:t>3. Title and Amount of Securities</w:t>
            </w: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4.</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5.</w:t>
            </w:r>
          </w:p>
        </w:tc>
        <w:tc>
          <w:tcPr>
            <w:tcW w:w="1640" w:type="dxa"/>
            <w:vAlign w:val="bottom"/>
            <w:gridSpan w:val="2"/>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170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Expiration Date</w:t>
            </w:r>
          </w:p>
        </w:tc>
        <w:tc>
          <w:tcPr>
            <w:tcW w:w="27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Underlying Derivative Security (Instr. 4)</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Ownership</w:t>
            </w:r>
          </w:p>
        </w:tc>
        <w:tc>
          <w:tcPr>
            <w:tcW w:w="164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170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(Month/Day/Year)</w:t>
            </w:r>
          </w:p>
        </w:tc>
        <w:tc>
          <w:tcPr>
            <w:tcW w:w="18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Form:</w:t>
            </w:r>
          </w:p>
        </w:tc>
        <w:tc>
          <w:tcPr>
            <w:tcW w:w="164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3520" w:type="dxa"/>
            <w:vAlign w:val="bottom"/>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86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880" w:type="dxa"/>
            <w:vAlign w:val="bottom"/>
            <w:vMerge w:val="restart"/>
          </w:tcPr>
          <w:p>
            <w:pPr>
              <w:ind w:left="6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Direct (D)</w:t>
            </w:r>
          </w:p>
        </w:tc>
        <w:tc>
          <w:tcPr>
            <w:tcW w:w="162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3520" w:type="dxa"/>
            <w:vAlign w:val="bottom"/>
          </w:tcPr>
          <w:p>
            <w:pPr>
              <w:spacing w:after="0"/>
              <w:rPr>
                <w:sz w:val="4"/>
                <w:szCs w:val="4"/>
                <w:color w:val="auto"/>
              </w:rPr>
            </w:pPr>
          </w:p>
        </w:tc>
        <w:tc>
          <w:tcPr>
            <w:tcW w:w="900" w:type="dxa"/>
            <w:vAlign w:val="bottom"/>
          </w:tcPr>
          <w:p>
            <w:pPr>
              <w:spacing w:after="0"/>
              <w:rPr>
                <w:sz w:val="4"/>
                <w:szCs w:val="4"/>
                <w:color w:val="auto"/>
              </w:rPr>
            </w:pPr>
          </w:p>
        </w:tc>
        <w:tc>
          <w:tcPr>
            <w:tcW w:w="800" w:type="dxa"/>
            <w:vAlign w:val="bottom"/>
          </w:tcPr>
          <w:p>
            <w:pPr>
              <w:spacing w:after="0"/>
              <w:rPr>
                <w:sz w:val="4"/>
                <w:szCs w:val="4"/>
                <w:color w:val="auto"/>
              </w:rPr>
            </w:pPr>
          </w:p>
        </w:tc>
        <w:tc>
          <w:tcPr>
            <w:tcW w:w="1860" w:type="dxa"/>
            <w:vAlign w:val="bottom"/>
          </w:tcPr>
          <w:p>
            <w:pPr>
              <w:spacing w:after="0"/>
              <w:rPr>
                <w:sz w:val="4"/>
                <w:szCs w:val="4"/>
                <w:color w:val="auto"/>
              </w:rPr>
            </w:pPr>
          </w:p>
        </w:tc>
        <w:tc>
          <w:tcPr>
            <w:tcW w:w="920" w:type="dxa"/>
            <w:vAlign w:val="bottom"/>
            <w:vMerge w:val="restart"/>
          </w:tcPr>
          <w:p>
            <w:pPr>
              <w:ind w:left="260"/>
              <w:spacing w:after="0"/>
              <w:rPr>
                <w:sz w:val="20"/>
                <w:szCs w:val="20"/>
                <w:color w:val="auto"/>
              </w:rPr>
            </w:pPr>
            <w:r>
              <w:rPr>
                <w:rFonts w:ascii="Arial" w:cs="Arial" w:eastAsia="Arial" w:hAnsi="Arial"/>
                <w:sz w:val="14"/>
                <w:szCs w:val="14"/>
                <w:b w:val="1"/>
                <w:bCs w:val="1"/>
                <w:color w:val="auto"/>
              </w:rPr>
              <w:t>Amount</w:t>
            </w:r>
          </w:p>
        </w:tc>
        <w:tc>
          <w:tcPr>
            <w:tcW w:w="88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6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880" w:type="dxa"/>
            <w:vAlign w:val="bottom"/>
          </w:tcPr>
          <w:p>
            <w:pPr>
              <w:ind w:left="60"/>
              <w:spacing w:after="0" w:line="139"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or Indirect</w:t>
            </w: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920" w:type="dxa"/>
            <w:vAlign w:val="bottom"/>
          </w:tcPr>
          <w:p>
            <w:pPr>
              <w:ind w:left="260"/>
              <w:spacing w:after="0" w:line="149" w:lineRule="exact"/>
              <w:rPr>
                <w:sz w:val="20"/>
                <w:szCs w:val="20"/>
                <w:color w:val="auto"/>
              </w:rPr>
            </w:pPr>
            <w:r>
              <w:rPr>
                <w:rFonts w:ascii="Arial" w:cs="Arial" w:eastAsia="Arial" w:hAnsi="Arial"/>
                <w:sz w:val="14"/>
                <w:szCs w:val="14"/>
                <w:b w:val="1"/>
                <w:bCs w:val="1"/>
                <w:color w:val="auto"/>
              </w:rPr>
              <w:t>or</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(I) (Instr. 5)</w:t>
            </w: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920" w:type="dxa"/>
            <w:vAlign w:val="bottom"/>
          </w:tcPr>
          <w:p>
            <w:pPr>
              <w:ind w:left="260"/>
              <w:spacing w:after="0" w:line="145" w:lineRule="exact"/>
              <w:rPr>
                <w:sz w:val="20"/>
                <w:szCs w:val="20"/>
                <w:color w:val="auto"/>
              </w:rPr>
            </w:pPr>
            <w:r>
              <w:rPr>
                <w:rFonts w:ascii="Arial" w:cs="Arial" w:eastAsia="Arial" w:hAnsi="Arial"/>
                <w:sz w:val="14"/>
                <w:szCs w:val="14"/>
                <w:b w:val="1"/>
                <w:bCs w:val="1"/>
                <w:color w:val="auto"/>
              </w:rPr>
              <w:t>Number</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9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Expiration</w:t>
            </w:r>
          </w:p>
        </w:tc>
        <w:tc>
          <w:tcPr>
            <w:tcW w:w="1860" w:type="dxa"/>
            <w:vAlign w:val="bottom"/>
          </w:tcPr>
          <w:p>
            <w:pPr>
              <w:spacing w:after="0"/>
              <w:rPr>
                <w:sz w:val="12"/>
                <w:szCs w:val="12"/>
                <w:color w:val="auto"/>
              </w:rPr>
            </w:pPr>
          </w:p>
        </w:tc>
        <w:tc>
          <w:tcPr>
            <w:tcW w:w="920" w:type="dxa"/>
            <w:vAlign w:val="bottom"/>
          </w:tcPr>
          <w:p>
            <w:pPr>
              <w:ind w:left="260"/>
              <w:spacing w:after="0" w:line="149" w:lineRule="exact"/>
              <w:rPr>
                <w:sz w:val="20"/>
                <w:szCs w:val="20"/>
                <w:color w:val="auto"/>
              </w:rPr>
            </w:pPr>
            <w:r>
              <w:rPr>
                <w:rFonts w:ascii="Arial" w:cs="Arial" w:eastAsia="Arial" w:hAnsi="Arial"/>
                <w:sz w:val="14"/>
                <w:szCs w:val="14"/>
                <w:b w:val="1"/>
                <w:bCs w:val="1"/>
                <w:color w:val="auto"/>
              </w:rPr>
              <w:t>of</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520" w:type="dxa"/>
            <w:vAlign w:val="bottom"/>
          </w:tcPr>
          <w:p>
            <w:pPr>
              <w:spacing w:after="0"/>
              <w:rPr>
                <w:sz w:val="15"/>
                <w:szCs w:val="15"/>
                <w:color w:val="auto"/>
              </w:rPr>
            </w:pPr>
          </w:p>
        </w:tc>
        <w:tc>
          <w:tcPr>
            <w:tcW w:w="900" w:type="dxa"/>
            <w:vAlign w:val="bottom"/>
          </w:tcPr>
          <w:p>
            <w:pPr>
              <w:ind w:left="8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60"/>
              <w:spacing w:after="0"/>
              <w:rPr>
                <w:sz w:val="20"/>
                <w:szCs w:val="20"/>
                <w:color w:val="auto"/>
              </w:rPr>
            </w:pPr>
            <w:r>
              <w:rPr>
                <w:rFonts w:ascii="Arial" w:cs="Arial" w:eastAsia="Arial" w:hAnsi="Arial"/>
                <w:sz w:val="14"/>
                <w:szCs w:val="14"/>
                <w:b w:val="1"/>
                <w:bCs w:val="1"/>
                <w:color w:val="auto"/>
              </w:rPr>
              <w:t>Date</w:t>
            </w:r>
          </w:p>
        </w:tc>
        <w:tc>
          <w:tcPr>
            <w:tcW w:w="1860" w:type="dxa"/>
            <w:vAlign w:val="bottom"/>
          </w:tcPr>
          <w:p>
            <w:pPr>
              <w:ind w:left="60"/>
              <w:spacing w:after="0"/>
              <w:rPr>
                <w:sz w:val="20"/>
                <w:szCs w:val="20"/>
                <w:color w:val="auto"/>
              </w:rPr>
            </w:pPr>
            <w:r>
              <w:rPr>
                <w:rFonts w:ascii="Arial" w:cs="Arial" w:eastAsia="Arial" w:hAnsi="Arial"/>
                <w:sz w:val="14"/>
                <w:szCs w:val="14"/>
                <w:b w:val="1"/>
                <w:bCs w:val="1"/>
                <w:color w:val="auto"/>
              </w:rPr>
              <w:t>Title</w:t>
            </w:r>
          </w:p>
        </w:tc>
        <w:tc>
          <w:tcPr>
            <w:tcW w:w="920" w:type="dxa"/>
            <w:vAlign w:val="bottom"/>
          </w:tcPr>
          <w:p>
            <w:pPr>
              <w:ind w:left="260"/>
              <w:spacing w:after="0"/>
              <w:rPr>
                <w:sz w:val="20"/>
                <w:szCs w:val="20"/>
                <w:color w:val="auto"/>
              </w:rPr>
            </w:pPr>
            <w:r>
              <w:rPr>
                <w:rFonts w:ascii="Arial" w:cs="Arial" w:eastAsia="Arial" w:hAnsi="Arial"/>
                <w:sz w:val="14"/>
                <w:szCs w:val="14"/>
                <w:b w:val="1"/>
                <w:bCs w:val="1"/>
                <w:color w:val="auto"/>
              </w:rPr>
              <w:t>Shares</w:t>
            </w: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352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8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520" w:type="dxa"/>
            <w:vAlign w:val="bottom"/>
          </w:tcPr>
          <w:p>
            <w:pPr>
              <w:ind w:left="60"/>
              <w:spacing w:after="0"/>
              <w:rPr>
                <w:sz w:val="20"/>
                <w:szCs w:val="20"/>
                <w:color w:val="auto"/>
              </w:rPr>
            </w:pPr>
            <w:r>
              <w:rPr>
                <w:rFonts w:ascii="Arial" w:cs="Arial" w:eastAsia="Arial" w:hAnsi="Arial"/>
                <w:sz w:val="18"/>
                <w:szCs w:val="18"/>
                <w:color w:val="0000FF"/>
              </w:rPr>
              <w:t>Stock Option (Right to Buy)</w:t>
            </w:r>
          </w:p>
        </w:tc>
        <w:tc>
          <w:tcPr>
            <w:tcW w:w="900" w:type="dxa"/>
            <w:vAlign w:val="bottom"/>
          </w:tcPr>
          <w:p>
            <w:pPr>
              <w:ind w:left="380"/>
              <w:spacing w:after="0"/>
              <w:rPr>
                <w:sz w:val="20"/>
                <w:szCs w:val="20"/>
                <w:color w:val="auto"/>
              </w:rPr>
            </w:pPr>
            <w:r>
              <w:rPr>
                <w:rFonts w:ascii="Arial" w:cs="Arial" w:eastAsia="Arial" w:hAnsi="Arial"/>
                <w:sz w:val="11"/>
                <w:szCs w:val="11"/>
                <w:color w:val="008000"/>
              </w:rPr>
              <w:t>(1)</w:t>
            </w:r>
          </w:p>
        </w:tc>
        <w:tc>
          <w:tcPr>
            <w:tcW w:w="800" w:type="dxa"/>
            <w:vAlign w:val="bottom"/>
          </w:tcPr>
          <w:p>
            <w:pPr>
              <w:jc w:val="center"/>
              <w:spacing w:after="0"/>
              <w:rPr>
                <w:sz w:val="20"/>
                <w:szCs w:val="20"/>
                <w:color w:val="auto"/>
              </w:rPr>
            </w:pPr>
            <w:r>
              <w:rPr>
                <w:rFonts w:ascii="Arial" w:cs="Arial" w:eastAsia="Arial" w:hAnsi="Arial"/>
                <w:sz w:val="14"/>
                <w:szCs w:val="14"/>
                <w:color w:val="0000FF"/>
                <w:w w:val="88"/>
              </w:rPr>
              <w:t>09/29/2026</w:t>
            </w:r>
          </w:p>
        </w:tc>
        <w:tc>
          <w:tcPr>
            <w:tcW w:w="1860" w:type="dxa"/>
            <w:vAlign w:val="bottom"/>
          </w:tcPr>
          <w:p>
            <w:pPr>
              <w:ind w:left="480"/>
              <w:spacing w:after="0"/>
              <w:rPr>
                <w:sz w:val="20"/>
                <w:szCs w:val="20"/>
                <w:color w:val="auto"/>
              </w:rPr>
            </w:pPr>
            <w:r>
              <w:rPr>
                <w:rFonts w:ascii="Arial" w:cs="Arial" w:eastAsia="Arial" w:hAnsi="Arial"/>
                <w:sz w:val="18"/>
                <w:szCs w:val="18"/>
                <w:color w:val="0000FF"/>
              </w:rPr>
              <w:t>Common Stock</w:t>
            </w:r>
          </w:p>
        </w:tc>
        <w:tc>
          <w:tcPr>
            <w:tcW w:w="920" w:type="dxa"/>
            <w:vAlign w:val="bottom"/>
          </w:tcPr>
          <w:p>
            <w:pPr>
              <w:jc w:val="center"/>
              <w:ind w:left="123"/>
              <w:spacing w:after="0"/>
              <w:rPr>
                <w:sz w:val="20"/>
                <w:szCs w:val="20"/>
                <w:color w:val="auto"/>
              </w:rPr>
            </w:pPr>
            <w:r>
              <w:rPr>
                <w:rFonts w:ascii="Arial" w:cs="Arial" w:eastAsia="Arial" w:hAnsi="Arial"/>
                <w:sz w:val="18"/>
                <w:szCs w:val="18"/>
                <w:color w:val="0000FF"/>
                <w:w w:val="86"/>
              </w:rPr>
              <w:t>125,000</w:t>
            </w:r>
          </w:p>
        </w:tc>
        <w:tc>
          <w:tcPr>
            <w:tcW w:w="880" w:type="dxa"/>
            <w:vAlign w:val="bottom"/>
          </w:tcPr>
          <w:p>
            <w:pPr>
              <w:jc w:val="center"/>
              <w:spacing w:after="0"/>
              <w:rPr>
                <w:sz w:val="20"/>
                <w:szCs w:val="20"/>
                <w:color w:val="auto"/>
              </w:rPr>
            </w:pPr>
            <w:r>
              <w:rPr>
                <w:rFonts w:ascii="Arial" w:cs="Arial" w:eastAsia="Arial" w:hAnsi="Arial"/>
                <w:sz w:val="18"/>
                <w:szCs w:val="18"/>
                <w:color w:val="0000FF"/>
                <w:w w:val="91"/>
              </w:rPr>
              <w:t>4.27</w:t>
            </w:r>
          </w:p>
        </w:tc>
        <w:tc>
          <w:tcPr>
            <w:tcW w:w="880" w:type="dxa"/>
            <w:vAlign w:val="bottom"/>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52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520" w:type="dxa"/>
            <w:vAlign w:val="bottom"/>
          </w:tcPr>
          <w:p>
            <w:pPr>
              <w:ind w:left="60"/>
              <w:spacing w:after="0"/>
              <w:rPr>
                <w:sz w:val="20"/>
                <w:szCs w:val="20"/>
                <w:color w:val="auto"/>
              </w:rPr>
            </w:pPr>
            <w:r>
              <w:rPr>
                <w:rFonts w:ascii="Arial" w:cs="Arial" w:eastAsia="Arial" w:hAnsi="Arial"/>
                <w:sz w:val="18"/>
                <w:szCs w:val="18"/>
                <w:color w:val="0000FF"/>
              </w:rPr>
              <w:t>Stock Option (Right to Buy)</w:t>
            </w:r>
          </w:p>
        </w:tc>
        <w:tc>
          <w:tcPr>
            <w:tcW w:w="900" w:type="dxa"/>
            <w:vAlign w:val="bottom"/>
          </w:tcPr>
          <w:p>
            <w:pPr>
              <w:ind w:left="380"/>
              <w:spacing w:after="0"/>
              <w:rPr>
                <w:sz w:val="20"/>
                <w:szCs w:val="20"/>
                <w:color w:val="auto"/>
              </w:rPr>
            </w:pPr>
            <w:r>
              <w:rPr>
                <w:rFonts w:ascii="Arial" w:cs="Arial" w:eastAsia="Arial" w:hAnsi="Arial"/>
                <w:sz w:val="11"/>
                <w:szCs w:val="11"/>
                <w:color w:val="008000"/>
              </w:rPr>
              <w:t>(2)</w:t>
            </w:r>
          </w:p>
        </w:tc>
        <w:tc>
          <w:tcPr>
            <w:tcW w:w="800" w:type="dxa"/>
            <w:vAlign w:val="bottom"/>
          </w:tcPr>
          <w:p>
            <w:pPr>
              <w:jc w:val="center"/>
              <w:spacing w:after="0"/>
              <w:rPr>
                <w:sz w:val="20"/>
                <w:szCs w:val="20"/>
                <w:color w:val="auto"/>
              </w:rPr>
            </w:pPr>
            <w:r>
              <w:rPr>
                <w:rFonts w:ascii="Arial" w:cs="Arial" w:eastAsia="Arial" w:hAnsi="Arial"/>
                <w:sz w:val="14"/>
                <w:szCs w:val="14"/>
                <w:color w:val="0000FF"/>
                <w:w w:val="85"/>
              </w:rPr>
              <w:t>11/09/2026</w:t>
            </w:r>
          </w:p>
        </w:tc>
        <w:tc>
          <w:tcPr>
            <w:tcW w:w="1860" w:type="dxa"/>
            <w:vAlign w:val="bottom"/>
          </w:tcPr>
          <w:p>
            <w:pPr>
              <w:ind w:left="480"/>
              <w:spacing w:after="0"/>
              <w:rPr>
                <w:sz w:val="20"/>
                <w:szCs w:val="20"/>
                <w:color w:val="auto"/>
              </w:rPr>
            </w:pPr>
            <w:r>
              <w:rPr>
                <w:rFonts w:ascii="Arial" w:cs="Arial" w:eastAsia="Arial" w:hAnsi="Arial"/>
                <w:sz w:val="18"/>
                <w:szCs w:val="18"/>
                <w:color w:val="0000FF"/>
              </w:rPr>
              <w:t>Common Stock</w:t>
            </w:r>
          </w:p>
        </w:tc>
        <w:tc>
          <w:tcPr>
            <w:tcW w:w="920" w:type="dxa"/>
            <w:vAlign w:val="bottom"/>
          </w:tcPr>
          <w:p>
            <w:pPr>
              <w:jc w:val="center"/>
              <w:ind w:left="123"/>
              <w:spacing w:after="0"/>
              <w:rPr>
                <w:sz w:val="20"/>
                <w:szCs w:val="20"/>
                <w:color w:val="auto"/>
              </w:rPr>
            </w:pPr>
            <w:r>
              <w:rPr>
                <w:rFonts w:ascii="Arial" w:cs="Arial" w:eastAsia="Arial" w:hAnsi="Arial"/>
                <w:sz w:val="18"/>
                <w:szCs w:val="18"/>
                <w:color w:val="0000FF"/>
                <w:w w:val="87"/>
              </w:rPr>
              <w:t>40,000</w:t>
            </w:r>
          </w:p>
        </w:tc>
        <w:tc>
          <w:tcPr>
            <w:tcW w:w="880" w:type="dxa"/>
            <w:vAlign w:val="bottom"/>
          </w:tcPr>
          <w:p>
            <w:pPr>
              <w:jc w:val="center"/>
              <w:spacing w:after="0"/>
              <w:rPr>
                <w:sz w:val="20"/>
                <w:szCs w:val="20"/>
                <w:color w:val="auto"/>
              </w:rPr>
            </w:pPr>
            <w:r>
              <w:rPr>
                <w:rFonts w:ascii="Arial" w:cs="Arial" w:eastAsia="Arial" w:hAnsi="Arial"/>
                <w:sz w:val="18"/>
                <w:szCs w:val="18"/>
                <w:color w:val="0000FF"/>
                <w:w w:val="87"/>
              </w:rPr>
              <w:t>3.8</w:t>
            </w:r>
          </w:p>
        </w:tc>
        <w:tc>
          <w:tcPr>
            <w:tcW w:w="880" w:type="dxa"/>
            <w:vAlign w:val="bottom"/>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52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520" w:type="dxa"/>
            <w:vAlign w:val="bottom"/>
          </w:tcPr>
          <w:p>
            <w:pPr>
              <w:ind w:left="60"/>
              <w:spacing w:after="0"/>
              <w:rPr>
                <w:sz w:val="20"/>
                <w:szCs w:val="20"/>
                <w:color w:val="auto"/>
              </w:rPr>
            </w:pPr>
            <w:r>
              <w:rPr>
                <w:rFonts w:ascii="Arial" w:cs="Arial" w:eastAsia="Arial" w:hAnsi="Arial"/>
                <w:sz w:val="18"/>
                <w:szCs w:val="18"/>
                <w:color w:val="0000FF"/>
              </w:rPr>
              <w:t>Stock Option (Right to Buy)</w:t>
            </w:r>
          </w:p>
        </w:tc>
        <w:tc>
          <w:tcPr>
            <w:tcW w:w="900" w:type="dxa"/>
            <w:vAlign w:val="bottom"/>
          </w:tcPr>
          <w:p>
            <w:pPr>
              <w:ind w:left="380"/>
              <w:spacing w:after="0"/>
              <w:rPr>
                <w:sz w:val="20"/>
                <w:szCs w:val="20"/>
                <w:color w:val="auto"/>
              </w:rPr>
            </w:pPr>
            <w:r>
              <w:rPr>
                <w:rFonts w:ascii="Arial" w:cs="Arial" w:eastAsia="Arial" w:hAnsi="Arial"/>
                <w:sz w:val="11"/>
                <w:szCs w:val="11"/>
                <w:color w:val="008000"/>
              </w:rPr>
              <w:t>(3)</w:t>
            </w:r>
          </w:p>
        </w:tc>
        <w:tc>
          <w:tcPr>
            <w:tcW w:w="800" w:type="dxa"/>
            <w:vAlign w:val="bottom"/>
          </w:tcPr>
          <w:p>
            <w:pPr>
              <w:jc w:val="center"/>
              <w:spacing w:after="0"/>
              <w:rPr>
                <w:sz w:val="20"/>
                <w:szCs w:val="20"/>
                <w:color w:val="auto"/>
              </w:rPr>
            </w:pPr>
            <w:r>
              <w:rPr>
                <w:rFonts w:ascii="Arial" w:cs="Arial" w:eastAsia="Arial" w:hAnsi="Arial"/>
                <w:sz w:val="14"/>
                <w:szCs w:val="14"/>
                <w:color w:val="0000FF"/>
                <w:w w:val="88"/>
              </w:rPr>
              <w:t>04/26/2027</w:t>
            </w:r>
          </w:p>
        </w:tc>
        <w:tc>
          <w:tcPr>
            <w:tcW w:w="1860" w:type="dxa"/>
            <w:vAlign w:val="bottom"/>
          </w:tcPr>
          <w:p>
            <w:pPr>
              <w:ind w:left="480"/>
              <w:spacing w:after="0"/>
              <w:rPr>
                <w:sz w:val="20"/>
                <w:szCs w:val="20"/>
                <w:color w:val="auto"/>
              </w:rPr>
            </w:pPr>
            <w:r>
              <w:rPr>
                <w:rFonts w:ascii="Arial" w:cs="Arial" w:eastAsia="Arial" w:hAnsi="Arial"/>
                <w:sz w:val="18"/>
                <w:szCs w:val="18"/>
                <w:color w:val="0000FF"/>
              </w:rPr>
              <w:t>Common Stock</w:t>
            </w:r>
          </w:p>
        </w:tc>
        <w:tc>
          <w:tcPr>
            <w:tcW w:w="920" w:type="dxa"/>
            <w:vAlign w:val="bottom"/>
          </w:tcPr>
          <w:p>
            <w:pPr>
              <w:jc w:val="center"/>
              <w:ind w:left="123"/>
              <w:spacing w:after="0"/>
              <w:rPr>
                <w:sz w:val="20"/>
                <w:szCs w:val="20"/>
                <w:color w:val="auto"/>
              </w:rPr>
            </w:pPr>
            <w:r>
              <w:rPr>
                <w:rFonts w:ascii="Arial" w:cs="Arial" w:eastAsia="Arial" w:hAnsi="Arial"/>
                <w:sz w:val="18"/>
                <w:szCs w:val="18"/>
                <w:color w:val="0000FF"/>
                <w:w w:val="86"/>
              </w:rPr>
              <w:t>100,000</w:t>
            </w:r>
          </w:p>
        </w:tc>
        <w:tc>
          <w:tcPr>
            <w:tcW w:w="880" w:type="dxa"/>
            <w:vAlign w:val="bottom"/>
          </w:tcPr>
          <w:p>
            <w:pPr>
              <w:jc w:val="center"/>
              <w:spacing w:after="0"/>
              <w:rPr>
                <w:sz w:val="20"/>
                <w:szCs w:val="20"/>
                <w:color w:val="auto"/>
              </w:rPr>
            </w:pPr>
            <w:r>
              <w:rPr>
                <w:rFonts w:ascii="Arial" w:cs="Arial" w:eastAsia="Arial" w:hAnsi="Arial"/>
                <w:sz w:val="18"/>
                <w:szCs w:val="18"/>
                <w:color w:val="0000FF"/>
                <w:w w:val="91"/>
              </w:rPr>
              <w:t>1.96</w:t>
            </w:r>
          </w:p>
        </w:tc>
        <w:tc>
          <w:tcPr>
            <w:tcW w:w="880" w:type="dxa"/>
            <w:vAlign w:val="bottom"/>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52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520" w:type="dxa"/>
            <w:vAlign w:val="bottom"/>
          </w:tcPr>
          <w:p>
            <w:pPr>
              <w:ind w:left="60"/>
              <w:spacing w:after="0"/>
              <w:rPr>
                <w:sz w:val="20"/>
                <w:szCs w:val="20"/>
                <w:color w:val="auto"/>
              </w:rPr>
            </w:pPr>
            <w:r>
              <w:rPr>
                <w:rFonts w:ascii="Arial" w:cs="Arial" w:eastAsia="Arial" w:hAnsi="Arial"/>
                <w:sz w:val="18"/>
                <w:szCs w:val="18"/>
                <w:color w:val="0000FF"/>
              </w:rPr>
              <w:t>Stock Option (Right to Buy)</w:t>
            </w:r>
          </w:p>
        </w:tc>
        <w:tc>
          <w:tcPr>
            <w:tcW w:w="900" w:type="dxa"/>
            <w:vAlign w:val="bottom"/>
          </w:tcPr>
          <w:p>
            <w:pPr>
              <w:ind w:left="380"/>
              <w:spacing w:after="0"/>
              <w:rPr>
                <w:sz w:val="20"/>
                <w:szCs w:val="20"/>
                <w:color w:val="auto"/>
              </w:rPr>
            </w:pPr>
            <w:r>
              <w:rPr>
                <w:rFonts w:ascii="Arial" w:cs="Arial" w:eastAsia="Arial" w:hAnsi="Arial"/>
                <w:sz w:val="11"/>
                <w:szCs w:val="11"/>
                <w:color w:val="008000"/>
              </w:rPr>
              <w:t>(4)</w:t>
            </w:r>
          </w:p>
        </w:tc>
        <w:tc>
          <w:tcPr>
            <w:tcW w:w="800" w:type="dxa"/>
            <w:vAlign w:val="bottom"/>
          </w:tcPr>
          <w:p>
            <w:pPr>
              <w:jc w:val="center"/>
              <w:spacing w:after="0"/>
              <w:rPr>
                <w:sz w:val="20"/>
                <w:szCs w:val="20"/>
                <w:color w:val="auto"/>
              </w:rPr>
            </w:pPr>
            <w:r>
              <w:rPr>
                <w:rFonts w:ascii="Arial" w:cs="Arial" w:eastAsia="Arial" w:hAnsi="Arial"/>
                <w:sz w:val="14"/>
                <w:szCs w:val="14"/>
                <w:color w:val="0000FF"/>
                <w:w w:val="88"/>
              </w:rPr>
              <w:t>09/19/2027</w:t>
            </w:r>
          </w:p>
        </w:tc>
        <w:tc>
          <w:tcPr>
            <w:tcW w:w="1860" w:type="dxa"/>
            <w:vAlign w:val="bottom"/>
          </w:tcPr>
          <w:p>
            <w:pPr>
              <w:ind w:left="480"/>
              <w:spacing w:after="0"/>
              <w:rPr>
                <w:sz w:val="20"/>
                <w:szCs w:val="20"/>
                <w:color w:val="auto"/>
              </w:rPr>
            </w:pPr>
            <w:r>
              <w:rPr>
                <w:rFonts w:ascii="Arial" w:cs="Arial" w:eastAsia="Arial" w:hAnsi="Arial"/>
                <w:sz w:val="18"/>
                <w:szCs w:val="18"/>
                <w:color w:val="0000FF"/>
              </w:rPr>
              <w:t>Common Stock</w:t>
            </w:r>
          </w:p>
        </w:tc>
        <w:tc>
          <w:tcPr>
            <w:tcW w:w="920" w:type="dxa"/>
            <w:vAlign w:val="bottom"/>
          </w:tcPr>
          <w:p>
            <w:pPr>
              <w:jc w:val="center"/>
              <w:ind w:left="123"/>
              <w:spacing w:after="0"/>
              <w:rPr>
                <w:sz w:val="20"/>
                <w:szCs w:val="20"/>
                <w:color w:val="auto"/>
              </w:rPr>
            </w:pPr>
            <w:r>
              <w:rPr>
                <w:rFonts w:ascii="Arial" w:cs="Arial" w:eastAsia="Arial" w:hAnsi="Arial"/>
                <w:sz w:val="18"/>
                <w:szCs w:val="18"/>
                <w:color w:val="0000FF"/>
                <w:w w:val="87"/>
              </w:rPr>
              <w:t>50,000</w:t>
            </w:r>
          </w:p>
        </w:tc>
        <w:tc>
          <w:tcPr>
            <w:tcW w:w="880" w:type="dxa"/>
            <w:vAlign w:val="bottom"/>
          </w:tcPr>
          <w:p>
            <w:pPr>
              <w:jc w:val="center"/>
              <w:spacing w:after="0"/>
              <w:rPr>
                <w:sz w:val="20"/>
                <w:szCs w:val="20"/>
                <w:color w:val="auto"/>
              </w:rPr>
            </w:pPr>
            <w:r>
              <w:rPr>
                <w:rFonts w:ascii="Arial" w:cs="Arial" w:eastAsia="Arial" w:hAnsi="Arial"/>
                <w:sz w:val="18"/>
                <w:szCs w:val="18"/>
                <w:color w:val="0000FF"/>
                <w:w w:val="91"/>
              </w:rPr>
              <w:t>1.56</w:t>
            </w:r>
          </w:p>
        </w:tc>
        <w:tc>
          <w:tcPr>
            <w:tcW w:w="880" w:type="dxa"/>
            <w:vAlign w:val="bottom"/>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Borders>
              <w:bottom w:val="single" w:sz="8" w:color="2C2C2C"/>
            </w:tcBorders>
          </w:tcPr>
          <w:p>
            <w:pPr>
              <w:spacing w:after="0"/>
              <w:rPr>
                <w:sz w:val="5"/>
                <w:szCs w:val="5"/>
                <w:color w:val="auto"/>
              </w:rPr>
            </w:pPr>
          </w:p>
        </w:tc>
        <w:tc>
          <w:tcPr>
            <w:tcW w:w="352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520" w:type="dxa"/>
            <w:vAlign w:val="bottom"/>
          </w:tcPr>
          <w:p>
            <w:pPr>
              <w:ind w:left="20"/>
              <w:spacing w:after="0"/>
              <w:rPr>
                <w:sz w:val="20"/>
                <w:szCs w:val="20"/>
                <w:color w:val="auto"/>
              </w:rPr>
            </w:pPr>
            <w:r>
              <w:rPr>
                <w:rFonts w:ascii="Arial" w:cs="Arial" w:eastAsia="Arial" w:hAnsi="Arial"/>
                <w:sz w:val="14"/>
                <w:szCs w:val="14"/>
                <w:b w:val="1"/>
                <w:bCs w:val="1"/>
                <w:color w:val="auto"/>
              </w:rPr>
              <w:t>Explanation of Responses:</w:t>
            </w:r>
          </w:p>
        </w:tc>
        <w:tc>
          <w:tcPr>
            <w:tcW w:w="9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30" w:lineRule="exact"/>
        <w:rPr>
          <w:sz w:val="24"/>
          <w:szCs w:val="24"/>
          <w:color w:val="auto"/>
        </w:rPr>
      </w:pPr>
    </w:p>
    <w:p>
      <w:pPr>
        <w:ind w:left="180" w:hanging="131"/>
        <w:spacing w:after="0"/>
        <w:tabs>
          <w:tab w:leader="none" w:pos="180"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Options vest monthly over a period of four years commencing 9/29/2016, with a twelve-month cliff of 25% of the shares.</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Options vest monthly over a period of three years commencing 11/9/2016.</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Options vest monthly over a period of three years commencing 4/26/2017, with a twelve-month cliff of 25% of the shares.</w:t>
      </w:r>
    </w:p>
    <w:p>
      <w:pPr>
        <w:spacing w:after="0" w:line="41" w:lineRule="exact"/>
        <w:rPr>
          <w:rFonts w:ascii="Arial" w:cs="Arial" w:eastAsia="Arial" w:hAnsi="Arial"/>
          <w:sz w:val="14"/>
          <w:szCs w:val="14"/>
          <w:color w:val="008000"/>
        </w:rPr>
      </w:pPr>
    </w:p>
    <w:p>
      <w:pPr>
        <w:ind w:left="40" w:right="140" w:firstLine="9"/>
        <w:spacing w:after="0" w:line="239" w:lineRule="auto"/>
        <w:tabs>
          <w:tab w:leader="none" w:pos="175"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1/3rd of the total number of shares shall be immediately vested upon the Vesting Start Date 9/19/2017 and 1/24th of the remaining number of shares shall vest monthly thereafter until all awarded shares are fully vested two (2) years from the Vesting Start Date.</w:t>
      </w:r>
    </w:p>
    <w:p>
      <w:pPr>
        <w:spacing w:after="0" w:line="37"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5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88"/>
              </w:rPr>
              <w:t>/s/ Jerrold D. Dotson,</w:t>
            </w:r>
          </w:p>
        </w:tc>
        <w:tc>
          <w:tcPr>
            <w:tcW w:w="600" w:type="dxa"/>
            <w:vAlign w:val="bottom"/>
          </w:tcPr>
          <w:p>
            <w:pPr>
              <w:spacing w:after="0"/>
              <w:rPr>
                <w:sz w:val="18"/>
                <w:szCs w:val="18"/>
                <w:color w:val="auto"/>
              </w:rPr>
            </w:pPr>
          </w:p>
        </w:tc>
        <w:tc>
          <w:tcPr>
            <w:tcW w:w="980" w:type="dxa"/>
            <w:vAlign w:val="bottom"/>
            <w:gridSpan w:val="2"/>
            <w:vMerge w:val="restart"/>
          </w:tcPr>
          <w:p>
            <w:pPr>
              <w:ind w:left="180"/>
              <w:spacing w:after="0"/>
              <w:rPr>
                <w:sz w:val="20"/>
                <w:szCs w:val="20"/>
                <w:color w:val="auto"/>
              </w:rPr>
            </w:pPr>
            <w:r>
              <w:rPr>
                <w:rFonts w:ascii="Arial" w:cs="Arial" w:eastAsia="Arial" w:hAnsi="Arial"/>
                <w:sz w:val="18"/>
                <w:szCs w:val="18"/>
                <w:color w:val="0000FF"/>
                <w:w w:val="86"/>
              </w:rPr>
              <w:t>09/20/2017</w:t>
            </w:r>
          </w:p>
        </w:tc>
        <w:tc>
          <w:tcPr>
            <w:tcW w:w="0" w:type="dxa"/>
            <w:vAlign w:val="bottom"/>
          </w:tcPr>
          <w:p>
            <w:pPr>
              <w:spacing w:after="0"/>
              <w:rPr>
                <w:sz w:val="1"/>
                <w:szCs w:val="1"/>
                <w:color w:val="auto"/>
              </w:rPr>
            </w:pPr>
          </w:p>
        </w:tc>
      </w:tr>
      <w:tr>
        <w:trPr>
          <w:trHeight w:val="88"/>
        </w:trPr>
        <w:tc>
          <w:tcPr>
            <w:tcW w:w="2120" w:type="dxa"/>
            <w:vAlign w:val="bottom"/>
            <w:gridSpan w:val="3"/>
            <w:vMerge w:val="restart"/>
          </w:tcPr>
          <w:p>
            <w:pPr>
              <w:spacing w:after="0" w:line="196" w:lineRule="exact"/>
              <w:rPr>
                <w:sz w:val="20"/>
                <w:szCs w:val="20"/>
                <w:color w:val="auto"/>
              </w:rPr>
            </w:pPr>
            <w:r>
              <w:rPr>
                <w:rFonts w:ascii="Arial" w:cs="Arial" w:eastAsia="Arial" w:hAnsi="Arial"/>
                <w:sz w:val="18"/>
                <w:szCs w:val="18"/>
                <w:color w:val="0000FF"/>
              </w:rPr>
              <w:t>Attorney-in-Fact</w:t>
            </w: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120" w:type="dxa"/>
            <w:vAlign w:val="bottom"/>
            <w:gridSpan w:val="3"/>
            <w:vMerge w:val="continue"/>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80" w:type="dxa"/>
            <w:vAlign w:val="bottom"/>
            <w:shd w:val="clear" w:color="auto" w:fill="000000"/>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5"/>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20"/>
          <w:szCs w:val="20"/>
          <w:b w:val="1"/>
          <w:bCs w:val="1"/>
          <w:color w:val="auto"/>
        </w:rPr>
        <w:t>POWER OF ATTORNEY</w:t>
      </w:r>
    </w:p>
    <w:p>
      <w:pPr>
        <w:spacing w:after="0" w:line="250"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color w:val="auto"/>
        </w:rPr>
        <w:t>Know all by these presents, that the undersigned hereby constitutes and appoints each of Shawn K. Singh and Jerrold D. Dotson, signing singly, the undersigned's true and lawful attorney-in-fact to:</w:t>
      </w:r>
    </w:p>
    <w:p>
      <w:pPr>
        <w:spacing w:after="0" w:line="204" w:lineRule="exact"/>
        <w:rPr>
          <w:sz w:val="20"/>
          <w:szCs w:val="20"/>
          <w:color w:val="auto"/>
        </w:rPr>
      </w:pPr>
    </w:p>
    <w:p>
      <w:pPr>
        <w:jc w:val="both"/>
        <w:ind w:firstLine="656"/>
        <w:spacing w:after="0" w:line="250" w:lineRule="auto"/>
        <w:tabs>
          <w:tab w:leader="none" w:pos="938" w:val="left"/>
        </w:tabs>
        <w:numPr>
          <w:ilvl w:val="0"/>
          <w:numId w:val="6"/>
        </w:numPr>
        <w:rPr>
          <w:rFonts w:ascii="Arial" w:cs="Arial" w:eastAsia="Arial" w:hAnsi="Arial"/>
          <w:sz w:val="20"/>
          <w:szCs w:val="20"/>
          <w:color w:val="auto"/>
        </w:rPr>
      </w:pPr>
      <w:r>
        <w:rPr>
          <w:rFonts w:ascii="Arial" w:cs="Arial" w:eastAsia="Arial" w:hAnsi="Arial"/>
          <w:sz w:val="20"/>
          <w:szCs w:val="20"/>
          <w:color w:val="auto"/>
        </w:rPr>
        <w:t>execute for and on behalf of the undersigned, in the undersigned's capacity as an officer and/or director of VistaGen Therapeutics, Inc. (the "</w:t>
      </w:r>
      <w:r>
        <w:rPr>
          <w:rFonts w:ascii="Arial" w:cs="Arial" w:eastAsia="Arial" w:hAnsi="Arial"/>
          <w:sz w:val="20"/>
          <w:szCs w:val="20"/>
          <w:b w:val="1"/>
          <w:bCs w:val="1"/>
          <w:i w:val="1"/>
          <w:iCs w:val="1"/>
          <w:color w:val="auto"/>
        </w:rPr>
        <w:t>Company</w:t>
      </w:r>
      <w:r>
        <w:rPr>
          <w:rFonts w:ascii="Arial" w:cs="Arial" w:eastAsia="Arial" w:hAnsi="Arial"/>
          <w:sz w:val="20"/>
          <w:szCs w:val="20"/>
          <w:color w:val="auto"/>
        </w:rPr>
        <w:t>"), Forms 3, 4 and 5 (including amendments thereto) in accordance with Section 16(a) of the Securities Exchange Act of 1934, and the rules and regulations thereunder;</w:t>
      </w:r>
    </w:p>
    <w:p>
      <w:pPr>
        <w:spacing w:after="0" w:line="213" w:lineRule="exact"/>
        <w:rPr>
          <w:rFonts w:ascii="Arial" w:cs="Arial" w:eastAsia="Arial" w:hAnsi="Arial"/>
          <w:sz w:val="20"/>
          <w:szCs w:val="20"/>
          <w:color w:val="auto"/>
        </w:rPr>
      </w:pPr>
    </w:p>
    <w:p>
      <w:pPr>
        <w:jc w:val="both"/>
        <w:ind w:right="20" w:firstLine="656"/>
        <w:spacing w:after="0" w:line="250" w:lineRule="auto"/>
        <w:tabs>
          <w:tab w:leader="none" w:pos="934" w:val="left"/>
        </w:tabs>
        <w:numPr>
          <w:ilvl w:val="0"/>
          <w:numId w:val="6"/>
        </w:numPr>
        <w:rPr>
          <w:rFonts w:ascii="Arial" w:cs="Arial" w:eastAsia="Arial" w:hAnsi="Arial"/>
          <w:sz w:val="20"/>
          <w:szCs w:val="20"/>
          <w:color w:val="auto"/>
        </w:rPr>
      </w:pPr>
      <w:r>
        <w:rPr>
          <w:rFonts w:ascii="Arial" w:cs="Arial" w:eastAsia="Arial" w:hAnsi="Arial"/>
          <w:sz w:val="20"/>
          <w:szCs w:val="20"/>
          <w:color w:val="auto"/>
        </w:rPr>
        <w:t>do and perform any and all acts for and on behalf of the undersigned which may be necessary or desirable to complete and execute any such Forms 3, 4 or 5 and timely file such forms (including amendments thereto) and application with the United States Securities and Exchange Commission and any stock exchange or similar authority; and</w:t>
      </w:r>
    </w:p>
    <w:p>
      <w:pPr>
        <w:spacing w:after="0" w:line="213" w:lineRule="exact"/>
        <w:rPr>
          <w:rFonts w:ascii="Arial" w:cs="Arial" w:eastAsia="Arial" w:hAnsi="Arial"/>
          <w:sz w:val="20"/>
          <w:szCs w:val="20"/>
          <w:color w:val="auto"/>
        </w:rPr>
      </w:pPr>
    </w:p>
    <w:p>
      <w:pPr>
        <w:jc w:val="both"/>
        <w:ind w:firstLine="656"/>
        <w:spacing w:after="0" w:line="246" w:lineRule="auto"/>
        <w:tabs>
          <w:tab w:leader="none" w:pos="939" w:val="left"/>
        </w:tabs>
        <w:numPr>
          <w:ilvl w:val="0"/>
          <w:numId w:val="6"/>
        </w:numPr>
        <w:rPr>
          <w:rFonts w:ascii="Arial" w:cs="Arial" w:eastAsia="Arial" w:hAnsi="Arial"/>
          <w:sz w:val="20"/>
          <w:szCs w:val="20"/>
          <w:color w:val="auto"/>
        </w:rPr>
      </w:pPr>
      <w:r>
        <w:rPr>
          <w:rFonts w:ascii="Arial" w:cs="Arial" w:eastAsia="Arial" w:hAnsi="Arial"/>
          <w:sz w:val="20"/>
          <w:szCs w:val="20"/>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219"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9"/>
          <w:szCs w:val="19"/>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Securities Exchange Act of 1934.</w:t>
      </w:r>
    </w:p>
    <w:p>
      <w:pPr>
        <w:spacing w:after="0" w:line="206"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The undersigned agrees that each such attorney-in-fact herein may rely entirely on information furnished orally or in writing by the undersigned to such attorney-in-fact. The undersigned also agrees to indemnify and hold harmless the Company and each such attorney-in-fact against any losses, claims, damages or liabilities (or actions in these respects) that arise out of or are based upon any untrue statements or omission of necessary facts in the information provided by the undersigned to such attorney-in fact for purposes of executing, acknowledging, delivering or filing Forms 3, 4 or 5 (including amendments thereto) and agrees to reimburse the Company and such attorney-in-fact for any legal or other expenses reasonably incurred in connection with investigating or defending against any such loss, claim, damage, liability or action.</w:t>
      </w:r>
    </w:p>
    <w:p>
      <w:pPr>
        <w:spacing w:after="0" w:line="220"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This Power of Attorney supersedes any power of attorney previously executed by the undersigned regarding the purposes outlined in the first paragraph hereof ("</w:t>
      </w:r>
      <w:r>
        <w:rPr>
          <w:rFonts w:ascii="Arial" w:cs="Arial" w:eastAsia="Arial" w:hAnsi="Arial"/>
          <w:sz w:val="20"/>
          <w:szCs w:val="20"/>
          <w:b w:val="1"/>
          <w:bCs w:val="1"/>
          <w:i w:val="1"/>
          <w:iCs w:val="1"/>
          <w:color w:val="auto"/>
        </w:rPr>
        <w:t>Prior Powers of Attorney</w:t>
      </w:r>
      <w:r>
        <w:rPr>
          <w:rFonts w:ascii="Arial" w:cs="Arial" w:eastAsia="Arial" w:hAnsi="Arial"/>
          <w:sz w:val="20"/>
          <w:szCs w:val="20"/>
          <w:color w:val="auto"/>
        </w:rPr>
        <w:t>"), and the authority of the attorneys-in-fact named in any Prior Powers of Attorney is hereby revoked. This Power of Attorney shall remain in full force and effect until the undersigned is no longer required to file Forms 3, 4 or 5 with respect to the undersigned's holdings of and transactions in securities issued by the Company, unless earlier (a) revoked by the undersigned in a signed writing delivered to the foregoing attorneys-in-fact or (b) superseded by a new power of attorney regarding the purposes outlined in the first paragraph hereof dated as of a later date.</w:t>
      </w:r>
    </w:p>
    <w:p>
      <w:pPr>
        <w:spacing w:after="0" w:line="22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WITNESS WHEREOF, the undersigned has caused this Power of Attorney to be executed as of this 19th day of September 2017.</w:t>
      </w:r>
    </w:p>
    <w:p>
      <w:pPr>
        <w:spacing w:after="0" w:line="266"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/s/ Mark A. McPartland</w:t>
      </w:r>
    </w:p>
    <w:p>
      <w:pPr>
        <w:spacing w:after="0" w:line="15" w:lineRule="exact"/>
        <w:rPr>
          <w:sz w:val="20"/>
          <w:szCs w:val="20"/>
          <w:color w:val="auto"/>
        </w:rPr>
      </w:pPr>
    </w:p>
    <w:p>
      <w:pPr>
        <w:ind w:left="3900"/>
        <w:spacing w:after="0"/>
        <w:rPr>
          <w:sz w:val="20"/>
          <w:szCs w:val="20"/>
          <w:color w:val="auto"/>
        </w:rPr>
      </w:pPr>
      <w:r>
        <w:rPr>
          <w:rFonts w:ascii="Arial" w:cs="Arial" w:eastAsia="Arial" w:hAnsi="Arial"/>
          <w:sz w:val="20"/>
          <w:szCs w:val="20"/>
          <w:u w:val="single" w:color="auto"/>
          <w:color w:val="auto"/>
        </w:rPr>
        <w:t>_______________________</w:t>
      </w:r>
    </w:p>
    <w:p>
      <w:pPr>
        <w:ind w:left="3900"/>
        <w:spacing w:after="0"/>
        <w:rPr>
          <w:sz w:val="20"/>
          <w:szCs w:val="20"/>
          <w:color w:val="auto"/>
        </w:rPr>
      </w:pPr>
      <w:r>
        <w:rPr>
          <w:rFonts w:ascii="Arial" w:cs="Arial" w:eastAsia="Arial" w:hAnsi="Arial"/>
          <w:sz w:val="20"/>
          <w:szCs w:val="20"/>
          <w:color w:val="auto"/>
        </w:rPr>
        <w:t>Mark A. McPartland</w:t>
      </w:r>
    </w:p>
    <w:sectPr>
      <w:pgSz w:w="11900" w:h="16838" w:orient="portrait"/>
      <w:cols w:equalWidth="0" w:num="1">
        <w:col w:w="11420"/>
      </w:cols>
      <w:pgMar w:left="240" w:top="11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4"/>
    </w:lvl>
  </w:abstractNum>
  <w:abstractNum w:abstractNumId="1">
    <w:nsid w:val="625558EC"/>
    <w:multiLevelType w:val="hybridMultilevel"/>
    <w:lvl w:ilvl="0">
      <w:lvlJc w:val="left"/>
      <w:lvlText w:val="%1."/>
      <w:numFmt w:val="decimal"/>
      <w:start w:val="5"/>
    </w:lvl>
  </w:abstractNum>
  <w:abstractNum w:abstractNumId="2">
    <w:nsid w:val="238E1F29"/>
    <w:multiLevelType w:val="hybridMultilevel"/>
    <w:lvl w:ilvl="0">
      <w:lvlJc w:val="left"/>
      <w:lvlText w:val="X"/>
      <w:numFmt w:val="bullet"/>
      <w:start w:val="1"/>
    </w:lvl>
  </w:abstractNum>
  <w:abstractNum w:abstractNumId="3">
    <w:nsid w:val="46E87CCD"/>
    <w:multiLevelType w:val="hybridMultilevel"/>
    <w:lvl w:ilvl="0">
      <w:lvlJc w:val="left"/>
      <w:lvlText w:val="%1."/>
      <w:numFmt w:val="decimal"/>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hyperlink" Target="http://www.sec.gov/cgi-bin/browse-edgar?action=getcompany&amp;CIK=0001620140" TargetMode="External"/><Relationship Id="rId12" Type="http://schemas.openxmlformats.org/officeDocument/2006/relationships/hyperlink" Target="http://www.sec.gov/cgi-bin/browse-edgar?action=getcompany&amp;CIK=000141168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2020-01-16T04:50:30Z</dcterms:created>
  <dcterms:modified xsi:type="dcterms:W3CDTF">2020-01-16T04:50:30Z</dcterms:modified>
</cp:coreProperties>
</file>