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ind w:left="4640"/>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ind w:left="4540"/>
        <w:spacing w:after="0"/>
        <w:rPr>
          <w:sz w:val="20"/>
          <w:szCs w:val="20"/>
          <w:color w:val="auto"/>
        </w:rPr>
      </w:pPr>
      <w:r>
        <w:rPr>
          <w:rFonts w:ascii="Arial" w:cs="Arial" w:eastAsia="Arial" w:hAnsi="Arial"/>
          <w:sz w:val="32"/>
          <w:szCs w:val="32"/>
          <w:color w:val="auto"/>
        </w:rPr>
        <w:t>SCHEDULE 13G</w:t>
      </w:r>
    </w:p>
    <w:p>
      <w:pPr>
        <w:spacing w:after="0" w:line="25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(Amendment No. 1)</w:t>
      </w:r>
    </w:p>
    <w:p>
      <w:pPr>
        <w:spacing w:after="0" w:line="209" w:lineRule="exact"/>
        <w:rPr>
          <w:sz w:val="24"/>
          <w:szCs w:val="24"/>
          <w:color w:val="auto"/>
        </w:rPr>
      </w:pPr>
    </w:p>
    <w:p>
      <w:pPr>
        <w:jc w:val="center"/>
        <w:ind w:right="-1200"/>
        <w:spacing w:after="0"/>
        <w:rPr>
          <w:sz w:val="20"/>
          <w:szCs w:val="20"/>
          <w:color w:val="auto"/>
        </w:rPr>
      </w:pPr>
      <w:r>
        <w:rPr>
          <w:rFonts w:ascii="Arial" w:cs="Arial" w:eastAsia="Arial" w:hAnsi="Arial"/>
          <w:sz w:val="39"/>
          <w:szCs w:val="39"/>
          <w:b w:val="1"/>
          <w:bCs w:val="1"/>
          <w:u w:val="single" w:color="auto"/>
          <w:color w:val="auto"/>
        </w:rPr>
        <w:t>VistaGen Therapeutics, Inc.</w:t>
      </w:r>
    </w:p>
    <w:p>
      <w:pPr>
        <w:spacing w:after="0" w:line="96"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Issuer)</w:t>
      </w:r>
    </w:p>
    <w:p>
      <w:pPr>
        <w:spacing w:after="0" w:line="2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Common Stock, par value $0.001</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92840H103</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December 31, 2011</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right="8879" w:firstLine="8"/>
        <w:spacing w:after="0" w:line="291" w:lineRule="auto"/>
        <w:tabs>
          <w:tab w:leader="none" w:pos="3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1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92840H103</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Names of Reporting Persons.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Long Term Growth VII, LLC</w:t>
      </w:r>
    </w:p>
    <w:p>
      <w:pPr>
        <w:spacing w:after="0" w:line="256"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o</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1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880" w:type="dxa"/>
            <w:vAlign w:val="bottom"/>
          </w:tcPr>
          <w:p>
            <w:pPr>
              <w:spacing w:after="0"/>
              <w:rPr>
                <w:sz w:val="20"/>
                <w:szCs w:val="20"/>
                <w:color w:val="auto"/>
              </w:rPr>
            </w:pPr>
            <w:r>
              <w:rPr>
                <w:rFonts w:ascii="Arial" w:cs="Arial" w:eastAsia="Arial" w:hAnsi="Arial"/>
                <w:sz w:val="18"/>
                <w:szCs w:val="18"/>
                <w:color w:val="auto"/>
              </w:rPr>
              <w:t>Number of</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2520" w:type="dxa"/>
            <w:vAlign w:val="bottom"/>
          </w:tcPr>
          <w:p>
            <w:pPr>
              <w:ind w:left="20"/>
              <w:spacing w:after="0"/>
              <w:rPr>
                <w:sz w:val="20"/>
                <w:szCs w:val="20"/>
                <w:color w:val="auto"/>
              </w:rPr>
            </w:pPr>
            <w:r>
              <w:rPr>
                <w:rFonts w:ascii="Arial" w:cs="Arial" w:eastAsia="Arial" w:hAnsi="Arial"/>
                <w:sz w:val="18"/>
                <w:szCs w:val="18"/>
                <w:color w:val="auto"/>
              </w:rPr>
              <w:t xml:space="preserve">Sole Voting Power: </w:t>
            </w:r>
            <w:r>
              <w:rPr>
                <w:rFonts w:ascii="Arial" w:cs="Arial" w:eastAsia="Arial" w:hAnsi="Arial"/>
                <w:sz w:val="18"/>
                <w:szCs w:val="18"/>
                <w:b w:val="1"/>
                <w:bCs w:val="1"/>
                <w:color w:val="auto"/>
              </w:rPr>
              <w:t>1,558,862</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Shares</w:t>
            </w:r>
          </w:p>
        </w:tc>
        <w:tc>
          <w:tcPr>
            <w:tcW w:w="1220" w:type="dxa"/>
            <w:vAlign w:val="bottom"/>
          </w:tcPr>
          <w:p>
            <w:pPr>
              <w:spacing w:after="0"/>
              <w:rPr>
                <w:sz w:val="18"/>
                <w:szCs w:val="18"/>
                <w:color w:val="auto"/>
              </w:rPr>
            </w:pPr>
          </w:p>
        </w:tc>
        <w:tc>
          <w:tcPr>
            <w:tcW w:w="2520" w:type="dxa"/>
            <w:vAlign w:val="bottom"/>
            <w:vMerge w:val="restart"/>
          </w:tcPr>
          <w:p>
            <w:pPr>
              <w:ind w:left="20"/>
              <w:spacing w:after="0"/>
              <w:rPr>
                <w:sz w:val="20"/>
                <w:szCs w:val="20"/>
                <w:color w:val="auto"/>
              </w:rPr>
            </w:pPr>
            <w:r>
              <w:rPr>
                <w:rFonts w:ascii="Arial" w:cs="Arial" w:eastAsia="Arial" w:hAnsi="Arial"/>
                <w:sz w:val="18"/>
                <w:szCs w:val="18"/>
                <w:color w:val="auto"/>
              </w:rPr>
              <w:t xml:space="preserve">Shared Voting Power: </w:t>
            </w: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Beneficially</w:t>
            </w: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Owned by</w:t>
            </w:r>
          </w:p>
        </w:tc>
        <w:tc>
          <w:tcPr>
            <w:tcW w:w="1220" w:type="dxa"/>
            <w:vAlign w:val="bottom"/>
          </w:tcPr>
          <w:p>
            <w:pPr>
              <w:spacing w:after="0"/>
              <w:rPr>
                <w:sz w:val="18"/>
                <w:szCs w:val="18"/>
                <w:color w:val="auto"/>
              </w:rPr>
            </w:pPr>
          </w:p>
        </w:tc>
        <w:tc>
          <w:tcPr>
            <w:tcW w:w="2520" w:type="dxa"/>
            <w:vAlign w:val="bottom"/>
            <w:vMerge w:val="restart"/>
          </w:tcPr>
          <w:p>
            <w:pPr>
              <w:ind w:left="20"/>
              <w:spacing w:after="0"/>
              <w:rPr>
                <w:sz w:val="20"/>
                <w:szCs w:val="20"/>
                <w:color w:val="auto"/>
              </w:rPr>
            </w:pPr>
            <w:r>
              <w:rPr>
                <w:rFonts w:ascii="Arial" w:cs="Arial" w:eastAsia="Arial" w:hAnsi="Arial"/>
                <w:sz w:val="18"/>
                <w:szCs w:val="18"/>
                <w:color w:val="auto"/>
                <w:w w:val="90"/>
              </w:rPr>
              <w:t xml:space="preserve">Sole Dispositive Power: </w:t>
            </w:r>
            <w:r>
              <w:rPr>
                <w:rFonts w:ascii="Arial" w:cs="Arial" w:eastAsia="Arial" w:hAnsi="Arial"/>
                <w:sz w:val="18"/>
                <w:szCs w:val="18"/>
                <w:b w:val="1"/>
                <w:bCs w:val="1"/>
                <w:color w:val="auto"/>
                <w:w w:val="90"/>
              </w:rPr>
              <w:t>1,558,862</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Each</w:t>
            </w: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Reporting</w:t>
            </w:r>
          </w:p>
        </w:tc>
        <w:tc>
          <w:tcPr>
            <w:tcW w:w="1220" w:type="dxa"/>
            <w:vAlign w:val="bottom"/>
          </w:tcPr>
          <w:p>
            <w:pPr>
              <w:spacing w:after="0"/>
              <w:rPr>
                <w:sz w:val="18"/>
                <w:szCs w:val="18"/>
                <w:color w:val="auto"/>
              </w:rPr>
            </w:pPr>
          </w:p>
        </w:tc>
        <w:tc>
          <w:tcPr>
            <w:tcW w:w="2520" w:type="dxa"/>
            <w:vAlign w:val="bottom"/>
            <w:vMerge w:val="restart"/>
          </w:tcPr>
          <w:p>
            <w:pPr>
              <w:ind w:left="20"/>
              <w:spacing w:after="0"/>
              <w:rPr>
                <w:sz w:val="20"/>
                <w:szCs w:val="20"/>
                <w:color w:val="auto"/>
              </w:rPr>
            </w:pPr>
            <w:r>
              <w:rPr>
                <w:rFonts w:ascii="Arial" w:cs="Arial" w:eastAsia="Arial" w:hAnsi="Arial"/>
                <w:sz w:val="18"/>
                <w:szCs w:val="18"/>
                <w:color w:val="auto"/>
              </w:rPr>
              <w:t xml:space="preserve">Shared Dispositive Power: </w:t>
            </w: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Person With</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  Aggregate Amount Beneficially Owned by Each Reporting Person.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1,558,862 shares of Common Stock. See Item 4.</w:t>
      </w:r>
    </w:p>
    <w:p>
      <w:pPr>
        <w:spacing w:after="0" w:line="25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w:t>
      </w:r>
      <w:r>
        <w:rPr>
          <w:rFonts w:ascii="Arial" w:cs="Arial" w:eastAsia="Arial" w:hAnsi="Arial"/>
          <w:sz w:val="16"/>
          <w:szCs w:val="16"/>
          <w:b w:val="1"/>
          <w:bCs w:val="1"/>
          <w:color w:val="auto"/>
        </w:rPr>
        <w:t>X</w:t>
      </w:r>
      <w:r>
        <w:rPr>
          <w:rFonts w:ascii="Arial" w:cs="Arial" w:eastAsia="Arial" w:hAnsi="Arial"/>
          <w:sz w:val="16"/>
          <w:szCs w:val="16"/>
          <w:color w:val="auto"/>
        </w:rPr>
        <w:t xml:space="preserve">] </w:t>
      </w:r>
      <w:r>
        <w:rPr>
          <w:rFonts w:ascii="Arial" w:cs="Arial" w:eastAsia="Arial" w:hAnsi="Arial"/>
          <w:sz w:val="16"/>
          <w:szCs w:val="16"/>
          <w:b w:val="1"/>
          <w:bCs w:val="1"/>
          <w:color w:val="auto"/>
        </w:rPr>
        <w:t>See Item 4.</w:t>
      </w:r>
    </w:p>
    <w:p>
      <w:pPr>
        <w:spacing w:after="0" w:line="279"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(12) Type of Reporting Person (See Instructions).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OO</w:t>
      </w:r>
    </w:p>
    <w:p>
      <w:pPr>
        <w:spacing w:after="0" w:line="400"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 Name of Issuer.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Therapeutics,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  Address of Issuer's Principal Executive Offices.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384 Oyster Point Blvd., No. 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San Francisco, CA 94080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 Name of Person Filing.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Long Term Growth VII,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  Address or Principal Business Office or, if none, Residence.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152 West 57</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Street, 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Floor</w:t>
      </w:r>
    </w:p>
    <w:p>
      <w:pPr>
        <w:spacing w:after="0"/>
        <w:rPr>
          <w:sz w:val="20"/>
          <w:szCs w:val="20"/>
          <w:color w:val="auto"/>
        </w:rPr>
      </w:pPr>
      <w:r>
        <w:rPr>
          <w:rFonts w:ascii="Arial" w:cs="Arial" w:eastAsia="Arial" w:hAnsi="Arial"/>
          <w:sz w:val="18"/>
          <w:szCs w:val="18"/>
          <w:b w:val="1"/>
          <w:bCs w:val="1"/>
          <w:color w:val="auto"/>
        </w:rPr>
        <w:t>New York, NY 10019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  Citizenship or Place of Organization.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of Delaware</w:t>
      </w:r>
    </w:p>
    <w:p>
      <w:pPr>
        <w:spacing w:after="0" w:line="25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Title of Class of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5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CUSIP No.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92840H103</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Rules 13d-1(b), or 13d-2(b) or (c), check whether the person filing is a:</w:t>
      </w:r>
    </w:p>
    <w:p>
      <w:pPr>
        <w:spacing w:after="0" w:line="252" w:lineRule="exact"/>
        <w:rPr>
          <w:sz w:val="20"/>
          <w:szCs w:val="20"/>
          <w:color w:val="auto"/>
        </w:rPr>
      </w:pPr>
    </w:p>
    <w:p>
      <w:pPr>
        <w:ind w:left="660" w:hanging="2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w:t>
      </w:r>
    </w:p>
    <w:p>
      <w:pPr>
        <w:spacing w:after="0" w:line="23" w:lineRule="exact"/>
        <w:rPr>
          <w:rFonts w:ascii="Arial" w:cs="Arial" w:eastAsia="Arial" w:hAnsi="Arial"/>
          <w:sz w:val="18"/>
          <w:szCs w:val="18"/>
          <w:color w:val="auto"/>
        </w:rPr>
      </w:pPr>
    </w:p>
    <w:p>
      <w:pPr>
        <w:ind w:left="660" w:hanging="27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Bank as defined in Section 3(a)(6) of the Act.</w:t>
      </w:r>
    </w:p>
    <w:p>
      <w:pPr>
        <w:spacing w:after="0" w:line="9" w:lineRule="exact"/>
        <w:rPr>
          <w:rFonts w:ascii="Arial" w:cs="Arial" w:eastAsia="Arial" w:hAnsi="Arial"/>
          <w:sz w:val="18"/>
          <w:szCs w:val="18"/>
          <w:color w:val="auto"/>
        </w:rPr>
      </w:pPr>
    </w:p>
    <w:p>
      <w:pPr>
        <w:ind w:left="660" w:hanging="2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w:t>
      </w:r>
    </w:p>
    <w:p>
      <w:pPr>
        <w:spacing w:after="0" w:line="9" w:lineRule="exact"/>
        <w:rPr>
          <w:rFonts w:ascii="Arial" w:cs="Arial" w:eastAsia="Arial" w:hAnsi="Arial"/>
          <w:sz w:val="18"/>
          <w:szCs w:val="18"/>
          <w:color w:val="auto"/>
        </w:rPr>
      </w:pPr>
    </w:p>
    <w:p>
      <w:pPr>
        <w:ind w:left="660" w:hanging="27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w:t>
      </w:r>
    </w:p>
    <w:p>
      <w:pPr>
        <w:spacing w:after="0" w:line="9" w:lineRule="exact"/>
        <w:rPr>
          <w:rFonts w:ascii="Arial" w:cs="Arial" w:eastAsia="Arial" w:hAnsi="Arial"/>
          <w:sz w:val="18"/>
          <w:szCs w:val="18"/>
          <w:color w:val="auto"/>
        </w:rPr>
      </w:pPr>
    </w:p>
    <w:p>
      <w:pPr>
        <w:ind w:left="660" w:hanging="2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9" w:lineRule="exact"/>
        <w:rPr>
          <w:rFonts w:ascii="Arial" w:cs="Arial" w:eastAsia="Arial" w:hAnsi="Arial"/>
          <w:sz w:val="18"/>
          <w:szCs w:val="18"/>
          <w:color w:val="auto"/>
        </w:rPr>
      </w:pPr>
    </w:p>
    <w:p>
      <w:pPr>
        <w:ind w:left="660" w:hanging="25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9" w:lineRule="exact"/>
        <w:rPr>
          <w:rFonts w:ascii="Arial" w:cs="Arial" w:eastAsia="Arial" w:hAnsi="Arial"/>
          <w:sz w:val="18"/>
          <w:szCs w:val="18"/>
          <w:color w:val="auto"/>
        </w:rPr>
      </w:pPr>
    </w:p>
    <w:p>
      <w:pPr>
        <w:ind w:left="660" w:hanging="27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382"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90" w:right="1440" w:bottom="1440" w:gutter="0" w:footer="0" w:header="0"/>
        </w:sectPr>
      </w:pPr>
    </w:p>
    <w:bookmarkStart w:id="3" w:name="page4"/>
    <w:bookmarkEnd w:id="3"/>
    <w:p>
      <w:pPr>
        <w:ind w:left="380"/>
        <w:spacing w:after="0"/>
        <w:rPr>
          <w:sz w:val="20"/>
          <w:szCs w:val="20"/>
          <w:color w:val="auto"/>
        </w:rPr>
      </w:pPr>
      <w:r>
        <w:rPr>
          <w:rFonts w:ascii="Arial" w:cs="Arial" w:eastAsia="Arial" w:hAnsi="Arial"/>
          <w:sz w:val="18"/>
          <w:szCs w:val="18"/>
          <w:color w:val="auto"/>
        </w:rPr>
        <w:t>(h) o A savings association as defined in Section 3(b) of the Federal Deposit Insurance Act (12 U.S.C. 1813);</w:t>
      </w:r>
    </w:p>
    <w:p>
      <w:pPr>
        <w:spacing w:after="0" w:line="23" w:lineRule="exact"/>
        <w:rPr>
          <w:sz w:val="20"/>
          <w:szCs w:val="20"/>
          <w:color w:val="auto"/>
        </w:rPr>
      </w:pPr>
    </w:p>
    <w:p>
      <w:pPr>
        <w:ind w:left="660" w:hanging="251"/>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 A church plan that is excluded from the definition of an investment company under section 3(c)(14) of the Investment Company Act of 1940;</w:t>
      </w:r>
    </w:p>
    <w:p>
      <w:pPr>
        <w:spacing w:after="0" w:line="20" w:lineRule="exact"/>
        <w:rPr>
          <w:rFonts w:ascii="Arial" w:cs="Arial" w:eastAsia="Arial" w:hAnsi="Arial"/>
          <w:sz w:val="17"/>
          <w:szCs w:val="17"/>
          <w:color w:val="auto"/>
        </w:rPr>
      </w:pPr>
    </w:p>
    <w:p>
      <w:pPr>
        <w:ind w:left="660" w:hanging="25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Group, in accordance with Rule 13d-1(b)(1)(ii)(J).</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Long Term Growth VII, LLC</w:t>
      </w:r>
    </w:p>
    <w:p>
      <w:pPr>
        <w:spacing w:after="0" w:line="252" w:lineRule="exact"/>
        <w:rPr>
          <w:sz w:val="20"/>
          <w:szCs w:val="20"/>
          <w:color w:val="auto"/>
        </w:rPr>
      </w:pPr>
    </w:p>
    <w:p>
      <w:pPr>
        <w:ind w:left="340" w:hanging="8"/>
        <w:spacing w:after="0" w:line="255" w:lineRule="auto"/>
        <w:tabs>
          <w:tab w:leader="none" w:pos="58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w:t>
      </w:r>
      <w:r>
        <w:rPr>
          <w:rFonts w:ascii="Arial" w:cs="Arial" w:eastAsia="Arial" w:hAnsi="Arial"/>
          <w:sz w:val="18"/>
          <w:szCs w:val="18"/>
          <w:b w:val="1"/>
          <w:bCs w:val="1"/>
          <w:color w:val="auto"/>
        </w:rPr>
        <w:t>1,558,862 shares of Common Stock. As of December 31, 2011, the number of shares beneficially owned includes</w:t>
      </w:r>
      <w:r>
        <w:rPr>
          <w:rFonts w:ascii="Arial" w:cs="Arial" w:eastAsia="Arial" w:hAnsi="Arial"/>
          <w:sz w:val="18"/>
          <w:szCs w:val="18"/>
          <w:color w:val="auto"/>
        </w:rPr>
        <w:t xml:space="preserve"> </w:t>
      </w:r>
      <w:r>
        <w:rPr>
          <w:rFonts w:ascii="Arial" w:cs="Arial" w:eastAsia="Arial" w:hAnsi="Arial"/>
          <w:sz w:val="18"/>
          <w:szCs w:val="18"/>
          <w:b w:val="1"/>
          <w:bCs w:val="1"/>
          <w:color w:val="auto"/>
        </w:rPr>
        <w:t>1,558,862 shares of common stock owned by the Reporting Person. The number of shares beneficially owned excludes 4,370,550 shares of Common Stock that may be acquired by the Reporting Person upon conversion of 437,055 shares of Series A Convertible Preferred Stock. The Certificate of Designation establishing the Series A Convertible Preferred Stock provides a limitation on conversion such that the number of shares of Common Stock that may be acquired by the holder upon conversion of the Series A Convertible Preferred Stock is limited to the extent necessary to ensure that, following such exercise, the total number of shares of Common Stock then beneficially owned by the holder does not exceed 9.99% of the total number of issued and outstanding shares of Common Stock of the Issuer without providing the Issuer with 61 days’ prior notice thereof.</w:t>
      </w:r>
    </w:p>
    <w:p>
      <w:pPr>
        <w:spacing w:after="0" w:line="212" w:lineRule="exact"/>
        <w:rPr>
          <w:rFonts w:ascii="Arial" w:cs="Arial" w:eastAsia="Arial" w:hAnsi="Arial"/>
          <w:sz w:val="18"/>
          <w:szCs w:val="18"/>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9.9%</w:t>
      </w:r>
    </w:p>
    <w:p>
      <w:pPr>
        <w:spacing w:after="0" w:line="256" w:lineRule="exact"/>
        <w:rPr>
          <w:rFonts w:ascii="Arial" w:cs="Arial" w:eastAsia="Arial" w:hAnsi="Arial"/>
          <w:sz w:val="18"/>
          <w:szCs w:val="18"/>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3" w:lineRule="exact"/>
        <w:rPr>
          <w:rFonts w:ascii="Arial" w:cs="Arial" w:eastAsia="Arial" w:hAnsi="Arial"/>
          <w:sz w:val="18"/>
          <w:szCs w:val="18"/>
          <w:color w:val="auto"/>
        </w:rPr>
      </w:pPr>
    </w:p>
    <w:p>
      <w:pPr>
        <w:ind w:left="1140" w:hanging="348"/>
        <w:spacing w:after="0"/>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w:t>
      </w:r>
      <w:r>
        <w:rPr>
          <w:rFonts w:ascii="Arial" w:cs="Arial" w:eastAsia="Arial" w:hAnsi="Arial"/>
          <w:sz w:val="18"/>
          <w:szCs w:val="18"/>
          <w:b w:val="1"/>
          <w:bCs w:val="1"/>
          <w:color w:val="auto"/>
        </w:rPr>
        <w:t>1,558,862</w:t>
      </w:r>
    </w:p>
    <w:p>
      <w:pPr>
        <w:spacing w:after="0" w:line="9" w:lineRule="exact"/>
        <w:rPr>
          <w:rFonts w:ascii="Arial" w:cs="Arial" w:eastAsia="Arial" w:hAnsi="Arial"/>
          <w:sz w:val="18"/>
          <w:szCs w:val="18"/>
          <w:color w:val="auto"/>
        </w:rPr>
      </w:pPr>
    </w:p>
    <w:p>
      <w:pPr>
        <w:ind w:left="1140" w:hanging="351"/>
        <w:spacing w:after="0"/>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0</w:t>
      </w:r>
    </w:p>
    <w:p>
      <w:pPr>
        <w:spacing w:after="0" w:line="9" w:lineRule="exact"/>
        <w:rPr>
          <w:rFonts w:ascii="Arial" w:cs="Arial" w:eastAsia="Arial" w:hAnsi="Arial"/>
          <w:sz w:val="18"/>
          <w:szCs w:val="18"/>
          <w:color w:val="auto"/>
        </w:rPr>
      </w:pPr>
    </w:p>
    <w:p>
      <w:pPr>
        <w:ind w:left="1140" w:hanging="344"/>
        <w:spacing w:after="0"/>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w:t>
      </w:r>
      <w:r>
        <w:rPr>
          <w:rFonts w:ascii="Arial" w:cs="Arial" w:eastAsia="Arial" w:hAnsi="Arial"/>
          <w:sz w:val="18"/>
          <w:szCs w:val="18"/>
          <w:b w:val="1"/>
          <w:bCs w:val="1"/>
          <w:color w:val="auto"/>
        </w:rPr>
        <w:t>1,558,862</w:t>
      </w:r>
    </w:p>
    <w:p>
      <w:pPr>
        <w:spacing w:after="0" w:line="9" w:lineRule="exact"/>
        <w:rPr>
          <w:rFonts w:ascii="Arial" w:cs="Arial" w:eastAsia="Arial" w:hAnsi="Arial"/>
          <w:sz w:val="18"/>
          <w:szCs w:val="18"/>
          <w:color w:val="auto"/>
        </w:rPr>
      </w:pPr>
    </w:p>
    <w:p>
      <w:pPr>
        <w:ind w:left="1140" w:hanging="325"/>
        <w:spacing w:after="0"/>
        <w:tabs>
          <w:tab w:leader="none" w:pos="1140" w:val="left"/>
        </w:tabs>
        <w:numPr>
          <w:ilvl w:val="2"/>
          <w:numId w:val="6"/>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0</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o.</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5 Percent on Behalf of Another Person.</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 </w:t>
      </w:r>
      <w:r>
        <w:rPr>
          <w:rFonts w:ascii="Arial" w:cs="Arial" w:eastAsia="Arial" w:hAnsi="Arial"/>
          <w:sz w:val="18"/>
          <w:szCs w:val="18"/>
          <w:b w:val="1"/>
          <w:bCs w:val="1"/>
          <w:color w:val="auto"/>
        </w:rPr>
        <w:t>N/A</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ind w:left="660" w:right="360" w:hanging="647"/>
        <w:spacing w:after="0" w:line="277" w:lineRule="auto"/>
        <w:tabs>
          <w:tab w:leader="none" w:pos="640" w:val="left"/>
        </w:tabs>
        <w:rPr>
          <w:sz w:val="20"/>
          <w:szCs w:val="20"/>
          <w:color w:val="auto"/>
        </w:rPr>
      </w:pPr>
      <w:r>
        <w:rPr>
          <w:rFonts w:ascii="Arial" w:cs="Arial" w:eastAsia="Arial" w:hAnsi="Arial"/>
          <w:sz w:val="18"/>
          <w:szCs w:val="18"/>
          <w:color w:val="auto"/>
        </w:rPr>
        <w:t>Item 7.</w:t>
        <w:tab/>
        <w:t>Identification and Classification of the Subsidiary Which Acquired the Security Being Reported on By the Parent Holding Company or Control Person..</w:t>
      </w:r>
    </w:p>
    <w:p>
      <w:pPr>
        <w:spacing w:after="0" w:line="19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 </w:t>
      </w:r>
      <w:r>
        <w:rPr>
          <w:rFonts w:ascii="Arial" w:cs="Arial" w:eastAsia="Arial" w:hAnsi="Arial"/>
          <w:sz w:val="18"/>
          <w:szCs w:val="18"/>
          <w:b w:val="1"/>
          <w:bCs w:val="1"/>
          <w:color w:val="auto"/>
        </w:rPr>
        <w:t>N/A</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If a group has filed this schedule pursuant to Rule 13d-1(b)(1)(ii)(J), so indicate under Item 3(j) and attach an exhibit stating the identity and Item 3 classification of each member of the group. If a group has filed this schedule pursuant to Rule 13d-1(c) or Rule 13d-1(d), attach an exhibit stating the identity of each member of the group. </w:t>
      </w:r>
      <w:r>
        <w:rPr>
          <w:rFonts w:ascii="Arial" w:cs="Arial" w:eastAsia="Arial" w:hAnsi="Arial"/>
          <w:sz w:val="18"/>
          <w:szCs w:val="18"/>
          <w:b w:val="1"/>
          <w:bCs w:val="1"/>
          <w:color w:val="auto"/>
        </w:rPr>
        <w:t>N/A</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w:t>
      </w:r>
      <w:r>
        <w:rPr>
          <w:rFonts w:ascii="Arial" w:cs="Arial" w:eastAsia="Arial" w:hAnsi="Arial"/>
          <w:sz w:val="18"/>
          <w:szCs w:val="18"/>
          <w:b w:val="1"/>
          <w:bCs w:val="1"/>
          <w:color w:val="auto"/>
        </w:rPr>
        <w:t>N/A</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Certifications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3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11,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LONG TERM GROWTH VII,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OLIVER JIMENEZ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Oliver Jimenez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Compliance Officer</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240" w:top="51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10"/>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9"/>
    </w:lvl>
  </w:abstractNum>
  <w:abstractNum w:abstractNumId="5">
    <w:nsid w:val="507ED7A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2020-02-21T07:18:17Z</dcterms:created>
  <dcterms:modified xsi:type="dcterms:W3CDTF">2020-02-21T07:18:17Z</dcterms:modified>
</cp:coreProperties>
</file>