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154940</wp:posOffset>
            </wp:positionV>
            <wp:extent cx="30016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168910</wp:posOffset>
            </wp:positionV>
            <wp:extent cx="3001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1)*</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60" w:right="9100" w:hanging="6"/>
        <w:spacing w:after="0" w:line="251" w:lineRule="exact"/>
        <w:tabs>
          <w:tab w:leader="none" w:pos="103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6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240" w:top="306"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6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92840H202</w:t>
            </w:r>
          </w:p>
        </w:tc>
        <w:tc>
          <w:tcPr>
            <w:tcW w:w="6420" w:type="dxa"/>
            <w:vAlign w:val="bottom"/>
          </w:tcPr>
          <w:p>
            <w:pPr>
              <w:ind w:left="3620"/>
              <w:spacing w:after="0"/>
              <w:rPr>
                <w:sz w:val="20"/>
                <w:szCs w:val="20"/>
                <w:color w:val="auto"/>
              </w:rPr>
            </w:pPr>
            <w:r>
              <w:rPr>
                <w:rFonts w:ascii="Arial" w:cs="Arial" w:eastAsia="Arial" w:hAnsi="Arial"/>
                <w:sz w:val="18"/>
                <w:szCs w:val="18"/>
                <w:b w:val="1"/>
                <w:bCs w:val="1"/>
                <w:color w:val="auto"/>
              </w:rPr>
              <w:t>13G/A</w:t>
            </w:r>
          </w:p>
        </w:tc>
        <w:tc>
          <w:tcPr>
            <w:tcW w:w="3140" w:type="dxa"/>
            <w:vAlign w:val="bottom"/>
          </w:tcPr>
          <w:p>
            <w:pPr>
              <w:ind w:left="1820"/>
              <w:spacing w:after="0"/>
              <w:rPr>
                <w:sz w:val="20"/>
                <w:szCs w:val="20"/>
                <w:color w:val="auto"/>
              </w:rPr>
            </w:pPr>
            <w:r>
              <w:rPr>
                <w:rFonts w:ascii="Arial" w:cs="Arial" w:eastAsia="Arial" w:hAnsi="Arial"/>
                <w:sz w:val="18"/>
                <w:szCs w:val="18"/>
                <w:b w:val="1"/>
                <w:bCs w:val="1"/>
                <w:color w:val="auto"/>
                <w:w w:val="84"/>
              </w:rPr>
              <w:t>Page 2 of 6 Pages</w:t>
            </w:r>
          </w:p>
        </w:tc>
        <w:tc>
          <w:tcPr>
            <w:tcW w:w="0" w:type="dxa"/>
            <w:vAlign w:val="bottom"/>
          </w:tcPr>
          <w:p>
            <w:pPr>
              <w:spacing w:after="0"/>
              <w:rPr>
                <w:sz w:val="1"/>
                <w:szCs w:val="1"/>
                <w:color w:val="auto"/>
              </w:rPr>
            </w:pPr>
          </w:p>
        </w:tc>
      </w:tr>
      <w:tr>
        <w:trPr>
          <w:trHeight w:val="338"/>
        </w:trPr>
        <w:tc>
          <w:tcPr>
            <w:tcW w:w="186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6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1</w:t>
            </w:r>
          </w:p>
        </w:tc>
        <w:tc>
          <w:tcPr>
            <w:tcW w:w="6420" w:type="dxa"/>
            <w:vAlign w:val="bottom"/>
          </w:tcPr>
          <w:p>
            <w:pPr>
              <w:ind w:left="100"/>
              <w:spacing w:after="0"/>
              <w:rPr>
                <w:sz w:val="20"/>
                <w:szCs w:val="20"/>
                <w:color w:val="auto"/>
              </w:rPr>
            </w:pPr>
            <w:r>
              <w:rPr>
                <w:rFonts w:ascii="Arial" w:cs="Arial" w:eastAsia="Arial" w:hAnsi="Arial"/>
                <w:sz w:val="16"/>
                <w:szCs w:val="16"/>
                <w:color w:val="auto"/>
              </w:rPr>
              <w:t>NAMES OF REPORTING PERSONS</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vMerge w:val="continue"/>
          </w:tcPr>
          <w:p>
            <w:pPr>
              <w:spacing w:after="0"/>
              <w:rPr>
                <w:sz w:val="15"/>
                <w:szCs w:val="15"/>
                <w:color w:val="auto"/>
              </w:rPr>
            </w:pPr>
          </w:p>
        </w:tc>
        <w:tc>
          <w:tcPr>
            <w:tcW w:w="6420" w:type="dxa"/>
            <w:vAlign w:val="bottom"/>
            <w:vMerge w:val="restart"/>
          </w:tcPr>
          <w:p>
            <w:pPr>
              <w:ind w:left="440"/>
              <w:spacing w:after="0"/>
              <w:rPr>
                <w:sz w:val="20"/>
                <w:szCs w:val="20"/>
                <w:color w:val="auto"/>
              </w:rPr>
            </w:pPr>
            <w:r>
              <w:rPr>
                <w:rFonts w:ascii="Arial" w:cs="Arial" w:eastAsia="Arial" w:hAnsi="Arial"/>
                <w:sz w:val="22"/>
                <w:szCs w:val="22"/>
                <w:color w:val="auto"/>
              </w:rPr>
              <w:t>Empery Asset Management, LP</w:t>
            </w:r>
          </w:p>
        </w:tc>
        <w:tc>
          <w:tcPr>
            <w:tcW w:w="3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860" w:type="dxa"/>
            <w:vAlign w:val="bottom"/>
            <w:tcBorders>
              <w:bottom w:val="single" w:sz="8" w:color="auto"/>
            </w:tcBorders>
          </w:tcPr>
          <w:p>
            <w:pPr>
              <w:spacing w:after="0"/>
              <w:rPr>
                <w:sz w:val="8"/>
                <w:szCs w:val="8"/>
                <w:color w:val="auto"/>
              </w:rPr>
            </w:pPr>
          </w:p>
        </w:tc>
        <w:tc>
          <w:tcPr>
            <w:tcW w:w="6420" w:type="dxa"/>
            <w:vAlign w:val="bottom"/>
            <w:tcBorders>
              <w:bottom w:val="single" w:sz="8" w:color="auto"/>
            </w:tcBorders>
            <w:vMerge w:val="continue"/>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186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2</w:t>
            </w:r>
          </w:p>
        </w:tc>
        <w:tc>
          <w:tcPr>
            <w:tcW w:w="642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4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60" w:type="dxa"/>
            <w:vAlign w:val="bottom"/>
            <w:vMerge w:val="continue"/>
          </w:tcPr>
          <w:p>
            <w:pPr>
              <w:spacing w:after="0"/>
              <w:rPr>
                <w:sz w:val="7"/>
                <w:szCs w:val="7"/>
                <w:color w:val="auto"/>
              </w:rPr>
            </w:pPr>
          </w:p>
        </w:tc>
        <w:tc>
          <w:tcPr>
            <w:tcW w:w="642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14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-845820</wp:posOffset>
            </wp:positionV>
            <wp:extent cx="7246620" cy="5539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539740"/>
                    </a:xfrm>
                    <a:prstGeom prst="rect">
                      <a:avLst/>
                    </a:prstGeom>
                    <a:noFill/>
                  </pic:spPr>
                </pic:pic>
              </a:graphicData>
            </a:graphic>
          </wp:anchor>
        </w:drawing>
      </w:r>
    </w:p>
    <w:p>
      <w:pPr>
        <w:ind w:left="1960" w:hanging="1099"/>
        <w:spacing w:after="0" w:line="182" w:lineRule="auto"/>
        <w:tabs>
          <w:tab w:leader="none" w:pos="1960" w:val="left"/>
        </w:tabs>
        <w:numPr>
          <w:ilvl w:val="0"/>
          <w:numId w:val="2"/>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04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6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5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5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652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65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6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6</w:t>
            </w:r>
          </w:p>
        </w:tc>
        <w:tc>
          <w:tcPr>
            <w:tcW w:w="652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right w:val="single" w:sz="8" w:color="auto"/>
            </w:tcBorders>
            <w:vMerge w:val="continue"/>
          </w:tcPr>
          <w:p>
            <w:pPr>
              <w:spacing w:after="0"/>
              <w:rPr>
                <w:sz w:val="13"/>
                <w:szCs w:val="13"/>
                <w:color w:val="auto"/>
              </w:rPr>
            </w:pPr>
          </w:p>
        </w:tc>
        <w:tc>
          <w:tcPr>
            <w:tcW w:w="65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840" w:type="dxa"/>
            <w:vAlign w:val="bottom"/>
            <w:vMerge w:val="continue"/>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6520" w:type="dxa"/>
            <w:vAlign w:val="bottom"/>
          </w:tcPr>
          <w:p>
            <w:pPr>
              <w:ind w:left="420"/>
              <w:spacing w:after="0"/>
              <w:rPr>
                <w:sz w:val="20"/>
                <w:szCs w:val="20"/>
                <w:color w:val="auto"/>
              </w:rPr>
            </w:pPr>
            <w:r>
              <w:rPr>
                <w:rFonts w:ascii="Arial" w:cs="Arial" w:eastAsia="Arial" w:hAnsi="Arial"/>
                <w:sz w:val="17"/>
                <w:szCs w:val="17"/>
                <w:color w:val="auto"/>
              </w:rPr>
              <w:t>717,667 shares of Common Stock</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tcPr>
          <w:p>
            <w:pPr>
              <w:spacing w:after="0"/>
              <w:rPr>
                <w:sz w:val="17"/>
                <w:szCs w:val="17"/>
                <w:color w:val="auto"/>
              </w:rPr>
            </w:pPr>
          </w:p>
        </w:tc>
        <w:tc>
          <w:tcPr>
            <w:tcW w:w="6520" w:type="dxa"/>
            <w:vAlign w:val="bottom"/>
          </w:tcPr>
          <w:p>
            <w:pPr>
              <w:ind w:left="420"/>
              <w:spacing w:after="0"/>
              <w:rPr>
                <w:sz w:val="20"/>
                <w:szCs w:val="20"/>
                <w:color w:val="auto"/>
              </w:rPr>
            </w:pPr>
            <w:r>
              <w:rPr>
                <w:rFonts w:ascii="Arial" w:cs="Arial" w:eastAsia="Arial" w:hAnsi="Arial"/>
                <w:sz w:val="17"/>
                <w:szCs w:val="17"/>
                <w:color w:val="auto"/>
                <w:w w:val="96"/>
              </w:rPr>
              <w:t>761,267 shares of Common Stock issuable upon exercise of Warrants (See Item 4)*</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6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65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17" w:lineRule="exact"/>
              <w:rPr>
                <w:sz w:val="20"/>
                <w:szCs w:val="20"/>
                <w:color w:val="auto"/>
              </w:rPr>
            </w:pPr>
            <w:r>
              <w:rPr>
                <w:rFonts w:ascii="Arial" w:cs="Arial" w:eastAsia="Arial" w:hAnsi="Arial"/>
                <w:sz w:val="29"/>
                <w:szCs w:val="29"/>
                <w:b w:val="1"/>
                <w:bCs w:val="1"/>
                <w:color w:val="auto"/>
              </w:rPr>
              <w:t>7</w:t>
            </w:r>
          </w:p>
        </w:tc>
        <w:tc>
          <w:tcPr>
            <w:tcW w:w="652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2"/>
                <w:szCs w:val="12"/>
                <w:color w:val="auto"/>
              </w:rPr>
            </w:pPr>
          </w:p>
        </w:tc>
        <w:tc>
          <w:tcPr>
            <w:tcW w:w="652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65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6"/>
                <w:szCs w:val="16"/>
                <w:color w:val="auto"/>
              </w:rPr>
            </w:pPr>
          </w:p>
        </w:tc>
        <w:tc>
          <w:tcPr>
            <w:tcW w:w="6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65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652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6520" w:type="dxa"/>
            <w:vAlign w:val="bottom"/>
            <w:vMerge w:val="continue"/>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65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6520" w:type="dxa"/>
            <w:vAlign w:val="bottom"/>
          </w:tcPr>
          <w:p>
            <w:pPr>
              <w:ind w:left="420"/>
              <w:spacing w:after="0"/>
              <w:rPr>
                <w:sz w:val="20"/>
                <w:szCs w:val="20"/>
                <w:color w:val="auto"/>
              </w:rPr>
            </w:pPr>
            <w:r>
              <w:rPr>
                <w:rFonts w:ascii="Arial" w:cs="Arial" w:eastAsia="Arial" w:hAnsi="Arial"/>
                <w:sz w:val="17"/>
                <w:szCs w:val="17"/>
                <w:color w:val="auto"/>
              </w:rPr>
              <w:t>717,667 shares of Common Stock</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7"/>
                <w:szCs w:val="17"/>
                <w:color w:val="auto"/>
                <w:w w:val="96"/>
              </w:rPr>
              <w:t>761,267 shares of Common Stock issuable upon exercise of Warrants (See Item 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804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8040" w:type="dxa"/>
            <w:vAlign w:val="bottom"/>
            <w:gridSpan w:val="2"/>
          </w:tcPr>
          <w:p>
            <w:pPr>
              <w:ind w:left="440"/>
              <w:spacing w:after="0"/>
              <w:rPr>
                <w:sz w:val="20"/>
                <w:szCs w:val="20"/>
                <w:color w:val="auto"/>
              </w:rPr>
            </w:pPr>
            <w:r>
              <w:rPr>
                <w:rFonts w:ascii="Arial" w:cs="Arial" w:eastAsia="Arial" w:hAnsi="Arial"/>
                <w:sz w:val="17"/>
                <w:szCs w:val="17"/>
                <w:color w:val="auto"/>
              </w:rPr>
              <w:t>717,667 shares of Common Stock</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040" w:type="dxa"/>
            <w:vAlign w:val="bottom"/>
            <w:gridSpan w:val="2"/>
          </w:tcPr>
          <w:p>
            <w:pPr>
              <w:ind w:left="440"/>
              <w:spacing w:after="0"/>
              <w:rPr>
                <w:sz w:val="20"/>
                <w:szCs w:val="20"/>
                <w:color w:val="auto"/>
              </w:rPr>
            </w:pPr>
            <w:r>
              <w:rPr>
                <w:rFonts w:ascii="Arial" w:cs="Arial" w:eastAsia="Arial" w:hAnsi="Arial"/>
                <w:sz w:val="17"/>
                <w:szCs w:val="17"/>
                <w:color w:val="auto"/>
              </w:rPr>
              <w:t>761,267 shares of Common Stock issuable upon exercise of Warrants (See Item 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10</w:t>
            </w:r>
          </w:p>
        </w:tc>
        <w:tc>
          <w:tcPr>
            <w:tcW w:w="8040" w:type="dxa"/>
            <w:vAlign w:val="bottom"/>
            <w:gridSpan w:val="2"/>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540" w:type="dxa"/>
            <w:vAlign w:val="bottom"/>
            <w:vMerge w:val="restart"/>
          </w:tcPr>
          <w:p>
            <w:pPr>
              <w:ind w:left="40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03"/>
        </w:trPr>
        <w:tc>
          <w:tcPr>
            <w:tcW w:w="184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8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65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804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040" w:type="dxa"/>
            <w:vAlign w:val="bottom"/>
            <w:gridSpan w:val="2"/>
            <w:vMerge w:val="restart"/>
          </w:tcPr>
          <w:p>
            <w:pPr>
              <w:ind w:left="460"/>
              <w:spacing w:after="0"/>
              <w:rPr>
                <w:sz w:val="20"/>
                <w:szCs w:val="20"/>
                <w:color w:val="auto"/>
              </w:rPr>
            </w:pPr>
            <w:r>
              <w:rPr>
                <w:rFonts w:ascii="Arial" w:cs="Arial" w:eastAsia="Arial" w:hAnsi="Arial"/>
                <w:sz w:val="20"/>
                <w:szCs w:val="20"/>
                <w:color w:val="auto"/>
              </w:rPr>
              <w:t>8.56% (See Item 4)*</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040" w:type="dxa"/>
            <w:vAlign w:val="bottom"/>
            <w:gridSpan w:val="2"/>
            <w:vMerge w:val="continue"/>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5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804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PN</w:t>
            </w:r>
          </w:p>
        </w:tc>
        <w:tc>
          <w:tcPr>
            <w:tcW w:w="6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5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560" w:firstLine="8"/>
        <w:spacing w:after="0" w:line="302" w:lineRule="auto"/>
        <w:tabs>
          <w:tab w:leader="none" w:pos="135"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more fully described in Item 4, the Warrants are subject to a 4.99%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86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92840H202</w:t>
            </w:r>
          </w:p>
        </w:tc>
        <w:tc>
          <w:tcPr>
            <w:tcW w:w="6420" w:type="dxa"/>
            <w:vAlign w:val="bottom"/>
          </w:tcPr>
          <w:p>
            <w:pPr>
              <w:ind w:left="3620"/>
              <w:spacing w:after="0"/>
              <w:rPr>
                <w:sz w:val="20"/>
                <w:szCs w:val="20"/>
                <w:color w:val="auto"/>
              </w:rPr>
            </w:pPr>
            <w:r>
              <w:rPr>
                <w:rFonts w:ascii="Arial" w:cs="Arial" w:eastAsia="Arial" w:hAnsi="Arial"/>
                <w:sz w:val="18"/>
                <w:szCs w:val="18"/>
                <w:b w:val="1"/>
                <w:bCs w:val="1"/>
                <w:color w:val="auto"/>
              </w:rPr>
              <w:t>13G/A</w:t>
            </w:r>
          </w:p>
        </w:tc>
        <w:tc>
          <w:tcPr>
            <w:tcW w:w="3140" w:type="dxa"/>
            <w:vAlign w:val="bottom"/>
          </w:tcPr>
          <w:p>
            <w:pPr>
              <w:ind w:left="1820"/>
              <w:spacing w:after="0"/>
              <w:rPr>
                <w:sz w:val="20"/>
                <w:szCs w:val="20"/>
                <w:color w:val="auto"/>
              </w:rPr>
            </w:pPr>
            <w:r>
              <w:rPr>
                <w:rFonts w:ascii="Arial" w:cs="Arial" w:eastAsia="Arial" w:hAnsi="Arial"/>
                <w:sz w:val="18"/>
                <w:szCs w:val="18"/>
                <w:b w:val="1"/>
                <w:bCs w:val="1"/>
                <w:color w:val="auto"/>
                <w:w w:val="84"/>
              </w:rPr>
              <w:t>Page 3 of 6 Pages</w:t>
            </w:r>
          </w:p>
        </w:tc>
        <w:tc>
          <w:tcPr>
            <w:tcW w:w="0" w:type="dxa"/>
            <w:vAlign w:val="bottom"/>
          </w:tcPr>
          <w:p>
            <w:pPr>
              <w:spacing w:after="0"/>
              <w:rPr>
                <w:sz w:val="1"/>
                <w:szCs w:val="1"/>
                <w:color w:val="auto"/>
              </w:rPr>
            </w:pPr>
          </w:p>
        </w:tc>
      </w:tr>
      <w:tr>
        <w:trPr>
          <w:trHeight w:val="338"/>
        </w:trPr>
        <w:tc>
          <w:tcPr>
            <w:tcW w:w="186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1</w:t>
            </w:r>
          </w:p>
        </w:tc>
        <w:tc>
          <w:tcPr>
            <w:tcW w:w="6420" w:type="dxa"/>
            <w:vAlign w:val="bottom"/>
          </w:tcPr>
          <w:p>
            <w:pPr>
              <w:ind w:left="100"/>
              <w:spacing w:after="0"/>
              <w:rPr>
                <w:sz w:val="20"/>
                <w:szCs w:val="20"/>
                <w:color w:val="auto"/>
              </w:rPr>
            </w:pPr>
            <w:r>
              <w:rPr>
                <w:rFonts w:ascii="Arial" w:cs="Arial" w:eastAsia="Arial" w:hAnsi="Arial"/>
                <w:sz w:val="16"/>
                <w:szCs w:val="16"/>
                <w:color w:val="auto"/>
              </w:rPr>
              <w:t>NAMES OF REPORTING PERSONS</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6420" w:type="dxa"/>
            <w:vAlign w:val="bottom"/>
            <w:vMerge w:val="restart"/>
          </w:tcPr>
          <w:p>
            <w:pPr>
              <w:ind w:left="440"/>
              <w:spacing w:after="0"/>
              <w:rPr>
                <w:sz w:val="20"/>
                <w:szCs w:val="20"/>
                <w:color w:val="auto"/>
              </w:rPr>
            </w:pPr>
            <w:r>
              <w:rPr>
                <w:rFonts w:ascii="Arial" w:cs="Arial" w:eastAsia="Arial" w:hAnsi="Arial"/>
                <w:sz w:val="20"/>
                <w:szCs w:val="20"/>
                <w:color w:val="auto"/>
              </w:rPr>
              <w:t>Ryan M. Lane</w:t>
            </w: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6420" w:type="dxa"/>
            <w:vAlign w:val="bottom"/>
            <w:vMerge w:val="continue"/>
          </w:tcPr>
          <w:p>
            <w:pPr>
              <w:spacing w:after="0"/>
              <w:rPr>
                <w:sz w:val="6"/>
                <w:szCs w:val="6"/>
                <w:color w:val="auto"/>
              </w:rPr>
            </w:pP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6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2</w:t>
            </w:r>
          </w:p>
        </w:tc>
        <w:tc>
          <w:tcPr>
            <w:tcW w:w="642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4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60" w:type="dxa"/>
            <w:vAlign w:val="bottom"/>
            <w:vMerge w:val="continue"/>
          </w:tcPr>
          <w:p>
            <w:pPr>
              <w:spacing w:after="0"/>
              <w:rPr>
                <w:sz w:val="7"/>
                <w:szCs w:val="7"/>
                <w:color w:val="auto"/>
              </w:rPr>
            </w:pPr>
          </w:p>
        </w:tc>
        <w:tc>
          <w:tcPr>
            <w:tcW w:w="642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14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5668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668645"/>
                    </a:xfrm>
                    <a:prstGeom prst="rect">
                      <a:avLst/>
                    </a:prstGeom>
                    <a:noFill/>
                  </pic:spPr>
                </pic:pic>
              </a:graphicData>
            </a:graphic>
          </wp:anchor>
        </w:drawing>
      </w:r>
    </w:p>
    <w:p>
      <w:pPr>
        <w:ind w:left="1960" w:hanging="1099"/>
        <w:spacing w:after="0" w:line="182" w:lineRule="auto"/>
        <w:tabs>
          <w:tab w:leader="none" w:pos="1960" w:val="left"/>
        </w:tabs>
        <w:numPr>
          <w:ilvl w:val="0"/>
          <w:numId w:val="4"/>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6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4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4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1"/>
                <w:szCs w:val="21"/>
                <w:color w:val="auto"/>
              </w:rPr>
            </w:pPr>
          </w:p>
        </w:tc>
        <w:tc>
          <w:tcPr>
            <w:tcW w:w="648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21"/>
                <w:szCs w:val="21"/>
                <w:color w:val="auto"/>
              </w:rPr>
            </w:pPr>
          </w:p>
        </w:tc>
        <w:tc>
          <w:tcPr>
            <w:tcW w:w="6480" w:type="dxa"/>
            <w:vAlign w:val="bottom"/>
          </w:tcPr>
          <w:p>
            <w:pPr>
              <w:ind w:left="60"/>
              <w:spacing w:after="0"/>
              <w:rPr>
                <w:sz w:val="20"/>
                <w:szCs w:val="20"/>
                <w:color w:val="auto"/>
              </w:rPr>
            </w:pPr>
            <w:r>
              <w:rPr>
                <w:rFonts w:ascii="Arial" w:cs="Arial" w:eastAsia="Arial" w:hAnsi="Arial"/>
                <w:sz w:val="16"/>
                <w:szCs w:val="16"/>
                <w:color w:val="auto"/>
              </w:rPr>
              <w:t>SHARED VOTING POWER</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480" w:type="dxa"/>
            <w:vAlign w:val="bottom"/>
          </w:tcPr>
          <w:p>
            <w:pPr>
              <w:ind w:left="380"/>
              <w:spacing w:after="0"/>
              <w:rPr>
                <w:sz w:val="20"/>
                <w:szCs w:val="20"/>
                <w:color w:val="auto"/>
              </w:rPr>
            </w:pPr>
            <w:r>
              <w:rPr>
                <w:rFonts w:ascii="Arial" w:cs="Arial" w:eastAsia="Arial" w:hAnsi="Arial"/>
                <w:sz w:val="17"/>
                <w:szCs w:val="17"/>
                <w:color w:val="auto"/>
              </w:rPr>
              <w:t>717,667 shares of Common Stock</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1840" w:type="dxa"/>
            <w:vAlign w:val="bottom"/>
            <w:vMerge w:val="continue"/>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480" w:type="dxa"/>
            <w:vAlign w:val="bottom"/>
            <w:vMerge w:val="restart"/>
          </w:tcPr>
          <w:p>
            <w:pPr>
              <w:ind w:left="380"/>
              <w:spacing w:after="0"/>
              <w:rPr>
                <w:sz w:val="20"/>
                <w:szCs w:val="20"/>
                <w:color w:val="auto"/>
              </w:rPr>
            </w:pPr>
            <w:r>
              <w:rPr>
                <w:rFonts w:ascii="Arial" w:cs="Arial" w:eastAsia="Arial" w:hAnsi="Arial"/>
                <w:sz w:val="17"/>
                <w:szCs w:val="17"/>
                <w:color w:val="auto"/>
                <w:w w:val="96"/>
              </w:rPr>
              <w:t>761,267 shares of Common Stock issuable upon exercise of Warrants (See Item 4)*</w:t>
            </w: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48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840" w:type="dxa"/>
            <w:vAlign w:val="bottom"/>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840" w:type="dxa"/>
            <w:vAlign w:val="bottom"/>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17"/>
                <w:szCs w:val="17"/>
                <w:color w:val="auto"/>
              </w:rPr>
            </w:pPr>
          </w:p>
        </w:tc>
        <w:tc>
          <w:tcPr>
            <w:tcW w:w="6480" w:type="dxa"/>
            <w:vAlign w:val="bottom"/>
          </w:tcPr>
          <w:p>
            <w:pPr>
              <w:ind w:left="60"/>
              <w:spacing w:after="0"/>
              <w:rPr>
                <w:sz w:val="20"/>
                <w:szCs w:val="20"/>
                <w:color w:val="auto"/>
              </w:rPr>
            </w:pPr>
            <w:r>
              <w:rPr>
                <w:rFonts w:ascii="Arial" w:cs="Arial" w:eastAsia="Arial" w:hAnsi="Arial"/>
                <w:sz w:val="16"/>
                <w:szCs w:val="16"/>
                <w:color w:val="auto"/>
              </w:rPr>
              <w:t>SOLE DISPOSITIVE POWER</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840" w:type="dxa"/>
            <w:vAlign w:val="bottom"/>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21"/>
                <w:szCs w:val="21"/>
                <w:color w:val="auto"/>
              </w:rPr>
            </w:pPr>
          </w:p>
        </w:tc>
        <w:tc>
          <w:tcPr>
            <w:tcW w:w="6480" w:type="dxa"/>
            <w:vAlign w:val="bottom"/>
          </w:tcPr>
          <w:p>
            <w:pPr>
              <w:ind w:left="60"/>
              <w:spacing w:after="0"/>
              <w:rPr>
                <w:sz w:val="20"/>
                <w:szCs w:val="20"/>
                <w:color w:val="auto"/>
              </w:rPr>
            </w:pPr>
            <w:r>
              <w:rPr>
                <w:rFonts w:ascii="Arial" w:cs="Arial" w:eastAsia="Arial" w:hAnsi="Arial"/>
                <w:sz w:val="16"/>
                <w:szCs w:val="16"/>
                <w:color w:val="auto"/>
              </w:rPr>
              <w:t>SHARED DISPOSITIVE POWER</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480" w:type="dxa"/>
            <w:vAlign w:val="bottom"/>
          </w:tcPr>
          <w:p>
            <w:pPr>
              <w:ind w:left="380"/>
              <w:spacing w:after="0"/>
              <w:rPr>
                <w:sz w:val="20"/>
                <w:szCs w:val="20"/>
                <w:color w:val="auto"/>
              </w:rPr>
            </w:pPr>
            <w:r>
              <w:rPr>
                <w:rFonts w:ascii="Arial" w:cs="Arial" w:eastAsia="Arial" w:hAnsi="Arial"/>
                <w:sz w:val="17"/>
                <w:szCs w:val="17"/>
                <w:color w:val="auto"/>
              </w:rPr>
              <w:t>717,667 shares of Common Stock</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80" w:type="dxa"/>
            <w:vAlign w:val="bottom"/>
          </w:tcPr>
          <w:p>
            <w:pPr>
              <w:ind w:left="380"/>
              <w:spacing w:after="0"/>
              <w:rPr>
                <w:sz w:val="20"/>
                <w:szCs w:val="20"/>
                <w:color w:val="auto"/>
              </w:rPr>
            </w:pPr>
            <w:r>
              <w:rPr>
                <w:rFonts w:ascii="Arial" w:cs="Arial" w:eastAsia="Arial" w:hAnsi="Arial"/>
                <w:sz w:val="17"/>
                <w:szCs w:val="17"/>
                <w:color w:val="auto"/>
                <w:w w:val="96"/>
              </w:rPr>
              <w:t>761,267 shares of Common Stock issuable upon exercise of Warrants (See Item 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6520" w:type="dxa"/>
            <w:vAlign w:val="bottom"/>
            <w:tcBorders>
              <w:bottom w:val="single" w:sz="8" w:color="auto"/>
            </w:tcBorders>
            <w:gridSpan w:val="2"/>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8040" w:type="dxa"/>
            <w:vAlign w:val="bottom"/>
            <w:gridSpan w:val="3"/>
          </w:tcPr>
          <w:p>
            <w:pPr>
              <w:ind w:left="440"/>
              <w:spacing w:after="0"/>
              <w:rPr>
                <w:sz w:val="20"/>
                <w:szCs w:val="20"/>
                <w:color w:val="auto"/>
              </w:rPr>
            </w:pPr>
            <w:r>
              <w:rPr>
                <w:rFonts w:ascii="Arial" w:cs="Arial" w:eastAsia="Arial" w:hAnsi="Arial"/>
                <w:sz w:val="17"/>
                <w:szCs w:val="17"/>
                <w:color w:val="auto"/>
              </w:rPr>
              <w:t>717,667 shares of Common Stock</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040" w:type="dxa"/>
            <w:vAlign w:val="bottom"/>
            <w:gridSpan w:val="3"/>
          </w:tcPr>
          <w:p>
            <w:pPr>
              <w:ind w:left="440"/>
              <w:spacing w:after="0"/>
              <w:rPr>
                <w:sz w:val="20"/>
                <w:szCs w:val="20"/>
                <w:color w:val="auto"/>
              </w:rPr>
            </w:pPr>
            <w:r>
              <w:rPr>
                <w:rFonts w:ascii="Arial" w:cs="Arial" w:eastAsia="Arial" w:hAnsi="Arial"/>
                <w:sz w:val="17"/>
                <w:szCs w:val="17"/>
                <w:color w:val="auto"/>
              </w:rPr>
              <w:t>761,267 shares of Common Stock issuable upon exercise of Warrants (See Item 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804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540" w:type="dxa"/>
            <w:vAlign w:val="bottom"/>
          </w:tcPr>
          <w:p>
            <w:pPr>
              <w:ind w:left="40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040" w:type="dxa"/>
            <w:vAlign w:val="bottom"/>
            <w:gridSpan w:val="3"/>
            <w:vMerge w:val="continue"/>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520" w:type="dxa"/>
            <w:vAlign w:val="bottom"/>
            <w:tcBorders>
              <w:bottom w:val="single" w:sz="8" w:color="auto"/>
            </w:tcBorders>
            <w:gridSpan w:val="2"/>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040" w:type="dxa"/>
            <w:vAlign w:val="bottom"/>
            <w:gridSpan w:val="3"/>
            <w:vMerge w:val="restart"/>
          </w:tcPr>
          <w:p>
            <w:pPr>
              <w:ind w:left="460"/>
              <w:spacing w:after="0"/>
              <w:rPr>
                <w:sz w:val="20"/>
                <w:szCs w:val="20"/>
                <w:color w:val="auto"/>
              </w:rPr>
            </w:pPr>
            <w:r>
              <w:rPr>
                <w:rFonts w:ascii="Arial" w:cs="Arial" w:eastAsia="Arial" w:hAnsi="Arial"/>
                <w:sz w:val="20"/>
                <w:szCs w:val="20"/>
                <w:color w:val="auto"/>
              </w:rPr>
              <w:t>8.56% (See Item 4)*</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040" w:type="dxa"/>
            <w:vAlign w:val="bottom"/>
            <w:gridSpan w:val="3"/>
            <w:vMerge w:val="continue"/>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520" w:type="dxa"/>
            <w:vAlign w:val="bottom"/>
            <w:tcBorders>
              <w:bottom w:val="single" w:sz="8" w:color="auto"/>
            </w:tcBorders>
            <w:gridSpan w:val="2"/>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6"/>
                <w:szCs w:val="16"/>
                <w:color w:val="auto"/>
              </w:rPr>
              <w:t>IN</w:t>
            </w: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8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4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jc w:val="center"/>
        <w:ind w:right="560" w:firstLine="8"/>
        <w:spacing w:after="0" w:line="302" w:lineRule="auto"/>
        <w:tabs>
          <w:tab w:leader="none" w:pos="135"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more fully described in Item 4, the Warrants are subject to a 4.99%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86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92840H202</w:t>
            </w:r>
          </w:p>
        </w:tc>
        <w:tc>
          <w:tcPr>
            <w:tcW w:w="6420" w:type="dxa"/>
            <w:vAlign w:val="bottom"/>
          </w:tcPr>
          <w:p>
            <w:pPr>
              <w:ind w:left="3620"/>
              <w:spacing w:after="0"/>
              <w:rPr>
                <w:sz w:val="20"/>
                <w:szCs w:val="20"/>
                <w:color w:val="auto"/>
              </w:rPr>
            </w:pPr>
            <w:r>
              <w:rPr>
                <w:rFonts w:ascii="Arial" w:cs="Arial" w:eastAsia="Arial" w:hAnsi="Arial"/>
                <w:sz w:val="18"/>
                <w:szCs w:val="18"/>
                <w:b w:val="1"/>
                <w:bCs w:val="1"/>
                <w:color w:val="auto"/>
              </w:rPr>
              <w:t>13G/A</w:t>
            </w:r>
          </w:p>
        </w:tc>
        <w:tc>
          <w:tcPr>
            <w:tcW w:w="3140" w:type="dxa"/>
            <w:vAlign w:val="bottom"/>
          </w:tcPr>
          <w:p>
            <w:pPr>
              <w:ind w:left="1820"/>
              <w:spacing w:after="0"/>
              <w:rPr>
                <w:sz w:val="20"/>
                <w:szCs w:val="20"/>
                <w:color w:val="auto"/>
              </w:rPr>
            </w:pPr>
            <w:r>
              <w:rPr>
                <w:rFonts w:ascii="Arial" w:cs="Arial" w:eastAsia="Arial" w:hAnsi="Arial"/>
                <w:sz w:val="18"/>
                <w:szCs w:val="18"/>
                <w:b w:val="1"/>
                <w:bCs w:val="1"/>
                <w:color w:val="auto"/>
                <w:w w:val="84"/>
              </w:rPr>
              <w:t>Page 4 of 6 Pages</w:t>
            </w:r>
          </w:p>
        </w:tc>
        <w:tc>
          <w:tcPr>
            <w:tcW w:w="0" w:type="dxa"/>
            <w:vAlign w:val="bottom"/>
          </w:tcPr>
          <w:p>
            <w:pPr>
              <w:spacing w:after="0"/>
              <w:rPr>
                <w:sz w:val="1"/>
                <w:szCs w:val="1"/>
                <w:color w:val="auto"/>
              </w:rPr>
            </w:pPr>
          </w:p>
        </w:tc>
      </w:tr>
      <w:tr>
        <w:trPr>
          <w:trHeight w:val="338"/>
        </w:trPr>
        <w:tc>
          <w:tcPr>
            <w:tcW w:w="186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1</w:t>
            </w:r>
          </w:p>
        </w:tc>
        <w:tc>
          <w:tcPr>
            <w:tcW w:w="6420" w:type="dxa"/>
            <w:vAlign w:val="bottom"/>
          </w:tcPr>
          <w:p>
            <w:pPr>
              <w:ind w:left="100"/>
              <w:spacing w:after="0"/>
              <w:rPr>
                <w:sz w:val="20"/>
                <w:szCs w:val="20"/>
                <w:color w:val="auto"/>
              </w:rPr>
            </w:pPr>
            <w:r>
              <w:rPr>
                <w:rFonts w:ascii="Arial" w:cs="Arial" w:eastAsia="Arial" w:hAnsi="Arial"/>
                <w:sz w:val="16"/>
                <w:szCs w:val="16"/>
                <w:color w:val="auto"/>
              </w:rPr>
              <w:t>NAMES OF REPORTING PERSONS</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6420" w:type="dxa"/>
            <w:vAlign w:val="bottom"/>
            <w:vMerge w:val="restart"/>
          </w:tcPr>
          <w:p>
            <w:pPr>
              <w:ind w:left="440"/>
              <w:spacing w:after="0"/>
              <w:rPr>
                <w:sz w:val="20"/>
                <w:szCs w:val="20"/>
                <w:color w:val="auto"/>
              </w:rPr>
            </w:pPr>
            <w:r>
              <w:rPr>
                <w:rFonts w:ascii="Arial" w:cs="Arial" w:eastAsia="Arial" w:hAnsi="Arial"/>
                <w:sz w:val="20"/>
                <w:szCs w:val="20"/>
                <w:color w:val="auto"/>
              </w:rPr>
              <w:t>Martin D. Hoe</w:t>
            </w: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6420" w:type="dxa"/>
            <w:vAlign w:val="bottom"/>
            <w:vMerge w:val="continue"/>
          </w:tcPr>
          <w:p>
            <w:pPr>
              <w:spacing w:after="0"/>
              <w:rPr>
                <w:sz w:val="6"/>
                <w:szCs w:val="6"/>
                <w:color w:val="auto"/>
              </w:rPr>
            </w:pP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6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2</w:t>
            </w:r>
          </w:p>
        </w:tc>
        <w:tc>
          <w:tcPr>
            <w:tcW w:w="642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4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60" w:type="dxa"/>
            <w:vAlign w:val="bottom"/>
            <w:vMerge w:val="continue"/>
          </w:tcPr>
          <w:p>
            <w:pPr>
              <w:spacing w:after="0"/>
              <w:rPr>
                <w:sz w:val="7"/>
                <w:szCs w:val="7"/>
                <w:color w:val="auto"/>
              </w:rPr>
            </w:pPr>
          </w:p>
        </w:tc>
        <w:tc>
          <w:tcPr>
            <w:tcW w:w="642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14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5539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539740"/>
                    </a:xfrm>
                    <a:prstGeom prst="rect">
                      <a:avLst/>
                    </a:prstGeom>
                    <a:noFill/>
                  </pic:spPr>
                </pic:pic>
              </a:graphicData>
            </a:graphic>
          </wp:anchor>
        </w:drawing>
      </w:r>
    </w:p>
    <w:p>
      <w:pPr>
        <w:ind w:left="1960" w:hanging="1099"/>
        <w:spacing w:after="0" w:line="182" w:lineRule="auto"/>
        <w:tabs>
          <w:tab w:leader="none" w:pos="1960" w:val="left"/>
        </w:tabs>
        <w:numPr>
          <w:ilvl w:val="0"/>
          <w:numId w:val="6"/>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6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4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4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1"/>
                <w:szCs w:val="21"/>
                <w:color w:val="auto"/>
              </w:rPr>
            </w:pPr>
          </w:p>
        </w:tc>
        <w:tc>
          <w:tcPr>
            <w:tcW w:w="648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21"/>
                <w:szCs w:val="21"/>
                <w:color w:val="auto"/>
              </w:rPr>
            </w:pPr>
          </w:p>
        </w:tc>
        <w:tc>
          <w:tcPr>
            <w:tcW w:w="6480" w:type="dxa"/>
            <w:vAlign w:val="bottom"/>
          </w:tcPr>
          <w:p>
            <w:pPr>
              <w:ind w:left="60"/>
              <w:spacing w:after="0"/>
              <w:rPr>
                <w:sz w:val="20"/>
                <w:szCs w:val="20"/>
                <w:color w:val="auto"/>
              </w:rPr>
            </w:pPr>
            <w:r>
              <w:rPr>
                <w:rFonts w:ascii="Arial" w:cs="Arial" w:eastAsia="Arial" w:hAnsi="Arial"/>
                <w:sz w:val="16"/>
                <w:szCs w:val="16"/>
                <w:color w:val="auto"/>
              </w:rPr>
              <w:t>SHARED VOTING POWER</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840" w:type="dxa"/>
            <w:vAlign w:val="bottom"/>
            <w:vMerge w:val="continue"/>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480" w:type="dxa"/>
            <w:vAlign w:val="bottom"/>
          </w:tcPr>
          <w:p>
            <w:pPr>
              <w:ind w:left="380"/>
              <w:spacing w:after="0"/>
              <w:rPr>
                <w:sz w:val="20"/>
                <w:szCs w:val="20"/>
                <w:color w:val="auto"/>
              </w:rPr>
            </w:pPr>
            <w:r>
              <w:rPr>
                <w:rFonts w:ascii="Arial" w:cs="Arial" w:eastAsia="Arial" w:hAnsi="Arial"/>
                <w:sz w:val="17"/>
                <w:szCs w:val="17"/>
                <w:color w:val="auto"/>
              </w:rPr>
              <w:t>717,667 shares of Common Stock</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480" w:type="dxa"/>
            <w:vAlign w:val="bottom"/>
          </w:tcPr>
          <w:p>
            <w:pPr>
              <w:ind w:left="380"/>
              <w:spacing w:after="0"/>
              <w:rPr>
                <w:sz w:val="20"/>
                <w:szCs w:val="20"/>
                <w:color w:val="auto"/>
              </w:rPr>
            </w:pPr>
            <w:r>
              <w:rPr>
                <w:rFonts w:ascii="Arial" w:cs="Arial" w:eastAsia="Arial" w:hAnsi="Arial"/>
                <w:sz w:val="17"/>
                <w:szCs w:val="17"/>
                <w:color w:val="auto"/>
                <w:w w:val="96"/>
              </w:rPr>
              <w:t>761,267 shares of Common Stock issuable upon exercise of Warrants (See Item 4)*</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4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17"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648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48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64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4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648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6480" w:type="dxa"/>
            <w:vAlign w:val="bottom"/>
            <w:vMerge w:val="continue"/>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480" w:type="dxa"/>
            <w:vAlign w:val="bottom"/>
          </w:tcPr>
          <w:p>
            <w:pPr>
              <w:ind w:left="380"/>
              <w:spacing w:after="0"/>
              <w:rPr>
                <w:sz w:val="20"/>
                <w:szCs w:val="20"/>
                <w:color w:val="auto"/>
              </w:rPr>
            </w:pPr>
            <w:r>
              <w:rPr>
                <w:rFonts w:ascii="Arial" w:cs="Arial" w:eastAsia="Arial" w:hAnsi="Arial"/>
                <w:sz w:val="17"/>
                <w:szCs w:val="17"/>
                <w:color w:val="auto"/>
              </w:rPr>
              <w:t>717,667 shares of Common Stock</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80" w:type="dxa"/>
            <w:vAlign w:val="bottom"/>
          </w:tcPr>
          <w:p>
            <w:pPr>
              <w:ind w:left="380"/>
              <w:spacing w:after="0"/>
              <w:rPr>
                <w:sz w:val="20"/>
                <w:szCs w:val="20"/>
                <w:color w:val="auto"/>
              </w:rPr>
            </w:pPr>
            <w:r>
              <w:rPr>
                <w:rFonts w:ascii="Arial" w:cs="Arial" w:eastAsia="Arial" w:hAnsi="Arial"/>
                <w:sz w:val="17"/>
                <w:szCs w:val="17"/>
                <w:color w:val="auto"/>
                <w:w w:val="96"/>
              </w:rPr>
              <w:t>761,267 shares of Common Stock issuable upon exercise of Warrants (See Item 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6520" w:type="dxa"/>
            <w:vAlign w:val="bottom"/>
            <w:tcBorders>
              <w:bottom w:val="single" w:sz="8" w:color="auto"/>
            </w:tcBorders>
            <w:gridSpan w:val="2"/>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8040" w:type="dxa"/>
            <w:vAlign w:val="bottom"/>
            <w:gridSpan w:val="3"/>
          </w:tcPr>
          <w:p>
            <w:pPr>
              <w:ind w:left="440"/>
              <w:spacing w:after="0"/>
              <w:rPr>
                <w:sz w:val="20"/>
                <w:szCs w:val="20"/>
                <w:color w:val="auto"/>
              </w:rPr>
            </w:pPr>
            <w:r>
              <w:rPr>
                <w:rFonts w:ascii="Arial" w:cs="Arial" w:eastAsia="Arial" w:hAnsi="Arial"/>
                <w:sz w:val="17"/>
                <w:szCs w:val="17"/>
                <w:color w:val="auto"/>
              </w:rPr>
              <w:t>717,667 shares of Common Stock</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040" w:type="dxa"/>
            <w:vAlign w:val="bottom"/>
            <w:gridSpan w:val="3"/>
          </w:tcPr>
          <w:p>
            <w:pPr>
              <w:ind w:left="440"/>
              <w:spacing w:after="0"/>
              <w:rPr>
                <w:sz w:val="20"/>
                <w:szCs w:val="20"/>
                <w:color w:val="auto"/>
              </w:rPr>
            </w:pPr>
            <w:r>
              <w:rPr>
                <w:rFonts w:ascii="Arial" w:cs="Arial" w:eastAsia="Arial" w:hAnsi="Arial"/>
                <w:sz w:val="17"/>
                <w:szCs w:val="17"/>
                <w:color w:val="auto"/>
              </w:rPr>
              <w:t>761,267 shares of Common Stock issuable upon exercise of Warrants (See Item 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804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540" w:type="dxa"/>
            <w:vAlign w:val="bottom"/>
          </w:tcPr>
          <w:p>
            <w:pPr>
              <w:ind w:left="40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040" w:type="dxa"/>
            <w:vAlign w:val="bottom"/>
            <w:gridSpan w:val="3"/>
            <w:vMerge w:val="continue"/>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520" w:type="dxa"/>
            <w:vAlign w:val="bottom"/>
            <w:tcBorders>
              <w:bottom w:val="single" w:sz="8" w:color="auto"/>
            </w:tcBorders>
            <w:gridSpan w:val="2"/>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8040" w:type="dxa"/>
            <w:vAlign w:val="bottom"/>
            <w:gridSpan w:val="3"/>
            <w:vMerge w:val="restart"/>
          </w:tcPr>
          <w:p>
            <w:pPr>
              <w:ind w:left="460"/>
              <w:spacing w:after="0"/>
              <w:rPr>
                <w:sz w:val="20"/>
                <w:szCs w:val="20"/>
                <w:color w:val="auto"/>
              </w:rPr>
            </w:pPr>
            <w:r>
              <w:rPr>
                <w:rFonts w:ascii="Arial" w:cs="Arial" w:eastAsia="Arial" w:hAnsi="Arial"/>
                <w:sz w:val="20"/>
                <w:szCs w:val="20"/>
                <w:color w:val="auto"/>
              </w:rPr>
              <w:t>8.56% (See Item 4)*</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040" w:type="dxa"/>
            <w:vAlign w:val="bottom"/>
            <w:gridSpan w:val="3"/>
            <w:vMerge w:val="continue"/>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520" w:type="dxa"/>
            <w:vAlign w:val="bottom"/>
            <w:tcBorders>
              <w:bottom w:val="single" w:sz="8" w:color="auto"/>
            </w:tcBorders>
            <w:gridSpan w:val="2"/>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6"/>
                <w:szCs w:val="16"/>
                <w:color w:val="auto"/>
              </w:rPr>
              <w:t>IN</w:t>
            </w:r>
          </w:p>
        </w:tc>
        <w:tc>
          <w:tcPr>
            <w:tcW w:w="6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8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4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jc w:val="center"/>
        <w:ind w:right="560" w:firstLine="8"/>
        <w:spacing w:after="0" w:line="302" w:lineRule="auto"/>
        <w:tabs>
          <w:tab w:leader="none" w:pos="135"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more fully described in Item 4, the Warrants are subject to a 4.99%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9" w:right="239" w:bottom="1440" w:gutter="0" w:footer="0" w:header="0"/>
        </w:sectPr>
      </w:pPr>
    </w:p>
    <w:bookmarkStart w:id="4" w:name="page5"/>
    <w:bookmarkEnd w:id="4"/>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6 Pages</w:t>
      </w:r>
    </w:p>
    <w:p>
      <w:pPr>
        <w:spacing w:after="0" w:line="348" w:lineRule="exact"/>
        <w:rPr>
          <w:sz w:val="20"/>
          <w:szCs w:val="20"/>
          <w:color w:val="auto"/>
        </w:rPr>
      </w:pPr>
    </w:p>
    <w:p>
      <w:pPr>
        <w:jc w:val="both"/>
        <w:ind w:right="100"/>
        <w:spacing w:after="0" w:line="263" w:lineRule="auto"/>
        <w:rPr>
          <w:sz w:val="20"/>
          <w:szCs w:val="20"/>
          <w:color w:val="auto"/>
        </w:rPr>
      </w:pPr>
      <w:r>
        <w:rPr>
          <w:rFonts w:ascii="Arial" w:cs="Arial" w:eastAsia="Arial" w:hAnsi="Arial"/>
          <w:sz w:val="19"/>
          <w:szCs w:val="19"/>
          <w:color w:val="auto"/>
        </w:rPr>
        <w:t>This Amendment No. 1 (this "</w:t>
      </w:r>
      <w:r>
        <w:rPr>
          <w:rFonts w:ascii="Arial" w:cs="Arial" w:eastAsia="Arial" w:hAnsi="Arial"/>
          <w:sz w:val="19"/>
          <w:szCs w:val="19"/>
          <w:u w:val="single" w:color="auto"/>
          <w:color w:val="auto"/>
        </w:rPr>
        <w:t>Amendment</w:t>
      </w:r>
      <w:r>
        <w:rPr>
          <w:rFonts w:ascii="Arial" w:cs="Arial" w:eastAsia="Arial" w:hAnsi="Arial"/>
          <w:sz w:val="19"/>
          <w:szCs w:val="19"/>
          <w:color w:val="auto"/>
        </w:rPr>
        <w:t>") amends the statement on Schedule 13G filed on May 19, 2016 (the "</w:t>
      </w:r>
      <w:r>
        <w:rPr>
          <w:rFonts w:ascii="Arial" w:cs="Arial" w:eastAsia="Arial" w:hAnsi="Arial"/>
          <w:sz w:val="19"/>
          <w:szCs w:val="19"/>
          <w:u w:val="single" w:color="auto"/>
          <w:color w:val="auto"/>
        </w:rPr>
        <w:t>Original Schedule 13G</w:t>
      </w:r>
      <w:r>
        <w:rPr>
          <w:rFonts w:ascii="Arial" w:cs="Arial" w:eastAsia="Arial" w:hAnsi="Arial"/>
          <w:sz w:val="19"/>
          <w:szCs w:val="19"/>
          <w:color w:val="auto"/>
        </w:rPr>
        <w:t>", as amended, the "</w:t>
      </w:r>
      <w:r>
        <w:rPr>
          <w:rFonts w:ascii="Arial" w:cs="Arial" w:eastAsia="Arial" w:hAnsi="Arial"/>
          <w:sz w:val="19"/>
          <w:szCs w:val="19"/>
          <w:u w:val="single" w:color="auto"/>
          <w:color w:val="auto"/>
        </w:rPr>
        <w:t>Schedule 13G</w:t>
      </w:r>
      <w:r>
        <w:rPr>
          <w:rFonts w:ascii="Arial" w:cs="Arial" w:eastAsia="Arial" w:hAnsi="Arial"/>
          <w:sz w:val="19"/>
          <w:szCs w:val="19"/>
          <w:color w:val="auto"/>
        </w:rPr>
        <w:t>"), with respect to shares of Common Stock, $0.001 par value (the "</w:t>
      </w:r>
      <w:r>
        <w:rPr>
          <w:rFonts w:ascii="Arial" w:cs="Arial" w:eastAsia="Arial" w:hAnsi="Arial"/>
          <w:sz w:val="19"/>
          <w:szCs w:val="19"/>
          <w:u w:val="single" w:color="auto"/>
          <w:color w:val="auto"/>
        </w:rPr>
        <w:t>Common Stock</w:t>
      </w:r>
      <w:r>
        <w:rPr>
          <w:rFonts w:ascii="Arial" w:cs="Arial" w:eastAsia="Arial" w:hAnsi="Arial"/>
          <w:sz w:val="19"/>
          <w:szCs w:val="19"/>
          <w:color w:val="auto"/>
        </w:rPr>
        <w:t>"), of VistaGen Therapeutics, Inc. (the "</w:t>
      </w:r>
      <w:r>
        <w:rPr>
          <w:rFonts w:ascii="Arial" w:cs="Arial" w:eastAsia="Arial" w:hAnsi="Arial"/>
          <w:sz w:val="19"/>
          <w:szCs w:val="19"/>
          <w:u w:val="single" w:color="auto"/>
          <w:color w:val="auto"/>
        </w:rPr>
        <w:t>Company</w:t>
      </w:r>
      <w:r>
        <w:rPr>
          <w:rFonts w:ascii="Arial" w:cs="Arial" w:eastAsia="Arial" w:hAnsi="Arial"/>
          <w:sz w:val="19"/>
          <w:szCs w:val="19"/>
          <w:color w:val="auto"/>
        </w:rPr>
        <w:t>"). Capitalized terms used herein and not otherwise defined in this Amendment have the meanings set forth in the Schedule 13G. This Amendment amends and restates Item 4 in its entirety as set forth below.</w:t>
      </w:r>
    </w:p>
    <w:p>
      <w:pPr>
        <w:spacing w:after="0" w:line="306" w:lineRule="exact"/>
        <w:rPr>
          <w:sz w:val="20"/>
          <w:szCs w:val="20"/>
          <w:color w:val="auto"/>
        </w:rPr>
      </w:pPr>
    </w:p>
    <w:p>
      <w:pPr>
        <w:ind w:left="100"/>
        <w:spacing w:after="0"/>
        <w:tabs>
          <w:tab w:leader="none" w:pos="18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35" w:lineRule="exact"/>
        <w:rPr>
          <w:sz w:val="20"/>
          <w:szCs w:val="20"/>
          <w:color w:val="auto"/>
        </w:rPr>
      </w:pPr>
    </w:p>
    <w:p>
      <w:pPr>
        <w:ind w:left="1720" w:right="120"/>
        <w:spacing w:after="0" w:line="276" w:lineRule="auto"/>
        <w:rPr>
          <w:sz w:val="20"/>
          <w:szCs w:val="20"/>
          <w:color w:val="auto"/>
        </w:rPr>
      </w:pPr>
      <w:r>
        <w:rPr>
          <w:rFonts w:ascii="Arial" w:cs="Arial" w:eastAsia="Arial" w:hAnsi="Arial"/>
          <w:sz w:val="18"/>
          <w:szCs w:val="18"/>
          <w:color w:val="auto"/>
        </w:rPr>
        <w:t>The information as of the date of the event which requires filing of this statement required by Items 4(a) – (c) is set forth in Rows 5 – 11 of the cover page for each Reporting Person hereto and is incorporated herein by reference for each such Reporting Person. The percentage set forth in Row 11 of the cover page for each Reporting Person is based on 8,379,921 shares of Common Stock issued and outstanding as of November 11, 2016, as represented in the Quarterly Report on Form 10-Q filed with the Securities and Exchange Commission on November 14, 2016 and assumes the exercise of the reported warrants (the "</w:t>
      </w:r>
      <w:r>
        <w:rPr>
          <w:rFonts w:ascii="Arial" w:cs="Arial" w:eastAsia="Arial" w:hAnsi="Arial"/>
          <w:sz w:val="18"/>
          <w:szCs w:val="18"/>
          <w:u w:val="single" w:color="auto"/>
          <w:color w:val="auto"/>
        </w:rPr>
        <w:t>Reported Warrants</w:t>
      </w:r>
      <w:r>
        <w:rPr>
          <w:rFonts w:ascii="Arial" w:cs="Arial" w:eastAsia="Arial" w:hAnsi="Arial"/>
          <w:sz w:val="18"/>
          <w:szCs w:val="18"/>
          <w:color w:val="auto"/>
        </w:rPr>
        <w:t>") subject to the Blockers (as defined below).</w:t>
      </w:r>
    </w:p>
    <w:p>
      <w:pPr>
        <w:spacing w:after="0" w:line="179" w:lineRule="exact"/>
        <w:rPr>
          <w:sz w:val="20"/>
          <w:szCs w:val="20"/>
          <w:color w:val="auto"/>
        </w:rPr>
      </w:pPr>
    </w:p>
    <w:p>
      <w:pPr>
        <w:ind w:left="1720" w:right="240"/>
        <w:spacing w:after="0" w:line="278" w:lineRule="auto"/>
        <w:rPr>
          <w:sz w:val="20"/>
          <w:szCs w:val="20"/>
          <w:color w:val="auto"/>
        </w:rPr>
      </w:pPr>
      <w:r>
        <w:rPr>
          <w:rFonts w:ascii="Arial" w:cs="Arial" w:eastAsia="Arial" w:hAnsi="Arial"/>
          <w:sz w:val="18"/>
          <w:szCs w:val="18"/>
          <w:color w:val="auto"/>
        </w:rPr>
        <w:t>Pursuant to the terms of the Reported Warrants, the Reporting Persons cannot exercise any of the Reported Warrants to the extent the Reporting Persons would beneficially own, after any such exercise, more than 4.99% of the outstanding shares of Common Stock (the "</w:t>
      </w:r>
      <w:r>
        <w:rPr>
          <w:rFonts w:ascii="Arial" w:cs="Arial" w:eastAsia="Arial" w:hAnsi="Arial"/>
          <w:sz w:val="18"/>
          <w:szCs w:val="18"/>
          <w:u w:val="single" w:color="auto"/>
          <w:color w:val="auto"/>
        </w:rPr>
        <w:t>Blockers</w:t>
      </w:r>
      <w:r>
        <w:rPr>
          <w:rFonts w:ascii="Arial" w:cs="Arial" w:eastAsia="Arial" w:hAnsi="Arial"/>
          <w:sz w:val="18"/>
          <w:szCs w:val="18"/>
          <w:color w:val="auto"/>
        </w:rPr>
        <w:t>"), and the percentage set forth in Row 11 of the cover page for each Reporting Person gives effect to the Blockers. Consequently, as of the date of the event which requires the filing of this statement, the Reporting Persons were not able to exercise any of the Reported Warrants due to the Blockers.</w:t>
      </w:r>
    </w:p>
    <w:p>
      <w:pPr>
        <w:spacing w:after="0" w:line="179" w:lineRule="exact"/>
        <w:rPr>
          <w:sz w:val="20"/>
          <w:szCs w:val="20"/>
          <w:color w:val="auto"/>
        </w:rPr>
      </w:pPr>
    </w:p>
    <w:p>
      <w:pPr>
        <w:ind w:left="1720" w:right="140"/>
        <w:spacing w:after="0" w:line="273" w:lineRule="auto"/>
        <w:rPr>
          <w:sz w:val="20"/>
          <w:szCs w:val="20"/>
          <w:color w:val="auto"/>
        </w:rPr>
      </w:pPr>
      <w:r>
        <w:rPr>
          <w:rFonts w:ascii="Arial" w:cs="Arial" w:eastAsia="Arial" w:hAnsi="Arial"/>
          <w:sz w:val="18"/>
          <w:szCs w:val="18"/>
          <w:color w:val="auto"/>
        </w:rPr>
        <w:t>The Investment Manager, which serves as the investment manager to the Empery Funds, may be deemed to be the beneficial owner of all shares of Common Stock held by, and underlying the Reported Warrants (subject to the Blockers) held by, the Empery Funds. Each of the Reporting Individuals, as Managing Members of the General Partner of the Investment Manager with the power to exercise investment discretion, may be deemed to be the beneficial owner of all shares of Common Stock held by, and underlying the Reported Warrants (subject to the Blockers) held by, the Empery Funds. The foregoing should not be construed in and of itself as an admission by any Reporting Person as to beneficial ownership of shares of Common Stock owned by another Reporting Person. Each of the Empery Funds and the Reporting Individuals hereby disclaim any beneficial ownership of any such shares of Common Stock.</w:t>
      </w:r>
    </w:p>
    <w:p>
      <w:pPr>
        <w:sectPr>
          <w:pgSz w:w="11900" w:h="16838" w:orient="portrait"/>
          <w:cols w:equalWidth="0" w:num="1">
            <w:col w:w="11420"/>
          </w:cols>
          <w:pgMar w:left="240" w:top="229" w:right="239" w:bottom="1440" w:gutter="0" w:footer="0" w:header="0"/>
        </w:sectPr>
      </w:pPr>
    </w:p>
    <w:bookmarkStart w:id="5" w:name="page6"/>
    <w:bookmarkEnd w:id="5"/>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CUSIP No. 92840H202</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6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560" w:firstLine="648"/>
        <w:spacing w:after="0" w:line="260" w:lineRule="auto"/>
        <w:rPr>
          <w:sz w:val="20"/>
          <w:szCs w:val="20"/>
          <w:color w:val="auto"/>
        </w:rPr>
      </w:pPr>
      <w:r>
        <w:rPr>
          <w:rFonts w:ascii="Arial" w:cs="Arial" w:eastAsia="Arial" w:hAnsi="Arial"/>
          <w:sz w:val="20"/>
          <w:szCs w:val="20"/>
          <w:color w:val="auto"/>
        </w:rPr>
        <w:t>After reasonable inquiry and to the best of our knowledge and belief, the undersigned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January 27, 2017</w:t>
      </w:r>
    </w:p>
    <w:p>
      <w:pPr>
        <w:spacing w:after="0" w:line="200" w:lineRule="exact"/>
        <w:rPr>
          <w:sz w:val="20"/>
          <w:szCs w:val="20"/>
          <w:color w:val="auto"/>
        </w:rPr>
      </w:pPr>
    </w:p>
    <w:p>
      <w:pPr>
        <w:spacing w:after="0" w:line="259"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EMPERY ASSET MANAGEMENT, LP</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EMPERY AM GP, LLC, its General Partner</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Ryan M. Lane</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Name: Ryan M. Lane</w:t>
      </w:r>
    </w:p>
    <w:p>
      <w:pPr>
        <w:ind w:left="538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u w:val="single" w:color="auto"/>
          <w:color w:val="auto"/>
        </w:rPr>
        <w:t>/s/ Ryan M. Lane</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Ryan M. Lane</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u w:val="single" w:color="auto"/>
          <w:color w:val="auto"/>
        </w:rPr>
        <w:t>/s/ Martin D. Hoe</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Martin D. Hoe</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3"/>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2020-01-15T23:13:04Z</dcterms:created>
  <dcterms:modified xsi:type="dcterms:W3CDTF">2020-01-15T23:13:04Z</dcterms:modified>
</cp:coreProperties>
</file>