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2740" w:type="dxa"/>
            <w:vAlign w:val="bottom"/>
          </w:tcPr>
          <w:p>
            <w:pPr>
              <w:jc w:val="right"/>
              <w:ind w:right="255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1"/>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6"/>
          </w:tcPr>
          <w:p>
            <w:pPr>
              <w:jc w:val="center"/>
              <w:ind w:right="2000"/>
              <w:spacing w:after="0"/>
              <w:rPr>
                <w:sz w:val="20"/>
                <w:szCs w:val="20"/>
                <w:color w:val="auto"/>
              </w:rPr>
            </w:pPr>
            <w:r>
              <w:rPr>
                <w:rFonts w:ascii="Arial" w:cs="Arial" w:eastAsia="Arial" w:hAnsi="Arial"/>
                <w:sz w:val="18"/>
                <w:szCs w:val="18"/>
                <w:b w:val="1"/>
                <w:bCs w:val="1"/>
                <w:color w:val="auto"/>
                <w:w w:val="88"/>
              </w:rPr>
              <w:t>Commission File Number: 000-54014</w:t>
            </w:r>
          </w:p>
        </w:tc>
      </w:tr>
      <w:tr>
        <w:trPr>
          <w:trHeight w:val="574"/>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20" w:type="dxa"/>
            <w:vAlign w:val="bottom"/>
            <w:gridSpan w:val="8"/>
          </w:tcPr>
          <w:p>
            <w:pPr>
              <w:jc w:val="center"/>
              <w:ind w:right="1160"/>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22"/>
        </w:trPr>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00" w:type="dxa"/>
            <w:vAlign w:val="bottom"/>
            <w:gridSpan w:val="6"/>
          </w:tcPr>
          <w:p>
            <w:pPr>
              <w:jc w:val="center"/>
              <w:ind w:right="2000"/>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610"/>
        </w:trPr>
        <w:tc>
          <w:tcPr>
            <w:tcW w:w="10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82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gridSpan w:val="3"/>
          </w:tcPr>
          <w:p>
            <w:pPr>
              <w:jc w:val="center"/>
              <w:ind w:left="3512"/>
              <w:spacing w:after="0"/>
              <w:rPr>
                <w:sz w:val="20"/>
                <w:szCs w:val="20"/>
                <w:color w:val="auto"/>
              </w:rPr>
            </w:pPr>
            <w:r>
              <w:rPr>
                <w:rFonts w:ascii="Arial" w:cs="Arial" w:eastAsia="Arial" w:hAnsi="Arial"/>
                <w:sz w:val="18"/>
                <w:szCs w:val="18"/>
                <w:b w:val="1"/>
                <w:bCs w:val="1"/>
                <w:color w:val="auto"/>
                <w:w w:val="87"/>
              </w:rPr>
              <w:t>20-5093315</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2400" w:type="dxa"/>
            <w:vAlign w:val="bottom"/>
            <w:gridSpan w:val="4"/>
          </w:tcPr>
          <w:p>
            <w:pPr>
              <w:jc w:val="center"/>
              <w:ind w:left="92"/>
              <w:spacing w:after="0"/>
              <w:rPr>
                <w:sz w:val="20"/>
                <w:szCs w:val="20"/>
                <w:color w:val="auto"/>
              </w:rPr>
            </w:pPr>
            <w:r>
              <w:rPr>
                <w:rFonts w:ascii="Arial" w:cs="Arial" w:eastAsia="Arial" w:hAnsi="Arial"/>
                <w:sz w:val="18"/>
                <w:szCs w:val="18"/>
                <w:i w:val="1"/>
                <w:iCs w:val="1"/>
                <w:color w:val="auto"/>
                <w:w w:val="91"/>
              </w:rPr>
              <w:t>(State or other jurisdiction of</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gridSpan w:val="3"/>
          </w:tcPr>
          <w:p>
            <w:pPr>
              <w:jc w:val="center"/>
              <w:ind w:left="241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2400" w:type="dxa"/>
            <w:vAlign w:val="bottom"/>
            <w:gridSpan w:val="4"/>
          </w:tcPr>
          <w:p>
            <w:pPr>
              <w:jc w:val="center"/>
              <w:ind w:left="92"/>
              <w:spacing w:after="0"/>
              <w:rPr>
                <w:sz w:val="20"/>
                <w:szCs w:val="20"/>
                <w:color w:val="auto"/>
              </w:rPr>
            </w:pPr>
            <w:r>
              <w:rPr>
                <w:rFonts w:ascii="Arial" w:cs="Arial" w:eastAsia="Arial" w:hAnsi="Arial"/>
                <w:sz w:val="18"/>
                <w:szCs w:val="18"/>
                <w:i w:val="1"/>
                <w:iCs w:val="1"/>
                <w:color w:val="auto"/>
                <w:w w:val="93"/>
              </w:rPr>
              <w:t>incorporation or organization)</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gridSpan w:val="3"/>
          </w:tcPr>
          <w:p>
            <w:pPr>
              <w:jc w:val="center"/>
              <w:ind w:left="241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09" w:right="239" w:bottom="1440" w:gutter="0" w:footer="0" w:header="0"/>
        </w:sectPr>
      </w:pP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ectPr>
          <w:pgSz w:w="11900" w:h="16838" w:orient="portrait"/>
          <w:cols w:equalWidth="0" w:num="4">
            <w:col w:w="2540" w:space="720"/>
            <w:col w:w="2920" w:space="720"/>
            <w:col w:w="2740" w:space="720"/>
            <w:col w:w="1060"/>
          </w:cols>
          <w:pgMar w:left="240" w:top="90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909" w:right="239" w:bottom="1440" w:gutter="0" w:footer="0" w:header="0"/>
          <w:type w:val="continuous"/>
        </w:sectPr>
      </w:pPr>
    </w:p>
    <w:p>
      <w:pPr>
        <w:spacing w:after="0" w:line="20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11, 2016, 8,379,921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30, 2016</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80" w:type="dxa"/>
            <w:vAlign w:val="bottom"/>
            <w:gridSpan w:val="10"/>
          </w:tcPr>
          <w:p>
            <w:pPr>
              <w:jc w:val="center"/>
              <w:ind w:right="3020"/>
              <w:spacing w:after="0"/>
              <w:rPr>
                <w:sz w:val="20"/>
                <w:szCs w:val="20"/>
                <w:color w:val="auto"/>
              </w:rPr>
            </w:pPr>
            <w:r>
              <w:rPr>
                <w:rFonts w:ascii="Arial" w:cs="Arial" w:eastAsia="Arial" w:hAnsi="Arial"/>
                <w:sz w:val="18"/>
                <w:szCs w:val="18"/>
                <w:b w:val="1"/>
                <w:bCs w:val="1"/>
                <w:color w:val="auto"/>
                <w:w w:val="97"/>
              </w:rPr>
              <w:t>TABLE OF CONTENTS</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40" w:type="dxa"/>
            <w:vAlign w:val="bottom"/>
            <w:gridSpan w:val="13"/>
          </w:tcPr>
          <w:p>
            <w:pPr>
              <w:jc w:val="center"/>
              <w:ind w:right="244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cente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300" w:type="dxa"/>
            <w:vAlign w:val="bottom"/>
            <w:gridSpan w:val="3"/>
            <w:shd w:val="clear" w:color="auto" w:fill="CCEEFF"/>
          </w:tcPr>
          <w:p>
            <w:pPr>
              <w:spacing w:after="0"/>
              <w:rPr>
                <w:sz w:val="15"/>
                <w:szCs w:val="15"/>
                <w:color w:val="auto"/>
              </w:rPr>
            </w:pPr>
          </w:p>
        </w:tc>
        <w:tc>
          <w:tcPr>
            <w:tcW w:w="866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340" w:type="dxa"/>
            <w:vAlign w:val="bottom"/>
            <w:gridSpan w:val="18"/>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2016 and March 31, 2016</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8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and Comprehensive Loss for the three and six months ended</w:t>
              </w:r>
            </w:hyperlink>
          </w:p>
        </w:tc>
        <w:tc>
          <w:tcPr>
            <w:tcW w:w="4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September 30, 2016 and 2015</w:t>
              </w:r>
            </w:hyperlink>
          </w:p>
        </w:tc>
        <w:tc>
          <w:tcPr>
            <w:tcW w:w="6240" w:type="dxa"/>
            <w:vAlign w:val="bottom"/>
            <w:tcBorders>
              <w:bottom w:val="single" w:sz="8" w:color="CCEEFF"/>
            </w:tcBorders>
            <w:gridSpan w:val="13"/>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340" w:type="dxa"/>
            <w:vAlign w:val="bottom"/>
            <w:gridSpan w:val="18"/>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Cash Flows for the six months ended September 30, 2016 and 2015</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1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the Condensed Consolidated Financial Statements</w:t>
              </w:r>
            </w:hyperlink>
          </w:p>
        </w:tc>
        <w:tc>
          <w:tcPr>
            <w:tcW w:w="4180" w:type="dxa"/>
            <w:vAlign w:val="bottom"/>
            <w:tcBorders>
              <w:bottom w:val="single" w:sz="8" w:color="CCEEFF"/>
            </w:tcBorders>
            <w:gridSpan w:val="7"/>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jc w:val="center"/>
              <w:ind w:right="300"/>
              <w:spacing w:after="0" w:line="17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8660" w:type="dxa"/>
            <w:vAlign w:val="bottom"/>
            <w:gridSpan w:val="19"/>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center"/>
              <w:ind w:right="300"/>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8660" w:type="dxa"/>
            <w:vAlign w:val="bottom"/>
            <w:gridSpan w:val="19"/>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0" w:type="dxa"/>
            <w:vAlign w:val="bottom"/>
            <w:gridSpan w:val="11"/>
            <w:shd w:val="clear" w:color="auto" w:fill="CCEEFF"/>
          </w:tcPr>
          <w:p>
            <w:pPr>
              <w:jc w:val="center"/>
              <w:ind w:right="2880"/>
              <w:spacing w:after="0" w:line="176" w:lineRule="exact"/>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 OTHER INFORMATION</w:t>
              </w:r>
            </w:hyperlink>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300" w:type="dxa"/>
            <w:vAlign w:val="bottom"/>
            <w:tcBorders>
              <w:bottom w:val="single" w:sz="8" w:color="CCEEFF"/>
            </w:tcBorders>
            <w:gridSpan w:val="3"/>
            <w:shd w:val="clear" w:color="auto" w:fill="CCEEFF"/>
          </w:tcPr>
          <w:p>
            <w:pPr>
              <w:spacing w:after="0"/>
              <w:rPr>
                <w:sz w:val="17"/>
                <w:szCs w:val="17"/>
                <w:color w:val="auto"/>
              </w:rPr>
            </w:pPr>
          </w:p>
        </w:tc>
        <w:tc>
          <w:tcPr>
            <w:tcW w:w="13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Legal Proceedings</w:t>
              </w:r>
            </w:hyperlink>
          </w:p>
        </w:tc>
        <w:tc>
          <w:tcPr>
            <w:tcW w:w="7360" w:type="dxa"/>
            <w:vAlign w:val="bottom"/>
            <w:tcBorders>
              <w:bottom w:val="single" w:sz="8" w:color="CCEEFF"/>
            </w:tcBorders>
            <w:gridSpan w:val="15"/>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6"/>
          </w:tcPr>
          <w:p>
            <w:pPr>
              <w:jc w:val="center"/>
              <w:ind w:right="20"/>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1A.</w:t>
              </w:r>
            </w:hyperlink>
          </w:p>
        </w:tc>
        <w:tc>
          <w:tcPr>
            <w:tcW w:w="8660" w:type="dxa"/>
            <w:vAlign w:val="bottom"/>
            <w:gridSpan w:val="19"/>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2.</w:t>
              </w:r>
            </w:hyperlink>
          </w:p>
        </w:tc>
        <w:tc>
          <w:tcPr>
            <w:tcW w:w="300" w:type="dxa"/>
            <w:vAlign w:val="bottom"/>
            <w:tcBorders>
              <w:bottom w:val="single" w:sz="8" w:color="CCEEFF"/>
            </w:tcBorders>
            <w:gridSpan w:val="3"/>
            <w:shd w:val="clear" w:color="auto" w:fill="CCEEFF"/>
          </w:tcPr>
          <w:p>
            <w:pPr>
              <w:spacing w:after="0"/>
              <w:rPr>
                <w:sz w:val="17"/>
                <w:szCs w:val="17"/>
                <w:color w:val="auto"/>
              </w:rPr>
            </w:pPr>
          </w:p>
        </w:tc>
        <w:tc>
          <w:tcPr>
            <w:tcW w:w="42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Unregistered Sales of Equity Securities and Use of Proceeds</w:t>
              </w:r>
            </w:hyperlink>
          </w:p>
        </w:tc>
        <w:tc>
          <w:tcPr>
            <w:tcW w:w="4420" w:type="dxa"/>
            <w:vAlign w:val="bottom"/>
            <w:tcBorders>
              <w:bottom w:val="single" w:sz="8" w:color="CCEEFF"/>
            </w:tcBorders>
            <w:gridSpan w:val="8"/>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jc w:val="center"/>
              <w:ind w:right="300"/>
              <w:spacing w:after="0" w:line="17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3.</w:t>
              </w:r>
            </w:hyperlink>
          </w:p>
        </w:tc>
        <w:tc>
          <w:tcPr>
            <w:tcW w:w="8660" w:type="dxa"/>
            <w:vAlign w:val="bottom"/>
            <w:gridSpan w:val="19"/>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Defaults Upon Senior Secured Securities</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center"/>
              <w:ind w:right="300"/>
              <w:spacing w:after="0" w:line="17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6.</w:t>
              </w:r>
            </w:hyperlink>
          </w:p>
        </w:tc>
        <w:tc>
          <w:tcPr>
            <w:tcW w:w="8660" w:type="dxa"/>
            <w:vAlign w:val="bottom"/>
            <w:gridSpan w:val="19"/>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6"/>
            <w:shd w:val="clear" w:color="auto" w:fill="CCEEFF"/>
          </w:tcPr>
          <w:p>
            <w:pPr>
              <w:jc w:val="center"/>
              <w:ind w:right="20"/>
              <w:spacing w:after="0" w:line="17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SIGNATURES</w:t>
              </w:r>
            </w:hyperlink>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52"/>
              <w:spacing w:after="0" w:line="17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540" w:top="719" w:right="519" w:bottom="1440" w:gutter="0" w:footer="0" w:header="0"/>
        </w:sectPr>
      </w:pPr>
    </w:p>
    <w:bookmarkStart w:id="2" w:name="page3"/>
    <w:bookmarkEnd w:id="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40" w:type="dxa"/>
            <w:vAlign w:val="bottom"/>
          </w:tcPr>
          <w:p>
            <w:pPr>
              <w:jc w:val="center"/>
              <w:ind w:left="3052"/>
              <w:spacing w:after="0"/>
              <w:rPr>
                <w:sz w:val="20"/>
                <w:szCs w:val="20"/>
                <w:color w:val="auto"/>
              </w:rPr>
            </w:pPr>
            <w:r>
              <w:rPr>
                <w:rFonts w:ascii="Arial" w:cs="Arial" w:eastAsia="Arial" w:hAnsi="Arial"/>
                <w:sz w:val="18"/>
                <w:szCs w:val="18"/>
                <w:b w:val="1"/>
                <w:bCs w:val="1"/>
                <w:color w:val="auto"/>
                <w:w w:val="98"/>
              </w:rPr>
              <w:t>VISTAGEN THERAPEUTICS, INC.</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240" w:type="dxa"/>
            <w:vAlign w:val="bottom"/>
          </w:tcPr>
          <w:p>
            <w:pPr>
              <w:jc w:val="center"/>
              <w:ind w:left="305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40" w:type="dxa"/>
            <w:vAlign w:val="bottom"/>
          </w:tcPr>
          <w:p>
            <w:pPr>
              <w:jc w:val="center"/>
              <w:ind w:left="307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40" w:type="dxa"/>
            <w:vAlign w:val="bottom"/>
            <w:vMerge w:val="restart"/>
          </w:tcPr>
          <w:p>
            <w:pPr>
              <w:jc w:val="center"/>
              <w:ind w:left="3092"/>
              <w:spacing w:after="0"/>
              <w:rPr>
                <w:sz w:val="20"/>
                <w:szCs w:val="20"/>
                <w:color w:val="auto"/>
              </w:rPr>
            </w:pPr>
            <w:r>
              <w:rPr>
                <w:rFonts w:ascii="Arial" w:cs="Arial" w:eastAsia="Arial" w:hAnsi="Arial"/>
                <w:sz w:val="18"/>
                <w:szCs w:val="18"/>
                <w:b w:val="1"/>
                <w:bCs w:val="1"/>
                <w:color w:val="auto"/>
                <w:w w:val="91"/>
              </w:rPr>
              <w:t>ASSETS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(Unaudited)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 and other assets</w:t>
            </w: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7,023,000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92"/>
              <w:spacing w:after="0"/>
              <w:rPr>
                <w:sz w:val="20"/>
                <w:szCs w:val="20"/>
                <w:color w:val="auto"/>
              </w:rPr>
            </w:pPr>
            <w:r>
              <w:rPr>
                <w:rFonts w:ascii="Arial" w:cs="Arial" w:eastAsia="Arial" w:hAnsi="Arial"/>
                <w:sz w:val="18"/>
                <w:szCs w:val="18"/>
                <w:b w:val="1"/>
                <w:bCs w:val="1"/>
                <w:color w:val="auto"/>
              </w:rPr>
              <w:t>LIABILITIES AND STOCKHOLDERS’ EQUITY (DEFICIT)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930,200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Current portion of notes payable and accrued interest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71,100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1,794,700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Accrued dividends on Series B Preferred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2,089,600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rent liability</w:t>
            </w: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Total non-current liabilities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2,935,900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w w:val="92"/>
              </w:rPr>
              <w:t>Preferred stock, $0.001 par value; 10,000,000 shares authorized at September 30, 2016 and March 31, 2016: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Series A Preferred, 500,000 shares authorized and outstanding at September 30, 2016 and March 31, 2016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w w:val="87"/>
              </w:rPr>
              <w:t>Series B Preferred; 4,000,000 shares authorized at September 30, 2016 and March 31, 2016; 1,160,240 shares</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and</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w w:val="98"/>
              </w:rPr>
              <w:t>3,663,077 shares issued and outstanding at September 30, 2016 and March 31, 2016, respectively</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7"/>
              </w:rPr>
              <w:t>Series C Preferred; 3,000,000 shares authorized at September 30, 2016 and March 31, 2016; 2,318,012 shares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issued and outstanding at September 30, 2016 and March 31, 2016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gridSpan w:val="3"/>
          </w:tcPr>
          <w:p>
            <w:pPr>
              <w:ind w:left="160"/>
              <w:spacing w:after="0"/>
              <w:rPr>
                <w:sz w:val="20"/>
                <w:szCs w:val="20"/>
                <w:color w:val="auto"/>
              </w:rPr>
            </w:pPr>
            <w:r>
              <w:rPr>
                <w:rFonts w:ascii="Arial" w:cs="Arial" w:eastAsia="Arial" w:hAnsi="Arial"/>
                <w:sz w:val="18"/>
                <w:szCs w:val="18"/>
                <w:color w:val="auto"/>
                <w:w w:val="91"/>
              </w:rPr>
              <w:t>Common stock, $0.001 par value; 30,000,000 shares authorized at September 30, 2016 and March 31, 2016; 8,405,128</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and 2,623,145 shares issued at September 30, 2016 and March 31, 2016, respectively</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144,854,200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132,725,000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w w:val="94"/>
              </w:rPr>
              <w:t>Treasury stock, at cost, 135,665 shares of common stock held at September 30, 2016 and March 31, 2016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(136,811,400)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(131,743,200)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Total stockholders’ equity (deficit)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4,087,100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(2,977,200)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 (deficit)</w:t>
            </w: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7,023,000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 w:name="page4"/>
    <w:bookmarkEnd w:id="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1,606,100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1,656,100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2,431,800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1,493,600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3,730,500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2,631,200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3,099,700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5,386,600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7,207,700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(3,099,700)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(5,386,600)</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(5,063,000)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(7,207,700)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(12,200)</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warrant liability</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(1,649,300)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(26,700,200)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(3,101,100)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(7,048,100)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(5,065,800)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(36,569,900)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(3,101,100)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(7,048,100)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(5,068,200)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(36,572,200)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(614,700)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Deemed dividend on Series B Preferred Units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(886,900)</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(111,100)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(1,143,100)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(3,342,100)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(8,549,700)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(5,960,100)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(38,543,300)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196" w:lineRule="exact"/>
              <w:rPr>
                <w:sz w:val="20"/>
                <w:szCs w:val="20"/>
                <w:color w:val="auto"/>
              </w:rPr>
            </w:pPr>
            <w:r>
              <w:rPr>
                <w:rFonts w:ascii="Arial" w:cs="Arial" w:eastAsia="Arial" w:hAnsi="Arial"/>
                <w:sz w:val="18"/>
                <w:szCs w:val="18"/>
                <w:color w:val="auto"/>
                <w:w w:val="92"/>
              </w:rPr>
              <w:t>Basic and diluted net loss attributable to common stockholders per common share</w:t>
            </w:r>
          </w:p>
        </w:tc>
        <w:tc>
          <w:tcPr>
            <w:tcW w:w="220" w:type="dxa"/>
            <w:vAlign w:val="bottom"/>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(0.42)</w:t>
            </w:r>
          </w:p>
        </w:tc>
        <w:tc>
          <w:tcPr>
            <w:tcW w:w="220" w:type="dxa"/>
            <w:vAlign w:val="bottom"/>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(5.26)</w:t>
            </w:r>
          </w:p>
        </w:tc>
        <w:tc>
          <w:tcPr>
            <w:tcW w:w="220" w:type="dxa"/>
            <w:vAlign w:val="bottom"/>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(0.91)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89"/>
              </w:rPr>
              <w:t>Weighted average shares used in computing basic and diluted net loss attributable to</w:t>
            </w:r>
          </w:p>
        </w:tc>
        <w:tc>
          <w:tcPr>
            <w:tcW w:w="2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8,041,619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1,624,371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6,577,769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1,592,104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080" w:type="dxa"/>
            <w:vAlign w:val="bottom"/>
            <w:gridSpan w:val="2"/>
          </w:tcPr>
          <w:p>
            <w:pPr>
              <w:spacing w:after="0" w:line="151" w:lineRule="exact"/>
              <w:rPr>
                <w:sz w:val="20"/>
                <w:szCs w:val="20"/>
                <w:color w:val="auto"/>
              </w:rPr>
            </w:pPr>
            <w:r>
              <w:rPr>
                <w:rFonts w:ascii="Arial" w:cs="Arial" w:eastAsia="Arial" w:hAnsi="Arial"/>
                <w:sz w:val="16"/>
                <w:szCs w:val="16"/>
                <w:color w:val="auto"/>
              </w:rPr>
              <w:t>common stockholders per common share</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(3,101,100)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(7,048,100)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(5,068,200)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(36,572,200)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jc w:val="center"/>
              <w:ind w:left="249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800" w:type="dxa"/>
            <w:vAlign w:val="bottom"/>
          </w:tcPr>
          <w:p>
            <w:pPr>
              <w:jc w:val="center"/>
              <w:ind w:left="2512"/>
              <w:spacing w:after="0"/>
              <w:rPr>
                <w:sz w:val="20"/>
                <w:szCs w:val="20"/>
                <w:color w:val="auto"/>
              </w:rPr>
            </w:pPr>
            <w:r>
              <w:rPr>
                <w:rFonts w:ascii="Arial" w:cs="Arial" w:eastAsia="Arial" w:hAnsi="Arial"/>
                <w:sz w:val="18"/>
                <w:szCs w:val="18"/>
                <w:b w:val="1"/>
                <w:bCs w:val="1"/>
                <w:color w:val="auto"/>
                <w:w w:val="96"/>
              </w:rPr>
              <w:t>CONDENSED CONSOLIDATED STATEMENTS OF CASH FLOWS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center"/>
              <w:ind w:left="2492"/>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jc w:val="center"/>
              <w:ind w:left="2492"/>
              <w:spacing w:after="0"/>
              <w:rPr>
                <w:sz w:val="20"/>
                <w:szCs w:val="20"/>
                <w:color w:val="auto"/>
              </w:rPr>
            </w:pPr>
            <w:r>
              <w:rPr>
                <w:rFonts w:ascii="Arial" w:cs="Arial" w:eastAsia="Arial" w:hAnsi="Arial"/>
                <w:sz w:val="18"/>
                <w:szCs w:val="18"/>
                <w:b w:val="1"/>
                <w:bCs w:val="1"/>
                <w:color w:val="auto"/>
                <w:w w:val="89"/>
              </w:rPr>
              <w:t>(Amounts in Dollars)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(5,068,200)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(36,572,200)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Amortization of discounts on convertible and promissory notes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warrant liability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3,769,900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Expense related to modification of warrants, including exchange of warrants for Series C Preferred and common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57,400</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Amortization of deferred rent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(18,100)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Fair value of common stock granted for services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Fair value of Series B Preferred stock granted for services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Fair value of warrants granted for services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Gain on currency fluctuation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26,700,200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Accounts payable and accrued expenses, including accrued interest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(36,800)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(3,873,100)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(2,329,500)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Purchases of equipment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(7,700)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9,537,100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proceeds from issuance of Series B Preferred Units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Repayment of capital lease obligations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notes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9,709,400</w:t>
            </w:r>
          </w:p>
        </w:tc>
        <w:tc>
          <w:tcPr>
            <w:tcW w:w="2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2,953,500</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6,257,100</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w w:val="90"/>
              </w:rPr>
              <w:t>Conversion of Senior Secured Notes, Subordinate Convertible Notes, Promissory Notes, Accounts payable and 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debt into Series B Preferred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18,891,400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 premiums settled by issuing note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Accrued dividends on Series B Preferred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780,800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828,000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dividends on Series B Preferred settled upon conversion by issuance of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VistaGen Therapeutics, Inc. (NASDAQ: VTGN), a Nevada corporation, is a clinical-stage biopharmaceutical company dedicated to developing and commercializing innovative product candidates for patients with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xml:space="preserve">).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w:t>
      </w:r>
      <w:r>
        <w:rPr>
          <w:rFonts w:ascii="Arial" w:cs="Arial" w:eastAsia="Arial" w:hAnsi="Arial"/>
          <w:sz w:val="18"/>
          <w:szCs w:val="18"/>
          <w:i w:val="1"/>
          <w:iCs w:val="1"/>
          <w:color w:val="auto"/>
        </w:rPr>
        <w:t xml:space="preserve"> </w:t>
      </w:r>
      <w:r>
        <w:rPr>
          <w:rFonts w:ascii="Arial" w:cs="Arial" w:eastAsia="Arial" w:hAnsi="Arial"/>
          <w:sz w:val="18"/>
          <w:szCs w:val="18"/>
          <w:color w:val="auto"/>
        </w:rPr>
        <w:t>VistaGen Therapeutics, Inc., a Nevada corporation.</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lead product candidate, AV-101, is a new generation, oral antidepressant drug candidate in Phase 2 development for the adjunctive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We believe AV-101 may also have therapeutic potential in chronic neuropathic pain, epilepsy, Huntington’s disease and Parkinson’s disease.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AV-101’s mechanism of action, as an N-methyl D 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antagonist binding selectively at the glycine binding (</w:t>
      </w:r>
      <w:r>
        <w:rPr>
          <w:rFonts w:ascii="Arial" w:cs="Arial" w:eastAsia="Arial" w:hAnsi="Arial"/>
          <w:sz w:val="18"/>
          <w:szCs w:val="18"/>
          <w:i w:val="1"/>
          <w:iCs w:val="1"/>
          <w:color w:val="auto"/>
        </w:rPr>
        <w:t>GlyB</w:t>
      </w:r>
      <w:r>
        <w:rPr>
          <w:rFonts w:ascii="Arial" w:cs="Arial" w:eastAsia="Arial" w:hAnsi="Arial"/>
          <w:sz w:val="18"/>
          <w:szCs w:val="18"/>
          <w:color w:val="auto"/>
        </w:rPr>
        <w:t>) co-agonist site of the NMDAR, is fundamentally differentiated from all FDA-approved antidepressants, as well as all atypical antipsychotics used to augment standard antidepressant therapy.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ongoing Phase 2a clinical study of AV-101 in subjects with treatment-resistant MDD is being fully funded by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under our February 2015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NIMH, and is being conducted by Dr. Carlos Zarate, Jr., Chief of the NIMH’s Experimental Therapeutics &amp; Pathophysiology Branch and its Section on Neurobiology and Treatment of Mood and Anxiety Disorders. The first patient in this NIMH-sponsored Phase 2a study was dosed in November 2015. Previous NIMH studies, including studies conducted by Dr. Zarate, have focused on the antidepressant effects of low dose, intravenous (</w:t>
      </w:r>
      <w:r>
        <w:rPr>
          <w:rFonts w:ascii="Arial" w:cs="Arial" w:eastAsia="Arial" w:hAnsi="Arial"/>
          <w:sz w:val="18"/>
          <w:szCs w:val="18"/>
          <w:i w:val="1"/>
          <w:iCs w:val="1"/>
          <w:color w:val="auto"/>
        </w:rPr>
        <w:t>I.V.</w:t>
      </w:r>
      <w:r>
        <w:rPr>
          <w:rFonts w:ascii="Arial" w:cs="Arial" w:eastAsia="Arial" w:hAnsi="Arial"/>
          <w:sz w:val="18"/>
          <w:szCs w:val="18"/>
          <w:color w:val="auto"/>
        </w:rPr>
        <w:t>) ketamine in patients with treatment-resistant depression. These NIMH studies, as well as clinical research by others, have demonstrated robust antidepressant effects in patients with treatment-resistant MDD within twenty-four hours of a single low dose of I.V. ketamine. We believe orally administered AV-101 may have potential to deliver ketamine-like fast-acting antidepressant effects without ketamine’s serious side effects.</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preparing to launch our Phase 2b clinical study of AV-101 for the adjunctive treatment of MDD in patients with an inadequate response to standard, FDA-approved antidepressants. We currently anticipate commencement of this multi-center, multi-dose, double blind, placebo-controlled Phase 2b efficacy and safety study in the first half of 2017.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Phase 2b study of AV-101 in MDD. Dr. Fava was the co-Principal Investigator with Dr. A. John Rush of the largest clinical trial conducted in depression to date, the STAR*D study,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in this Phase 2b study in the third calendar quarter of 2018.</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clinical development of AV-101, we are advancing potential commercial applications of our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technology platform, including drug rescue and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Our small molecule drug rescue programs involve using CardioSafe 3D, our customized cardiac bioassay system, to develop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internal pipeline. Potential RM applications include using blood, cartilage, heart and/or liver cells derived from hPSCs for (A) cell-based therapy, (B) cell repair therapy, and/or (C) tissue engineering. We may pursue these drug rescue and RM applications in collaboration with third-parties.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estimates that 350 million people worldwide are affected by depression. According to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one in 10 Americans over the age of 12 takes an antidepressant medication.</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Most standard, FDA-approved antidepressants target neurotransmitter reuptake inhibition – either serotonin (</w:t>
      </w:r>
      <w:r>
        <w:rPr>
          <w:rFonts w:ascii="Arial" w:cs="Arial" w:eastAsia="Arial" w:hAnsi="Arial"/>
          <w:sz w:val="16"/>
          <w:szCs w:val="16"/>
          <w:i w:val="1"/>
          <w:iCs w:val="1"/>
          <w:color w:val="auto"/>
        </w:rPr>
        <w:t>SSRIs</w:t>
      </w:r>
      <w:r>
        <w:rPr>
          <w:rFonts w:ascii="Arial" w:cs="Arial" w:eastAsia="Arial" w:hAnsi="Arial"/>
          <w:sz w:val="16"/>
          <w:szCs w:val="16"/>
          <w:color w:val="auto"/>
        </w:rPr>
        <w:t>) or serotonin/norepinephrine (</w:t>
      </w:r>
      <w:r>
        <w:rPr>
          <w:rFonts w:ascii="Arial" w:cs="Arial" w:eastAsia="Arial" w:hAnsi="Arial"/>
          <w:sz w:val="16"/>
          <w:szCs w:val="16"/>
          <w:i w:val="1"/>
          <w:iCs w:val="1"/>
          <w:color w:val="auto"/>
        </w:rPr>
        <w:t>SNRIs</w:t>
      </w:r>
      <w:r>
        <w:rPr>
          <w:rFonts w:ascii="Arial" w:cs="Arial" w:eastAsia="Arial" w:hAnsi="Arial"/>
          <w:sz w:val="16"/>
          <w:szCs w:val="16"/>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as many as four different standard antidepressants, nearly one out of every three drug-treated depression patients do not achieve adequate therapeutic benefits. Such depression patients often seek to treat their depression with non-drug-related approaches, such as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or to augment their inadequate response to standard antidepressants by adding an atypical antipsychotic (such as, for example, aripiprazole) to their treatment regimen, despite the modest potential therapeutic benefit and significant risk of additional side effects with such augmentation options.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All standard antidepressants have risks of significant side effects, including, among others, potentially anxiety, metabolic syndrome, sleep disturbance and sexual dysfunction. They also have a “Black Box” warning due to risks of worsening depression and suicide in certain groups.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 Use of ECT increases the risk of serious side effects, including, headaches, tiredness, disorientation, intense sleepiness, hallucinations and long-term memory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AV-101, our oral new generation antidepressant 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6"/>
          <w:szCs w:val="16"/>
          <w:i w:val="1"/>
          <w:iCs w:val="1"/>
          <w:color w:val="auto"/>
        </w:rPr>
        <w:t>Journal of Pharmacology and Experimental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Therapeutics, </w:t>
      </w:r>
      <w:r>
        <w:rPr>
          <w:rFonts w:ascii="Arial" w:cs="Arial" w:eastAsia="Arial" w:hAnsi="Arial"/>
          <w:sz w:val="16"/>
          <w:szCs w:val="16"/>
          <w:color w:val="auto"/>
        </w:rPr>
        <w:t>in an article entitled,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 statistically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significant antidepressant-like responses, following a single treatment. These responses were equivalent to those seen with a single, sub-anesthetic control dose of the NMDAR antagonist ketamine. In the same preclinical studies, a standard antidepressant, the SSRI fluoxetine, did not induce rapid onset antidepressant-like responses. In addition, these studies confirmed that the fast-acting antidepressive effects of AV-101 were mediated through the GlyB site and involved the activation of a key neurological pathway, the alpha-amino-3-hydroxy-5-methyl-4-isoxazolepropionic acid </w:t>
      </w:r>
      <w:r>
        <w:rPr>
          <w:rFonts w:ascii="Arial" w:cs="Arial" w:eastAsia="Arial" w:hAnsi="Arial"/>
          <w:sz w:val="16"/>
          <w:szCs w:val="16"/>
          <w:b w:val="1"/>
          <w:bCs w:val="1"/>
          <w:color w:val="auto"/>
        </w:rPr>
        <w:t>(</w:t>
      </w:r>
      <w:r>
        <w:rPr>
          <w:rFonts w:ascii="Arial" w:cs="Arial" w:eastAsia="Arial" w:hAnsi="Arial"/>
          <w:sz w:val="16"/>
          <w:szCs w:val="16"/>
          <w:i w:val="1"/>
          <w:iCs w:val="1"/>
          <w:color w:val="auto"/>
        </w:rPr>
        <w:t>AMPA</w:t>
      </w:r>
      <w:r>
        <w:rPr>
          <w:rFonts w:ascii="Arial" w:cs="Arial" w:eastAsia="Arial" w:hAnsi="Arial"/>
          <w:sz w:val="16"/>
          <w:szCs w:val="16"/>
          <w:color w:val="auto"/>
        </w:rPr>
        <w:t>) receptor pathway. Activation of the AMPA receptor pathway is a common feature of fast-acting antidepressants.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Following the completion of our NIH-funded, randomized, double blind, placebo-controlled Phase 1a and Phase 1b safety studies, we are now collaborating with the NIMH in a Phase 2a study. Under our February 2015 CRADA, the NIMH is funding, and Dr. Carlos Zarate Jr. of the NIMH as Principal Investigator is conducting, our ongoing Phase 2a efficacy and safety study of AV-101 in subjects with treatment-resistant MDD. The trial is expected to enroll 20 to 28 patients. The first patient was dosed in November 2015, and we currently anticipate receiving topline results in the second quarter of 2017.</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preparing to launch our Phase 2b clinical study of AV-101 for the adjunctive treatment of MDD in patients with an inadequate response to standard, FDA-approved antidepressants. We anticipate the launch of this Phase 2b study, with Dr. Maurizio Fava of Harvard Medical School serving as Principal Investigator, in the first half of 2017. We anticipate top line results from this Phase 2b study in the third calendar quarter of 2018.</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preclinical studies support the hypothesis that AV-101 also has the potential to treat multiple CNS disorders and neurodegenerative diseases in addition to depression, including chronic neuropathic pain, epilepsy, Parkinson’s disease and Huntington’s disease, where modulation of the NMDAR, AMPA pathway and/or active metabolites of AV-101 may achieve therapeutic benefit.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 long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they are ever tested in animal and human studies. Our current strategic interests involving our stem cell technology platform include (i) advancing current internal efforts focused 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drug rescue to expand our drug candidate pipeline with selected proprietary small molecule NCEs, leveraging substantial prior research and development investments by pharmaceutical companies and others related to public domain NCEs terminated before FDA approval due to heart toxicity risks and (ii) establishing collaborative arrangements with qualified third-parties focused on RM applications, including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involving hPSC-derived blood, bone, cartilage, heart and/or liver cells. We may collaborate with one or more third-parties in connection with these potential commercial applications of our stem cell technology platform.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a California corporation (</w:t>
      </w:r>
      <w:r>
        <w:rPr>
          <w:rFonts w:ascii="Arial" w:cs="Arial" w:eastAsia="Arial" w:hAnsi="Arial"/>
          <w:sz w:val="18"/>
          <w:szCs w:val="18"/>
          <w:i w:val="1"/>
          <w:iCs w:val="1"/>
          <w:color w:val="auto"/>
        </w:rPr>
        <w:t>VistaGen California</w:t>
      </w:r>
      <w:r>
        <w:rPr>
          <w:rFonts w:ascii="Arial" w:cs="Arial" w:eastAsia="Arial" w:hAnsi="Arial"/>
          <w:sz w:val="18"/>
          <w:szCs w:val="18"/>
          <w:color w:val="auto"/>
        </w:rPr>
        <w:t>), is our wholly-owned subsidiary.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w:t>
      </w:r>
      <w:r>
        <w:rPr>
          <w:rFonts w:ascii="Arial" w:cs="Arial" w:eastAsia="Arial" w:hAnsi="Arial"/>
          <w:sz w:val="16"/>
          <w:szCs w:val="16"/>
          <w:i w:val="1"/>
          <w:iCs w:val="1"/>
          <w:color w:val="auto"/>
        </w:rPr>
        <w:t>U.S. GAAP</w:t>
      </w:r>
      <w:r>
        <w:rPr>
          <w:rFonts w:ascii="Arial" w:cs="Arial" w:eastAsia="Arial" w:hAnsi="Arial"/>
          <w:sz w:val="16"/>
          <w:szCs w:val="16"/>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2016 has been derived from our audited consolidated financial statements at that date but does not include all disclosures required by U.S. GAAP. The operating results for the three and six months ended September 30, 2016 are not necessarily indicative of the operating results to be expected for our fiscal year ending March 31, 2017 or for any other interim period or any other future period.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our audited Consolidated Financial Statements for the fiscal year ended March 31, 2016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24, 2016.</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accompanying unaudited Condensed Consolidated Financial Statements have been prepared assuming we will continue as a going concern. As a developing-technology company having not yet developed commercial products or achieved sustainable revenues, we have experienced recurring losses and negative cash flows from operations resulting in a deficit of $136.8 million accumulated from inception through September 30, 2016.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Since our inception in May 1998 through September 30, 2016, we have financed our operations and technology acquisitions primarily through the issuance and sale of our equity and debt securities, including convertible promissory notes and short-term promissory notes, for cash proceeds of approximately $44.3 million, as well as from an aggregate of approximately $16.4 million of government research grant awards, strategic collaboration payments and other revenues. Additionally, we have issued equity securities with an approximate value at issuance of $30.1 million in non-cash settlements of certain liabilities, including liabilities for professional services rendered to us or as compensation for such services.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Between April 1, 2016 and May 4, 2016, we sold to accredited investors Series B Preferred Units consisting of 39,714 unregistered shares of our Series B Preferred Stock, par value $0.001 per share (</w:t>
      </w:r>
      <w:r>
        <w:rPr>
          <w:rFonts w:ascii="Arial" w:cs="Arial" w:eastAsia="Arial" w:hAnsi="Arial"/>
          <w:sz w:val="16"/>
          <w:szCs w:val="16"/>
          <w:i w:val="1"/>
          <w:iCs w:val="1"/>
          <w:color w:val="auto"/>
        </w:rPr>
        <w:t>Series B Preferred</w:t>
      </w:r>
      <w:r>
        <w:rPr>
          <w:rFonts w:ascii="Arial" w:cs="Arial" w:eastAsia="Arial" w:hAnsi="Arial"/>
          <w:sz w:val="16"/>
          <w:szCs w:val="16"/>
          <w:color w:val="auto"/>
        </w:rPr>
        <w:t xml:space="preserve">), and five year warrants to purchase 39,714 shares of our common stock, from which we received cash proceeds of $278,000. Further, on May 16, 2016 we consummated an underwritten public offering pursuant to which we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 (the </w:t>
      </w:r>
      <w:r>
        <w:rPr>
          <w:rFonts w:ascii="Arial" w:cs="Arial" w:eastAsia="Arial" w:hAnsi="Arial"/>
          <w:sz w:val="16"/>
          <w:szCs w:val="16"/>
          <w:i w:val="1"/>
          <w:iCs w:val="1"/>
          <w:color w:val="auto"/>
        </w:rPr>
        <w:t>May 2016 Public Offering</w:t>
      </w:r>
      <w:r>
        <w:rPr>
          <w:rFonts w:ascii="Arial" w:cs="Arial" w:eastAsia="Arial" w:hAnsi="Arial"/>
          <w:sz w:val="16"/>
          <w:szCs w:val="16"/>
          <w:color w:val="auto"/>
        </w:rPr>
        <w:t>). We received net cash proceeds of approximately $9.5 million from the May 2016 Public Offering after deducting fees and expenses. We believe that we currently have sufficient financial resources to fund our expected operations through the first half of 2017, including preparation for and launch of our AV-101 Phase 2b study in MDD. Although our current financial resources are not yet sufficient to complete our AV-101 Phase 2b study when launched, we anticipate raising sufficient additional capital through sales of our securities in 2017 to satisfy our key corporate objectives, including completion of our AV-101 Phase 2b study in 2018. There can be no assurance, however, that future financing will be available in sufficient amounts, in a timely manner, or on terms acceptable to us, if at all. We may also seek research and development collaborations that could generate revenue, as well as government grant awards. Further, strategic collaborations, such as our February 2015 CRADA with the NIMH providing for the NIMH to fund our Phase 2a study of AV-101 in MDD, may provide non-dilutive resources to advance our strategic initiatives while reducing a portion of our future cash outlays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accounting, public company compliance and other professional services and working capital costs.</w:t>
      </w:r>
    </w:p>
    <w:p>
      <w:pPr>
        <w:sectPr>
          <w:pgSz w:w="11900" w:h="16838" w:orient="portrait"/>
          <w:cols w:equalWidth="0" w:num="1">
            <w:col w:w="11420"/>
          </w:cols>
          <w:pgMar w:left="240" w:top="130" w:right="239" w:bottom="4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427" w:gutter="0" w:footer="0" w:header="0"/>
          <w:type w:val="continuous"/>
        </w:sectPr>
      </w:pPr>
    </w:p>
    <w:bookmarkStart w:id="8" w:name="page9"/>
    <w:bookmarkEnd w:id="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unaudited Condensed Consolidated Financial Statements do not include any adjustments that might result from the outcome of this uncertainty.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to value warrants, warrant modifications, warrant liabilities. We do not currently have, nor have we had during the periods covered by this report, any arrangements requiring the recognition of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nonclinical and clinical development of AV-101, now in Phase 2 clinical development, initially for Major Depressive Disorder, stem cell technology-related research and development costs, and costs related to the filing, maintenance and prosecution of patents and patent applications. All such costs are charged to expense as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six months ended September 30,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Six Months Ended</w:t>
            </w:r>
          </w:p>
        </w:tc>
      </w:tr>
      <w:tr>
        <w:trPr>
          <w:trHeight w:val="237"/>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r>
      <w:tr>
        <w:trPr>
          <w:trHeight w:val="214"/>
        </w:trPr>
        <w:tc>
          <w:tcPr>
            <w:tcW w:w="608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8"/>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31,900</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Warrants granted to officer in March 2014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5,700</w:t>
            </w:r>
          </w:p>
        </w:tc>
        <w:tc>
          <w:tcPr>
            <w:tcW w:w="1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Warrants granted to officer in September 2015</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140" w:type="dxa"/>
            <w:vAlign w:val="bottom"/>
            <w:shd w:val="clear" w:color="auto" w:fill="CCEEFF"/>
          </w:tcPr>
          <w:p>
            <w:pPr>
              <w:spacing w:after="0"/>
              <w:rPr>
                <w:sz w:val="18"/>
                <w:szCs w:val="18"/>
                <w:color w:val="auto"/>
              </w:rPr>
            </w:pPr>
          </w:p>
        </w:tc>
      </w:tr>
      <w:tr>
        <w:trPr>
          <w:trHeight w:val="208"/>
        </w:trPr>
        <w:tc>
          <w:tcPr>
            <w:tcW w:w="6080" w:type="dxa"/>
            <w:vAlign w:val="bottom"/>
          </w:tcPr>
          <w:p>
            <w:pPr>
              <w:ind w:left="260"/>
              <w:spacing w:after="0"/>
              <w:rPr>
                <w:sz w:val="20"/>
                <w:szCs w:val="20"/>
                <w:color w:val="auto"/>
              </w:rPr>
            </w:pPr>
            <w:r>
              <w:rPr>
                <w:rFonts w:ascii="Arial" w:cs="Arial" w:eastAsia="Arial" w:hAnsi="Arial"/>
                <w:sz w:val="18"/>
                <w:szCs w:val="18"/>
                <w:color w:val="auto"/>
              </w:rPr>
              <w:t>Warrants granted to officers and directors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080" w:type="dxa"/>
            <w:vAlign w:val="bottom"/>
          </w:tcPr>
          <w:p>
            <w:pPr>
              <w:ind w:left="440"/>
              <w:spacing w:after="0"/>
              <w:rPr>
                <w:sz w:val="20"/>
                <w:szCs w:val="20"/>
                <w:color w:val="auto"/>
              </w:rPr>
            </w:pPr>
            <w:r>
              <w:rPr>
                <w:rFonts w:ascii="Arial" w:cs="Arial" w:eastAsia="Arial" w:hAnsi="Arial"/>
                <w:sz w:val="18"/>
                <w:szCs w:val="18"/>
                <w:color w:val="auto"/>
              </w:rPr>
              <w:t>in March 2014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7,800</w:t>
            </w:r>
          </w:p>
        </w:tc>
        <w:tc>
          <w:tcPr>
            <w:tcW w:w="140" w:type="dxa"/>
            <w:vAlign w:val="bottom"/>
          </w:tcPr>
          <w:p>
            <w:pPr>
              <w:spacing w:after="0"/>
              <w:rPr>
                <w:sz w:val="19"/>
                <w:szCs w:val="19"/>
                <w:color w:val="auto"/>
              </w:rPr>
            </w:pPr>
          </w:p>
        </w:tc>
      </w:tr>
      <w:tr>
        <w:trPr>
          <w:trHeight w:val="209"/>
        </w:trPr>
        <w:tc>
          <w:tcPr>
            <w:tcW w:w="6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Warrants granted to officers, directors and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1"/>
        </w:trPr>
        <w:tc>
          <w:tcPr>
            <w:tcW w:w="6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consultants in September 2015</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2,840,700</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2,840,700</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2,853,700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2,864,600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198,800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3,740,700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3,769,900</w:t>
            </w:r>
          </w:p>
        </w:tc>
        <w:tc>
          <w:tcPr>
            <w:tcW w:w="140" w:type="dxa"/>
            <w:vAlign w:val="bottom"/>
            <w:shd w:val="clear" w:color="auto" w:fill="CCEEFF"/>
          </w:tcPr>
          <w:p>
            <w:pPr>
              <w:spacing w:after="0"/>
              <w:rPr>
                <w:sz w:val="20"/>
                <w:szCs w:val="20"/>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our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approved the grant of options to purchase an aggregate of 655,000 shares of our common stock at an exercise price of $3.49 per share to the independent members of our Board and to our officers, including our newly-hired Chief Medical Officer. In September 2016, the Board approved the grant of an option to purchase 125,000 shares of our common stock at an exercise price of $4.27 per share to another newly-hired officer. At September 30, 2016, there were stock options outstanding to purchase 1,100,643 shares of our common stock at a weighted average exercise price of $5.26 per share. We valued the options granted in June 2016 and September 2016 using the Black-Scholes Option Pricing Model and the following weighted average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September 2015, our Board approved the grant of options to purchase an aggregate of 90,000 shares of our common stock at an exercise price of $9.25 per share to our non-officer employees and certain consultants. The Board also granted immediately vested warrants to purchase an aggregate of 650,000 shares of our common stock to our executive officers, independent members of our Board and certain consultants. We valued the warrants and options granted in September 2015 using the Black-Scholes Option Pricing Model and the following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Employee</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6"/>
              </w:rPr>
              <w:t>Non-employee</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net income (loss) per share of common stock excludes the effect of dilution and is computed by dividing net income (loss) by the weighted-average number of shares of common stock outstanding for the period. Diluted net income (loss) per share of common stock reflects the potential dilution that could occur if securities or other contracts to issue shares of common stock were exercised or converted into shares of common stock. In calculating diluted net income (loss)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which was eliminated in May 2015, had no impact on the diluted net earnings per share calculation in any period included in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our net loss for the periods presented, potentially dilutive securities were excluded from the computation of net loss per share, as their effect would be antidilutive. For the three and six month periods ended September 30, 2016 and 2015, the accrual for dividends on our Series B Preferred and the deemed dividend attributable to the issuance of our Series B Preferred Units represent deductions from our net loss to arrive at net loss attributable to common stockholders for those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excluded in determining diluted net loss attributable to common stockholders per common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of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3,426,523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2008 and 1999 Stock Incentive Plans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1,100,643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296,738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4,678,414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4,687,211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shares issuable to PLTG upon exchange of Series A Preferred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the terms of the October 11, 2012 Note Exchange and Purchase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 as subsequently amended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535,715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10,007,309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9,696,187</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5" w:lineRule="auto"/>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with PLTG, as amended</w:t>
      </w:r>
    </w:p>
    <w:p>
      <w:pPr>
        <w:spacing w:after="0" w:line="8" w:lineRule="exact"/>
        <w:rPr>
          <w:rFonts w:ascii="Arial" w:cs="Arial" w:eastAsia="Arial" w:hAnsi="Arial"/>
          <w:sz w:val="23"/>
          <w:szCs w:val="23"/>
          <w:color w:val="auto"/>
          <w:vertAlign w:val="superscript"/>
        </w:rPr>
      </w:pPr>
    </w:p>
    <w:p>
      <w:pPr>
        <w:ind w:right="180" w:firstLine="8"/>
        <w:spacing w:after="0" w:line="239" w:lineRule="auto"/>
        <w:tabs>
          <w:tab w:leader="none" w:pos="18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w:t>
      </w:r>
    </w:p>
    <w:p>
      <w:pPr>
        <w:ind w:right="560" w:firstLine="8"/>
        <w:spacing w:after="0" w:line="248" w:lineRule="auto"/>
        <w:tabs>
          <w:tab w:leader="none" w:pos="18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as identified below, there have been no recent accounting pronouncements or changes in accounting pronouncements during the six months ended September 30, 2016, as compared to the recent accounting pronouncements described in the Company’s Form 10-K for the fiscal year ended March 31, 2016, that are of significance or potential significance to the Company.</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2016, the Financial Accounting Standards Board issued guidance to reduce the diversity in the presentation of certain cash receipts and cash payments presented and classified in the statement of cash flows. The guidance addresses the following eight specific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settlement of corporate-owned life insurance policies, including bank-owned life insurance policies, (6) distributions received from equity method investees, (7) beneficial interests in securitization transitions and (8) separately identifiable cash flows and application of predominance principle. The guidance will be effective for fiscal years and interim periods beginning after December 15, 2017, and early adoption is permitted. The guidance requires retrospective adoption. We are evaluating the effect that ASU No. 2016-15 will have on our consolidated financial statements and related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instruments for hedging of market risks or for trading or speculative purposes.</w:t>
      </w:r>
    </w:p>
    <w:p>
      <w:pPr>
        <w:spacing w:after="0" w:line="22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conjunction with certain Senior Secured Convertible Promissory Notes that we issued to Platinum Long Term Growth VII, LLC (</w:t>
      </w:r>
      <w:r>
        <w:rPr>
          <w:rFonts w:ascii="Arial" w:cs="Arial" w:eastAsia="Arial" w:hAnsi="Arial"/>
          <w:sz w:val="15"/>
          <w:szCs w:val="15"/>
          <w:i w:val="1"/>
          <w:iCs w:val="1"/>
          <w:color w:val="auto"/>
        </w:rPr>
        <w:t>PLTG</w:t>
      </w:r>
      <w:r>
        <w:rPr>
          <w:rFonts w:ascii="Arial" w:cs="Arial" w:eastAsia="Arial" w:hAnsi="Arial"/>
          <w:sz w:val="15"/>
          <w:szCs w:val="15"/>
          <w:color w:val="auto"/>
        </w:rPr>
        <w:t>) between October 2012 and July 2013 and the related PLTG Warrants, and the contingently issuable Series A Exchange Warrant, we determined that the warrants included certain exercise price and other adjustment features requiring the warrants to be treated as liabilities, which were recorded at their issuance-date estimated fair values and marked to market at each subsequent reporting period. We determined the fair value of the warrant liabilities using Level 3 (unobservable) inputs, since there was minimal comparable external market data available. Inputs used to determine fair value included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PLTG’s exchange of the shares of Series A Preferred it holds into shares of common stock. The change in the fair value of these warrant liabilities between March 31, 2015 and their subsequent elimination (described below) was recognized as a non-cash expense in the Condensed Consolidated Statement of Operations and Comprehensive Loss for the three months ended June 30, 2015.</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1" w:name="page12"/>
    <w:bookmarkEnd w:id="1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12,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modification of the PLTG Warrants resulted in the elimination of the warrant liability with respect to the PLTG Warrants during the quarter ended June 30, 2015.</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we entered into an Exchange Agreement with PLTG pursuant to which PLTG exchanged all outstanding PLTG Warrants plus the shares issuable pursuant to the Series A Preferred Exchange Warrant for unregistered shares of our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in the ratio of 0.75 share of Series C Preferred for each warrant share cancelled.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carried no assets or liabilities at fair value at September 30, 2016 or March 31,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are composed of the following at September 30, 2016 and March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6"/>
              </w:rPr>
              <w:t>September 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center"/>
              <w:ind w:right="19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94,900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60"/>
              <w:spacing w:after="0"/>
              <w:rPr>
                <w:sz w:val="20"/>
                <w:szCs w:val="20"/>
                <w:color w:val="auto"/>
              </w:rPr>
            </w:pPr>
            <w:r>
              <w:rPr>
                <w:rFonts w:ascii="Arial" w:cs="Arial" w:eastAsia="Arial" w:hAnsi="Arial"/>
                <w:sz w:val="18"/>
                <w:szCs w:val="18"/>
                <w:color w:val="auto"/>
              </w:rPr>
              <w:t>Prepaid compensation under financial advisory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20"/>
              <w:spacing w:after="0"/>
              <w:rPr>
                <w:sz w:val="20"/>
                <w:szCs w:val="20"/>
                <w:color w:val="auto"/>
              </w:rPr>
            </w:pPr>
            <w:r>
              <w:rPr>
                <w:rFonts w:ascii="Arial" w:cs="Arial" w:eastAsia="Arial" w:hAnsi="Arial"/>
                <w:sz w:val="18"/>
                <w:szCs w:val="18"/>
                <w:color w:val="auto"/>
              </w:rPr>
              <w:t>and other consulting agreements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550,800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Public offering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Technology license fees and all other</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648,900</w:t>
            </w:r>
          </w:p>
        </w:tc>
        <w:tc>
          <w:tcPr>
            <w:tcW w:w="1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Note 6. Accrued Expenses</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6"/>
          </w:tcPr>
          <w:p>
            <w:pPr>
              <w:spacing w:after="0"/>
              <w:rPr>
                <w:sz w:val="20"/>
                <w:szCs w:val="20"/>
                <w:color w:val="auto"/>
              </w:rPr>
            </w:pPr>
            <w:r>
              <w:rPr>
                <w:rFonts w:ascii="Arial" w:cs="Arial" w:eastAsia="Arial" w:hAnsi="Arial"/>
                <w:sz w:val="18"/>
                <w:szCs w:val="18"/>
                <w:color w:val="auto"/>
                <w:w w:val="88"/>
              </w:rPr>
              <w:t>Accrued expenses are composed of the following at September 30, 2016 and March 31, 2016: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6"/>
              </w:rPr>
              <w:t>September 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center"/>
              <w:ind w:right="19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133,000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0"/>
              <w:spacing w:after="0"/>
              <w:rPr>
                <w:sz w:val="20"/>
                <w:szCs w:val="20"/>
                <w:color w:val="auto"/>
              </w:rPr>
            </w:pPr>
            <w:r>
              <w:rPr>
                <w:rFonts w:ascii="Arial" w:cs="Arial" w:eastAsia="Arial" w:hAnsi="Arial"/>
                <w:sz w:val="18"/>
                <w:szCs w:val="18"/>
                <w:color w:val="auto"/>
              </w:rPr>
              <w:t>Accrued AV-101 development 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662,000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1"/>
        </w:trPr>
        <w:tc>
          <w:tcPr>
            <w:tcW w:w="4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7. Notes Payable</w:t>
            </w: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11"/>
          </w:tcPr>
          <w:p>
            <w:pPr>
              <w:spacing w:after="0"/>
              <w:rPr>
                <w:sz w:val="20"/>
                <w:szCs w:val="20"/>
                <w:color w:val="auto"/>
              </w:rPr>
            </w:pPr>
            <w:r>
              <w:rPr>
                <w:rFonts w:ascii="Arial" w:cs="Arial" w:eastAsia="Arial" w:hAnsi="Arial"/>
                <w:sz w:val="18"/>
                <w:szCs w:val="18"/>
                <w:color w:val="auto"/>
                <w:w w:val="92"/>
              </w:rPr>
              <w:t>The following table summarizes our unsecured promissory notes at September 30, 2016 and March 31, 2016.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2"/>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September 30,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1"/>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Principal</w:t>
            </w:r>
          </w:p>
        </w:tc>
        <w:tc>
          <w:tcPr>
            <w:tcW w:w="120" w:type="dxa"/>
            <w:vAlign w:val="bottom"/>
          </w:tcPr>
          <w:p>
            <w:pPr>
              <w:spacing w:after="0"/>
              <w:rPr>
                <w:sz w:val="18"/>
                <w:szCs w:val="18"/>
                <w:color w:val="auto"/>
              </w:rPr>
            </w:pPr>
          </w:p>
        </w:tc>
        <w:tc>
          <w:tcPr>
            <w:tcW w:w="800" w:type="dxa"/>
            <w:vAlign w:val="bottom"/>
          </w:tcPr>
          <w:p>
            <w:pPr>
              <w:jc w:val="center"/>
              <w:ind w:left="12"/>
              <w:spacing w:after="0"/>
              <w:rPr>
                <w:sz w:val="20"/>
                <w:szCs w:val="20"/>
                <w:color w:val="auto"/>
              </w:rPr>
            </w:pPr>
            <w:r>
              <w:rPr>
                <w:rFonts w:ascii="Arial" w:cs="Arial" w:eastAsia="Arial" w:hAnsi="Arial"/>
                <w:sz w:val="18"/>
                <w:szCs w:val="18"/>
                <w:color w:val="auto"/>
                <w:w w:val="87"/>
              </w:rPr>
              <w:t>Accrued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Principal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0"/>
              </w:rPr>
              <w:t>Accrued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Balance</w:t>
            </w:r>
          </w:p>
        </w:tc>
        <w:tc>
          <w:tcPr>
            <w:tcW w:w="120" w:type="dxa"/>
            <w:vAlign w:val="bottom"/>
          </w:tcPr>
          <w:p>
            <w:pPr>
              <w:spacing w:after="0"/>
              <w:rPr>
                <w:sz w:val="20"/>
                <w:szCs w:val="20"/>
                <w:color w:val="auto"/>
              </w:rPr>
            </w:pPr>
          </w:p>
        </w:tc>
        <w:tc>
          <w:tcPr>
            <w:tcW w:w="800" w:type="dxa"/>
            <w:vAlign w:val="bottom"/>
          </w:tcPr>
          <w:p>
            <w:pPr>
              <w:jc w:val="center"/>
              <w:ind w:left="12"/>
              <w:spacing w:after="0"/>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86"/>
              </w:rPr>
              <w:t>Interest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5.75% Note payable to insurance premium financing company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71,100</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71,100</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7.0% Note payable to Progressive Medical Research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700" w:type="dxa"/>
            <w:vAlign w:val="bottom"/>
          </w:tcPr>
          <w:p>
            <w:pPr>
              <w:ind w:left="38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(31,600)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60"/>
              <w:spacing w:after="0"/>
              <w:rPr>
                <w:sz w:val="20"/>
                <w:szCs w:val="20"/>
                <w:color w:val="auto"/>
              </w:rPr>
            </w:pPr>
            <w:r>
              <w:rPr>
                <w:rFonts w:ascii="Arial" w:cs="Arial" w:eastAsia="Arial" w:hAnsi="Arial"/>
                <w:sz w:val="18"/>
                <w:szCs w:val="18"/>
                <w:color w:val="auto"/>
              </w:rPr>
              <w:t>7.0% Notes payable - non-current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27,200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0"/>
              <w:spacing w:after="0"/>
              <w:rPr>
                <w:sz w:val="20"/>
                <w:szCs w:val="20"/>
                <w:color w:val="auto"/>
              </w:rPr>
            </w:pPr>
            <w:r>
              <w:rPr>
                <w:rFonts w:ascii="Arial" w:cs="Arial" w:eastAsia="Arial" w:hAnsi="Arial"/>
                <w:sz w:val="18"/>
                <w:szCs w:val="18"/>
                <w:color w:val="auto"/>
              </w:rPr>
              <w:t>Total notes payable to unrelated parties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71,100</w:t>
            </w:r>
          </w:p>
        </w:tc>
        <w:tc>
          <w:tcPr>
            <w:tcW w:w="120" w:type="dxa"/>
            <w:vAlign w:val="bottom"/>
          </w:tcPr>
          <w:p>
            <w:pPr>
              <w:spacing w:after="0"/>
              <w:rPr>
                <w:sz w:val="18"/>
                <w:szCs w:val="18"/>
                <w:color w:val="auto"/>
              </w:rPr>
            </w:pPr>
          </w:p>
        </w:tc>
        <w:tc>
          <w:tcPr>
            <w:tcW w:w="92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71,100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58,800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(71,100)</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(71,100)</w:t>
            </w:r>
          </w:p>
        </w:tc>
        <w:tc>
          <w:tcPr>
            <w:tcW w:w="1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(31,600)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8"/>
        </w:trPr>
        <w:tc>
          <w:tcPr>
            <w:tcW w:w="47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Net non-current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27,200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886"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886" w:gutter="0" w:footer="0" w:header="0"/>
          <w:type w:val="continuous"/>
        </w:sectPr>
      </w:pPr>
    </w:p>
    <w:bookmarkStart w:id="12" w:name="page13"/>
    <w:bookmarkEnd w:id="1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Between May 2015 and August 2015, we extinguished the outstanding balances of approximately $17,200,000 of indebtedness, including all senior secured promissory notes and a substantial portion of other indebtedness that was either due and payable or would have become due and payable prior to March 31, 2016, by converting such indebtedness into shares of our Series B Preferred.</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Evaluating each converted note or debt class separately, we determined that the conversion of each of such notes and other debt instruments into Series B Preferred should be accounted for as an extinguishment of debt. Because the fair value of the Series B Preferred into which the debt instruments were converted in all cases exceeded the carrying value of the debt, we recorded an aggregate non-recurring non-cash loss on extinguishment of debt of $26,700,200, in our fiscal year ended March 31, 2016, of which $25,050,900 was recorded in the quarter ended June 30, 2015, and the remaining $1,649,300 was recorded in the quarter ended September 30, 2015, as reflected in the accompanying Consolidated Statement of Operations and Comprehensive Loss for that period.</w:t>
      </w:r>
    </w:p>
    <w:p>
      <w:pPr>
        <w:spacing w:after="0" w:line="17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On January 5, 2016, we paid in full the $33,300 outstanding balance (principal and accrued but unpaid interest) of the promissory note previously issued to the University of California in connection with our collaborative research and development relationship with the University of California at Davis.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13, 2016, we paid in full the $71,600 outstanding balance (principal and accrued but unpaid interest) of the promissory note we issued to Progressive Medical Research (</w:t>
      </w:r>
      <w:r>
        <w:rPr>
          <w:rFonts w:ascii="Arial" w:cs="Arial" w:eastAsia="Arial" w:hAnsi="Arial"/>
          <w:sz w:val="18"/>
          <w:szCs w:val="18"/>
          <w:i w:val="1"/>
          <w:iCs w:val="1"/>
          <w:color w:val="auto"/>
        </w:rPr>
        <w:t>PMR</w:t>
      </w:r>
      <w:r>
        <w:rPr>
          <w:rFonts w:ascii="Arial" w:cs="Arial" w:eastAsia="Arial" w:hAnsi="Arial"/>
          <w:sz w:val="18"/>
          <w:szCs w:val="18"/>
          <w:color w:val="auto"/>
        </w:rPr>
        <w:t>) in connection with our clinical development relationship with PMR.</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2016, we executed a promissory note in the face amount of $117,500 in connection with certain insurance policy premiums. The note is payable in monthly installments of $12,100, including principal and interest, through March 2017, and the remaining balance of such note as of September 30, 2016 was $71,100.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Unit Offering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In April and May 2016, in self-placed private placement transactions, we sold to accredited investors an aggregate of $278,000 of units in our Series B Preferred Unit offering, which units consist of Series B Preferred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We issued 39,714 shares of Series B Preferred and Series B Warrants to purchase 39,714 shares of our common stock. Through the termination of the Series B Preferred Unit offering in May 2016, we received an aggregate of $5,303,800 in cash proceeds from our self-placed private placement and sale of the Series B Preferred Units.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allocated the proceeds from the sale of the Series B Preferred Units during April and May 2016 to the Series B Preferred and the Series B Warrants based on their relative fair values on the dates of the sales.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$4.20 per share, and its Conversion Price (or stated value) of $7.00 per share represents a deemed dividend to the purchasers of the Series B Preferred Units. Accordingly, we have recognized a deemed dividend in the aggregate amount of $111,100 in arriving at net loss attributable to common stockholders in the accompanying Condensed Consolidated Statement of Operations and Comprehensive Loss for the six months ended September 30,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8"/>
                <w:szCs w:val="18"/>
                <w:color w:val="auto"/>
                <w:w w:val="90"/>
              </w:rPr>
              <w:t>Unit Warrants</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Aggregate Allocation of</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gridSpan w:val="7"/>
          </w:tcPr>
          <w:p>
            <w:pPr>
              <w:jc w:val="right"/>
              <w:ind w:right="700"/>
              <w:spacing w:after="0"/>
              <w:rPr>
                <w:sz w:val="20"/>
                <w:szCs w:val="20"/>
                <w:color w:val="auto"/>
              </w:rPr>
            </w:pPr>
            <w:r>
              <w:rPr>
                <w:rFonts w:ascii="Arial" w:cs="Arial" w:eastAsia="Arial" w:hAnsi="Arial"/>
                <w:sz w:val="18"/>
                <w:szCs w:val="18"/>
                <w:color w:val="auto"/>
                <w:w w:val="95"/>
              </w:rPr>
              <w:t>Weighted Average Issuance Date Valuation Assumptions</w:t>
            </w:r>
          </w:p>
        </w:tc>
        <w:tc>
          <w:tcPr>
            <w:tcW w:w="860" w:type="dxa"/>
            <w:vAlign w:val="bottom"/>
          </w:tcPr>
          <w:p>
            <w:pPr>
              <w:jc w:val="center"/>
              <w:spacing w:after="0"/>
              <w:rPr>
                <w:sz w:val="20"/>
                <w:szCs w:val="20"/>
                <w:color w:val="auto"/>
              </w:rPr>
            </w:pPr>
            <w:r>
              <w:rPr>
                <w:rFonts w:ascii="Arial" w:cs="Arial" w:eastAsia="Arial" w:hAnsi="Arial"/>
                <w:sz w:val="18"/>
                <w:szCs w:val="18"/>
                <w:color w:val="auto"/>
                <w:w w:val="81"/>
              </w:rPr>
              <w:t>Per Share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Aggregate</w:t>
            </w:r>
          </w:p>
        </w:tc>
        <w:tc>
          <w:tcPr>
            <w:tcW w:w="2360" w:type="dxa"/>
            <w:vAlign w:val="bottom"/>
            <w:gridSpan w:val="3"/>
          </w:tcPr>
          <w:p>
            <w:pPr>
              <w:jc w:val="center"/>
              <w:ind w:right="240"/>
              <w:spacing w:after="0"/>
              <w:rPr>
                <w:sz w:val="20"/>
                <w:szCs w:val="20"/>
                <w:color w:val="auto"/>
              </w:rPr>
            </w:pPr>
            <w:r>
              <w:rPr>
                <w:rFonts w:ascii="Arial" w:cs="Arial" w:eastAsia="Arial" w:hAnsi="Arial"/>
                <w:sz w:val="18"/>
                <w:szCs w:val="18"/>
                <w:color w:val="auto"/>
                <w:w w:val="83"/>
              </w:rPr>
              <w:t>Proceeds Based on</w:t>
            </w:r>
          </w:p>
        </w:tc>
        <w:tc>
          <w:tcPr>
            <w:tcW w:w="0" w:type="dxa"/>
            <w:vAlign w:val="bottom"/>
          </w:tcPr>
          <w:p>
            <w:pPr>
              <w:spacing w:after="0"/>
              <w:rPr>
                <w:sz w:val="1"/>
                <w:szCs w:val="1"/>
                <w:color w:val="auto"/>
              </w:rPr>
            </w:pPr>
          </w:p>
        </w:tc>
      </w:tr>
      <w:tr>
        <w:trPr>
          <w:trHeight w:val="223"/>
        </w:trPr>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Warrant</w:t>
            </w:r>
          </w:p>
        </w:tc>
        <w:tc>
          <w:tcPr>
            <w:tcW w:w="8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Risk free</w:t>
            </w:r>
          </w:p>
        </w:tc>
        <w:tc>
          <w:tcPr>
            <w:tcW w:w="8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Fair</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Fair Value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1"/>
              </w:rPr>
              <w:t>Proceeds</w:t>
            </w:r>
          </w:p>
        </w:tc>
        <w:tc>
          <w:tcPr>
            <w:tcW w:w="23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Relative Fair Value of:</w:t>
            </w:r>
          </w:p>
        </w:tc>
        <w:tc>
          <w:tcPr>
            <w:tcW w:w="0" w:type="dxa"/>
            <w:vAlign w:val="bottom"/>
          </w:tcPr>
          <w:p>
            <w:pPr>
              <w:spacing w:after="0"/>
              <w:rPr>
                <w:sz w:val="1"/>
                <w:szCs w:val="1"/>
                <w:color w:val="auto"/>
              </w:rPr>
            </w:pPr>
          </w:p>
        </w:tc>
      </w:tr>
      <w:tr>
        <w:trPr>
          <w:trHeight w:val="208"/>
        </w:trPr>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0"/>
              </w:rPr>
              <w:t>Shares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Market</w:t>
            </w:r>
          </w:p>
        </w:tc>
        <w:tc>
          <w:tcPr>
            <w:tcW w:w="840" w:type="dxa"/>
            <w:vAlign w:val="bottom"/>
          </w:tcPr>
          <w:p>
            <w:pPr>
              <w:jc w:val="center"/>
              <w:ind w:right="32"/>
              <w:spacing w:after="0"/>
              <w:rPr>
                <w:sz w:val="20"/>
                <w:szCs w:val="20"/>
                <w:color w:val="auto"/>
              </w:rPr>
            </w:pPr>
            <w:r>
              <w:rPr>
                <w:rFonts w:ascii="Arial" w:cs="Arial" w:eastAsia="Arial" w:hAnsi="Arial"/>
                <w:sz w:val="18"/>
                <w:szCs w:val="18"/>
                <w:color w:val="auto"/>
                <w:w w:val="86"/>
              </w:rPr>
              <w:t>Exercise</w:t>
            </w:r>
          </w:p>
        </w:tc>
        <w:tc>
          <w:tcPr>
            <w:tcW w:w="760" w:type="dxa"/>
            <w:vAlign w:val="bottom"/>
          </w:tcPr>
          <w:p>
            <w:pPr>
              <w:jc w:val="center"/>
              <w:ind w:right="12"/>
              <w:spacing w:after="0"/>
              <w:rPr>
                <w:sz w:val="20"/>
                <w:szCs w:val="20"/>
                <w:color w:val="auto"/>
              </w:rPr>
            </w:pPr>
            <w:r>
              <w:rPr>
                <w:rFonts w:ascii="Arial" w:cs="Arial" w:eastAsia="Arial" w:hAnsi="Arial"/>
                <w:sz w:val="18"/>
                <w:szCs w:val="18"/>
                <w:color w:val="auto"/>
                <w:w w:val="90"/>
              </w:rPr>
              <w:t>Term</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Interest</w:t>
            </w:r>
          </w:p>
        </w:tc>
        <w:tc>
          <w:tcPr>
            <w:tcW w:w="8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Dividend</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Value of</w:t>
            </w: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of Unit</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of Unit</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312"/>
              <w:spacing w:after="0"/>
              <w:rPr>
                <w:sz w:val="20"/>
                <w:szCs w:val="20"/>
                <w:color w:val="auto"/>
              </w:rPr>
            </w:pPr>
            <w:r>
              <w:rPr>
                <w:rFonts w:ascii="Arial" w:cs="Arial" w:eastAsia="Arial" w:hAnsi="Arial"/>
                <w:sz w:val="18"/>
                <w:szCs w:val="18"/>
                <w:color w:val="auto"/>
                <w:w w:val="99"/>
              </w:rPr>
              <w:t>Unit</w:t>
            </w:r>
          </w:p>
        </w:tc>
        <w:tc>
          <w:tcPr>
            <w:tcW w:w="1100" w:type="dxa"/>
            <w:vAlign w:val="bottom"/>
            <w:tcBorders>
              <w:top w:val="single" w:sz="8" w:color="auto"/>
            </w:tcBorders>
          </w:tcPr>
          <w:p>
            <w:pPr>
              <w:jc w:val="center"/>
              <w:ind w:right="92"/>
              <w:spacing w:after="0"/>
              <w:rPr>
                <w:sz w:val="20"/>
                <w:szCs w:val="20"/>
                <w:color w:val="auto"/>
              </w:rPr>
            </w:pPr>
            <w:r>
              <w:rPr>
                <w:rFonts w:ascii="Arial" w:cs="Arial" w:eastAsia="Arial" w:hAnsi="Arial"/>
                <w:sz w:val="18"/>
                <w:szCs w:val="18"/>
                <w:color w:val="auto"/>
                <w:w w:val="99"/>
              </w:rPr>
              <w:t>Unit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840" w:type="dxa"/>
            <w:vAlign w:val="bottom"/>
          </w:tcPr>
          <w:p>
            <w:pPr>
              <w:jc w:val="center"/>
              <w:ind w:right="32"/>
              <w:spacing w:after="0"/>
              <w:rPr>
                <w:sz w:val="20"/>
                <w:szCs w:val="20"/>
                <w:color w:val="auto"/>
              </w:rPr>
            </w:pPr>
            <w:r>
              <w:rPr>
                <w:rFonts w:ascii="Arial" w:cs="Arial" w:eastAsia="Arial" w:hAnsi="Arial"/>
                <w:sz w:val="18"/>
                <w:szCs w:val="18"/>
                <w:color w:val="auto"/>
                <w:w w:val="87"/>
              </w:rPr>
              <w:t>Price</w:t>
            </w:r>
          </w:p>
        </w:tc>
        <w:tc>
          <w:tcPr>
            <w:tcW w:w="760" w:type="dxa"/>
            <w:vAlign w:val="bottom"/>
          </w:tcPr>
          <w:p>
            <w:pPr>
              <w:jc w:val="center"/>
              <w:ind w:right="12"/>
              <w:spacing w:after="0"/>
              <w:rPr>
                <w:sz w:val="20"/>
                <w:szCs w:val="20"/>
                <w:color w:val="auto"/>
              </w:rPr>
            </w:pPr>
            <w:r>
              <w:rPr>
                <w:rFonts w:ascii="Arial" w:cs="Arial" w:eastAsia="Arial" w:hAnsi="Arial"/>
                <w:sz w:val="18"/>
                <w:szCs w:val="18"/>
                <w:color w:val="auto"/>
                <w:w w:val="84"/>
              </w:rPr>
              <w:t>(Years)</w:t>
            </w: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Rate</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Volatility</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Rate</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Warrant</w:t>
            </w: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Warrants</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Sales</w:t>
            </w:r>
          </w:p>
        </w:tc>
        <w:tc>
          <w:tcPr>
            <w:tcW w:w="1240" w:type="dxa"/>
            <w:vAlign w:val="bottom"/>
          </w:tcPr>
          <w:p>
            <w:pPr>
              <w:jc w:val="center"/>
              <w:ind w:right="312"/>
              <w:spacing w:after="0"/>
              <w:rPr>
                <w:sz w:val="20"/>
                <w:szCs w:val="20"/>
                <w:color w:val="auto"/>
              </w:rPr>
            </w:pPr>
            <w:r>
              <w:rPr>
                <w:rFonts w:ascii="Arial" w:cs="Arial" w:eastAsia="Arial" w:hAnsi="Arial"/>
                <w:sz w:val="18"/>
                <w:szCs w:val="18"/>
                <w:color w:val="auto"/>
                <w:w w:val="88"/>
              </w:rPr>
              <w:t>Stock</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Warrant</w:t>
            </w:r>
          </w:p>
        </w:tc>
        <w:tc>
          <w:tcPr>
            <w:tcW w:w="0" w:type="dxa"/>
            <w:vAlign w:val="bottom"/>
          </w:tcPr>
          <w:p>
            <w:pPr>
              <w:spacing w:after="0"/>
              <w:rPr>
                <w:sz w:val="1"/>
                <w:szCs w:val="1"/>
                <w:color w:val="auto"/>
              </w:rPr>
            </w:pPr>
          </w:p>
        </w:tc>
      </w:tr>
      <w:tr>
        <w:trPr>
          <w:trHeight w:val="216"/>
        </w:trPr>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$ 223,500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$ 278,000</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$ 166,900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$ 61,100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2016 Public Offering and NASDAQ Uplisting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Effective on May 16, 2016, we consummated an underwritten public offering of our securities, pursuant to which we issued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in June 2016 pursuant to the exercise of the underwriters’ over-allotment option (the </w:t>
      </w:r>
      <w:r>
        <w:rPr>
          <w:rFonts w:ascii="Arial" w:cs="Arial" w:eastAsia="Arial" w:hAnsi="Arial"/>
          <w:sz w:val="16"/>
          <w:szCs w:val="16"/>
          <w:i w:val="1"/>
          <w:iCs w:val="1"/>
          <w:color w:val="auto"/>
        </w:rPr>
        <w:t>May 2016 Public Offering</w:t>
      </w:r>
      <w:r>
        <w:rPr>
          <w:rFonts w:ascii="Arial" w:cs="Arial" w:eastAsia="Arial" w:hAnsi="Arial"/>
          <w:sz w:val="16"/>
          <w:szCs w:val="16"/>
          <w:color w:val="auto"/>
        </w:rPr>
        <w:t>). We received gross proceeds of approximately $10.9 million and net proceeds of approximately $9.5 million from the May 2016 Public Offering, after deducting underwriters’ commissions and other offering expenses. The warrants issued in the May 2016 Public Offering have no anti-dilution or other exercise price or share reset features, except as is customary with respect to a change in the Company’s capital structure in the event of a stock split or dividend, and, accordingly, we have accounted for them as equity warrants.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securities included in the May 2016 Public Offering Warrants were offered, issued and sold under a prospectus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pursuant to an effective registration statement (</w:t>
      </w:r>
      <w:r>
        <w:rPr>
          <w:rFonts w:ascii="Arial" w:cs="Arial" w:eastAsia="Arial" w:hAnsi="Arial"/>
          <w:sz w:val="18"/>
          <w:szCs w:val="18"/>
          <w:i w:val="1"/>
          <w:iCs w:val="1"/>
          <w:color w:val="auto"/>
        </w:rPr>
        <w:t>Registration Statement</w:t>
      </w:r>
      <w:r>
        <w:rPr>
          <w:rFonts w:ascii="Arial" w:cs="Arial" w:eastAsia="Arial" w:hAnsi="Arial"/>
          <w:sz w:val="18"/>
          <w:szCs w:val="18"/>
          <w:color w:val="auto"/>
        </w:rPr>
        <w:t>) filed with the SEC on Form S-1 (File No. 333-210152) pursuant to the Securities Act of 1933, as amended (</w:t>
      </w:r>
      <w:r>
        <w:rPr>
          <w:rFonts w:ascii="Arial" w:cs="Arial" w:eastAsia="Arial" w:hAnsi="Arial"/>
          <w:sz w:val="18"/>
          <w:szCs w:val="18"/>
          <w:i w:val="1"/>
          <w:iCs w:val="1"/>
          <w:color w:val="auto"/>
        </w:rPr>
        <w:t>Securities Act</w:t>
      </w:r>
      <w:r>
        <w:rPr>
          <w:rFonts w:ascii="Arial" w:cs="Arial" w:eastAsia="Arial" w:hAnsi="Arial"/>
          <w:sz w:val="18"/>
          <w:szCs w:val="18"/>
          <w:color w:val="auto"/>
        </w:rPr>
        <w:t>). The Registration Statement was first filed with the SEC on March 14, 2016, and was declared effective on May 10, 2016.</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completion of our May 2016 Public Offering, our common stock was approved for listing on The NASDAQ Capital Market, and began trading under the symbol “VTGN” on May 11,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B Preferred into Common Stock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April 2016, prior to the May 2016 Public Offering, holders of an aggregate of 7,500 shares of Series B Preferred voluntarily converted such shares into an equivalent number of registered shares of our common stock. In connection with such conversions, we issued an aggregate of 510 shares of our unregistered common stock as payment in full of $4,000 in accrued dividends on the Series B Preferred that was voluntarily converted.</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19, 2016, upon the consummation of the May 2016 Public Offering, an aggregate of 2,403,051 shares of Series B Preferred were automatically converted into an aggregate of 2,192,847 registered shares of our common stock and an aggregate of 210,204 shares of our unregistered common stock. Additionally, we issued an aggregate of 416,806 shares of our unregistered common stock as payment in full of $1,642,100 in accrued dividends on the Series B Preferred that was automatically converted, at the rate of one share of common stock for each $3.94 of accrued Series B Preferred dividends. On June 15, 2016, pursuant to the underwriters’ exercise of their over-allotment option, an additional 44,500 shares of Series B Preferred were converted into 44,500 shares of our registered common stock. We issued an additional 9,580 shares of our unregistered common stock as payment in full of $37,400 in accrued dividends on the Series B Preferred that was automatically converted, at the rate of one share of common stock for each $3.90 in accrued dividends.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one of the remaining holders of our Series B Preferred voluntarily converted 87,500 shares of Series B Preferred into an equivalent number of registered shares of our common stock. In connection with this conversion, we issued 26,258 shares of our unregistered common stock as payment in full of $85,300 in accrued dividends on the Series B Preferred that was voluntarily converted.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2016, we issued an aggregate of 170,000 shares of our unregistered common stock having an aggregate fair value on the date of issuance of $737,800 to various professional services providers. Of that amount, we issued 120,000 shares having a fair value of $520,800 on the date of issuance for services to be rendered from October 2016 to December 2016. The value of these shares has been recorded as a prepaid expense at September 30, 2016 and will be expensed during the quarter ended December 31,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April 1, 2016 and May 4, 2016, we entered into Warrant Exchange Agreements with certain holders of outstanding warrants to purchase an aggregate of 41,469 shares of our common stock pursuant to which the holders agreed to the cancellation of such warrants in exchange for the issuance of an aggregate of 31,238 shares of our unregistered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accounted for the exchange of these warrants as warrant modifications, comparing their fair value prior to the exchange with the fair value of the common stock issued. We calculated the weighted average fair value of the warrants prior to the exchange to be $5.37 per share, or $223,700, using the Black Scholes Option Pricing Model and the following weighted average assumptions: market price per share: $8.44; exercise price per share: $7.37; risk-free interest rate: 1.23%; remaining contractual term: 4.77 years; volatility: 79.0%; and expected dividend rate: 0%. The weighted average fair value of the aggregate of 31,238 shares of common stock issued in the exchange was $8.45 per share or $264,000. Accordingly, we recognized the additional fair value, $40,300, as warrant modification expense, included as a component of general and administrative expenses in our Condensed Consolidated Statement of Operations and Comprehensive Loss for the quarter ended June 30, 2016.</w:t>
      </w:r>
    </w:p>
    <w:p>
      <w:pPr>
        <w:spacing w:after="0" w:line="172"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In August 2016, we entered into Warrant Exchange Agreements with holders of outstanding warrants to purchase an aggregate of 20,000 shares of our common stock pursuant to which the holders agreed to the cancellation of such warrants in exchange for the issuance of an aggregate of 15,000 shares of our unregistered common stock. We likewise accounted for the exchange of these warrants as warrant modifications. We calculated the weighted average fair value of the warrants prior to the exchange to be $1.64 per share, or $32,900, using the Black Scholes Option Pricing Model and the following weighted average assumptions: market price per share: $3.33; exercise price per share: $8.00; risk-free interest rate: 1.10%; remaining contractual term: 4.58 years; volatility: 87.0%; and expected dividend rate: 0%. The weighted average fair value of the aggregate of 15,000 shares of common stock issued in the exchange was $3.33 per share or $50,000. Accordingly, we recognized the additional fair value, $17,100, as warrant modification expense, included as a component of general and administrative expenses in the accompanying Condensed Consolidated Statement of Operations and Comprehensive Loss for the quarter ended September 30,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Following the warrant issuances in the May 2016 Public Offering, the Series B Warrant issuances and the warrant exchanges described above, at September 30, 2016, we had outstanding warrants to purchase shares of our common stock at a weighted average exercise price of $6.44 per share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86"/>
              </w:rPr>
              <w:t>Exercise Price</w:t>
            </w: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920" w:type="dxa"/>
            <w:vAlign w:val="bottom"/>
          </w:tcPr>
          <w:p>
            <w:pPr>
              <w:spacing w:after="0"/>
              <w:rPr>
                <w:sz w:val="18"/>
                <w:szCs w:val="18"/>
                <w:color w:val="auto"/>
              </w:rPr>
            </w:pPr>
          </w:p>
        </w:tc>
        <w:tc>
          <w:tcPr>
            <w:tcW w:w="3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Shares Subject to Purchase at</w:t>
            </w:r>
          </w:p>
        </w:tc>
      </w:tr>
      <w:tr>
        <w:trPr>
          <w:trHeight w:val="291"/>
        </w:trPr>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89"/>
              </w:rPr>
              <w:t>per Share</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c>
          <w:tcPr>
            <w:tcW w:w="920" w:type="dxa"/>
            <w:vAlign w:val="bottom"/>
          </w:tcPr>
          <w:p>
            <w:pPr>
              <w:spacing w:after="0"/>
              <w:rPr>
                <w:sz w:val="24"/>
                <w:szCs w:val="24"/>
                <w:color w:val="auto"/>
              </w:rPr>
            </w:pPr>
          </w:p>
        </w:tc>
        <w:tc>
          <w:tcPr>
            <w:tcW w:w="3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September 30, 2016</w:t>
            </w:r>
          </w:p>
        </w:tc>
      </w:tr>
      <w:tr>
        <w:trPr>
          <w:trHeight w:val="216"/>
        </w:trPr>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4.50</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9/26/2019</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400" w:type="dxa"/>
            <w:vAlign w:val="bottom"/>
            <w:shd w:val="clear" w:color="auto" w:fill="CCEEFF"/>
          </w:tcPr>
          <w:p>
            <w:pPr>
              <w:spacing w:after="0"/>
              <w:rPr>
                <w:sz w:val="18"/>
                <w:szCs w:val="18"/>
                <w:color w:val="auto"/>
              </w:rPr>
            </w:pPr>
          </w:p>
        </w:tc>
      </w:tr>
      <w:tr>
        <w:trPr>
          <w:trHeight w:val="216"/>
        </w:trPr>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740"/>
              <w:spacing w:after="0"/>
              <w:rPr>
                <w:sz w:val="20"/>
                <w:szCs w:val="20"/>
                <w:color w:val="auto"/>
              </w:rPr>
            </w:pPr>
            <w:r>
              <w:rPr>
                <w:rFonts w:ascii="Arial" w:cs="Arial" w:eastAsia="Arial" w:hAnsi="Arial"/>
                <w:sz w:val="18"/>
                <w:szCs w:val="18"/>
                <w:color w:val="auto"/>
              </w:rPr>
              <w:t>5.30</w:t>
            </w:r>
          </w:p>
        </w:tc>
        <w:tc>
          <w:tcPr>
            <w:tcW w:w="4100" w:type="dxa"/>
            <w:vAlign w:val="bottom"/>
          </w:tcPr>
          <w:p>
            <w:pPr>
              <w:jc w:val="center"/>
              <w:spacing w:after="0"/>
              <w:rPr>
                <w:sz w:val="20"/>
                <w:szCs w:val="20"/>
                <w:color w:val="auto"/>
              </w:rPr>
            </w:pPr>
            <w:r>
              <w:rPr>
                <w:rFonts w:ascii="Arial" w:cs="Arial" w:eastAsia="Arial" w:hAnsi="Arial"/>
                <w:sz w:val="18"/>
                <w:szCs w:val="18"/>
                <w:color w:val="auto"/>
                <w:w w:val="87"/>
              </w:rPr>
              <w:t>5/16/2021</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2,705,883</w:t>
            </w:r>
          </w:p>
        </w:tc>
        <w:tc>
          <w:tcPr>
            <w:tcW w:w="400" w:type="dxa"/>
            <w:vAlign w:val="bottom"/>
          </w:tcPr>
          <w:p>
            <w:pPr>
              <w:spacing w:after="0"/>
              <w:rPr>
                <w:sz w:val="18"/>
                <w:szCs w:val="18"/>
                <w:color w:val="auto"/>
              </w:rPr>
            </w:pPr>
          </w:p>
        </w:tc>
      </w:tr>
      <w:tr>
        <w:trPr>
          <w:trHeight w:val="216"/>
        </w:trPr>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6.00</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9/26/2019</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00" w:type="dxa"/>
            <w:vAlign w:val="bottom"/>
            <w:shd w:val="clear" w:color="auto" w:fill="CCEEFF"/>
          </w:tcPr>
          <w:p>
            <w:pPr>
              <w:spacing w:after="0"/>
              <w:rPr>
                <w:sz w:val="18"/>
                <w:szCs w:val="18"/>
                <w:color w:val="auto"/>
              </w:rPr>
            </w:pPr>
          </w:p>
        </w:tc>
      </w:tr>
      <w:tr>
        <w:trPr>
          <w:trHeight w:val="216"/>
        </w:trPr>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740"/>
              <w:spacing w:after="0"/>
              <w:rPr>
                <w:sz w:val="20"/>
                <w:szCs w:val="20"/>
                <w:color w:val="auto"/>
              </w:rPr>
            </w:pPr>
            <w:r>
              <w:rPr>
                <w:rFonts w:ascii="Arial" w:cs="Arial" w:eastAsia="Arial" w:hAnsi="Arial"/>
                <w:sz w:val="18"/>
                <w:szCs w:val="18"/>
                <w:color w:val="auto"/>
              </w:rPr>
              <w:t>7.00</w:t>
            </w: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12/11/2018 to 3/3/2023</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1,417,125</w:t>
            </w:r>
          </w:p>
        </w:tc>
        <w:tc>
          <w:tcPr>
            <w:tcW w:w="400" w:type="dxa"/>
            <w:vAlign w:val="bottom"/>
          </w:tcPr>
          <w:p>
            <w:pPr>
              <w:spacing w:after="0"/>
              <w:rPr>
                <w:sz w:val="18"/>
                <w:szCs w:val="18"/>
                <w:color w:val="auto"/>
              </w:rPr>
            </w:pPr>
          </w:p>
        </w:tc>
      </w:tr>
      <w:tr>
        <w:trPr>
          <w:trHeight w:val="216"/>
        </w:trPr>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8.00</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3/25/2021</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400" w:type="dxa"/>
            <w:vAlign w:val="bottom"/>
            <w:shd w:val="clear" w:color="auto" w:fill="CCEEFF"/>
          </w:tcPr>
          <w:p>
            <w:pPr>
              <w:spacing w:after="0"/>
              <w:rPr>
                <w:sz w:val="18"/>
                <w:szCs w:val="18"/>
                <w:color w:val="auto"/>
              </w:rPr>
            </w:pPr>
          </w:p>
        </w:tc>
      </w:tr>
      <w:tr>
        <w:trPr>
          <w:trHeight w:val="216"/>
        </w:trPr>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740"/>
              <w:spacing w:after="0"/>
              <w:rPr>
                <w:sz w:val="20"/>
                <w:szCs w:val="20"/>
                <w:color w:val="auto"/>
              </w:rPr>
            </w:pPr>
            <w:r>
              <w:rPr>
                <w:rFonts w:ascii="Arial" w:cs="Arial" w:eastAsia="Arial" w:hAnsi="Arial"/>
                <w:sz w:val="18"/>
                <w:szCs w:val="18"/>
                <w:color w:val="auto"/>
              </w:rPr>
              <w:t>10.00</w:t>
            </w: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8/31/2016 to 1/11/2020</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131,358</w:t>
            </w:r>
          </w:p>
        </w:tc>
        <w:tc>
          <w:tcPr>
            <w:tcW w:w="400" w:type="dxa"/>
            <w:vAlign w:val="bottom"/>
          </w:tcPr>
          <w:p>
            <w:pPr>
              <w:spacing w:after="0"/>
              <w:rPr>
                <w:sz w:val="18"/>
                <w:szCs w:val="18"/>
                <w:color w:val="auto"/>
              </w:rPr>
            </w:pPr>
          </w:p>
        </w:tc>
      </w:tr>
      <w:tr>
        <w:trPr>
          <w:trHeight w:val="216"/>
        </w:trPr>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20.00</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9/15/2019</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400" w:type="dxa"/>
            <w:vAlign w:val="bottom"/>
            <w:shd w:val="clear" w:color="auto" w:fill="CCEEFF"/>
          </w:tcPr>
          <w:p>
            <w:pPr>
              <w:spacing w:after="0"/>
              <w:rPr>
                <w:sz w:val="18"/>
                <w:szCs w:val="18"/>
                <w:color w:val="auto"/>
              </w:rPr>
            </w:pPr>
          </w:p>
        </w:tc>
      </w:tr>
      <w:tr>
        <w:trPr>
          <w:trHeight w:val="216"/>
        </w:trPr>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740"/>
              <w:spacing w:after="0"/>
              <w:rPr>
                <w:sz w:val="20"/>
                <w:szCs w:val="20"/>
                <w:color w:val="auto"/>
              </w:rPr>
            </w:pPr>
            <w:r>
              <w:rPr>
                <w:rFonts w:ascii="Arial" w:cs="Arial" w:eastAsia="Arial" w:hAnsi="Arial"/>
                <w:sz w:val="18"/>
                <w:szCs w:val="18"/>
                <w:color w:val="auto"/>
              </w:rPr>
              <w:t>30.00</w:t>
            </w:r>
          </w:p>
        </w:tc>
        <w:tc>
          <w:tcPr>
            <w:tcW w:w="4100" w:type="dxa"/>
            <w:vAlign w:val="bottom"/>
          </w:tcPr>
          <w:p>
            <w:pPr>
              <w:jc w:val="center"/>
              <w:spacing w:after="0"/>
              <w:rPr>
                <w:sz w:val="20"/>
                <w:szCs w:val="20"/>
                <w:color w:val="auto"/>
              </w:rPr>
            </w:pPr>
            <w:r>
              <w:rPr>
                <w:rFonts w:ascii="Arial" w:cs="Arial" w:eastAsia="Arial" w:hAnsi="Arial"/>
                <w:sz w:val="18"/>
                <w:szCs w:val="18"/>
                <w:color w:val="auto"/>
                <w:w w:val="86"/>
              </w:rPr>
              <w:t>11/20/2017</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400" w:type="dxa"/>
            <w:vAlign w:val="bottom"/>
          </w:tcPr>
          <w:p>
            <w:pPr>
              <w:spacing w:after="0"/>
              <w:rPr>
                <w:sz w:val="18"/>
                <w:szCs w:val="18"/>
                <w:color w:val="auto"/>
              </w:rPr>
            </w:pPr>
          </w:p>
        </w:tc>
      </w:tr>
      <w:tr>
        <w:trPr>
          <w:trHeight w:val="223"/>
        </w:trPr>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4,678,414</w:t>
            </w:r>
          </w:p>
        </w:tc>
        <w:tc>
          <w:tcPr>
            <w:tcW w:w="400" w:type="dxa"/>
            <w:vAlign w:val="bottom"/>
          </w:tcPr>
          <w:p>
            <w:pPr>
              <w:spacing w:after="0"/>
              <w:rPr>
                <w:sz w:val="18"/>
                <w:szCs w:val="18"/>
                <w:color w:val="auto"/>
              </w:rPr>
            </w:pPr>
          </w:p>
        </w:tc>
      </w:tr>
      <w:tr>
        <w:trPr>
          <w:trHeight w:val="21"/>
        </w:trPr>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With the exception of 2,705,883 shares of common stock underlying the warrants issued in the May 2016 Public Offering, all of the common shares underlying our outstanding warrants are unregistered.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xml:space="preserve">) engaged by us for certain aspects of the development of AV-101. CBV is among our largest institutional stockholders at September 30, 2016, holding approximately 7.5% of our outstanding common stock. Shawn Singh, our Chief Executive Officer and member of our Board of Directors, served as Managing Principal of CBV and Chief Business Officer and General Counsel of CRL from February 2001 to August 2009. On October 10, 2012, we issued to CBV an unsecured promissory note in the principal amount of $310,400 (the </w:t>
      </w:r>
      <w:r>
        <w:rPr>
          <w:rFonts w:ascii="Arial" w:cs="Arial" w:eastAsia="Arial" w:hAnsi="Arial"/>
          <w:sz w:val="16"/>
          <w:szCs w:val="16"/>
          <w:i w:val="1"/>
          <w:iCs w:val="1"/>
          <w:color w:val="auto"/>
        </w:rPr>
        <w:t>2012 CBV Note</w:t>
      </w:r>
      <w:r>
        <w:rPr>
          <w:rFonts w:ascii="Arial" w:cs="Arial" w:eastAsia="Arial" w:hAnsi="Arial"/>
          <w:sz w:val="16"/>
          <w:szCs w:val="16"/>
          <w:color w:val="auto"/>
        </w:rPr>
        <w:t xml:space="preserve">) and a five-year warrant to purchase 12,500 restricted shares of our common stock at a price of $30.00 per share (the </w:t>
      </w:r>
      <w:r>
        <w:rPr>
          <w:rFonts w:ascii="Arial" w:cs="Arial" w:eastAsia="Arial" w:hAnsi="Arial"/>
          <w:sz w:val="16"/>
          <w:szCs w:val="16"/>
          <w:i w:val="1"/>
          <w:iCs w:val="1"/>
          <w:color w:val="auto"/>
        </w:rPr>
        <w:t>CBV Warrant</w:t>
      </w:r>
      <w:r>
        <w:rPr>
          <w:rFonts w:ascii="Arial" w:cs="Arial" w:eastAsia="Arial" w:hAnsi="Arial"/>
          <w:sz w:val="16"/>
          <w:szCs w:val="16"/>
          <w:color w:val="auto"/>
        </w:rPr>
        <w:t xml:space="preserve">). Additionally, on October 10, 2012, we issued to CRL: (i) an unsecured promissory note in the initial principal amount of $1,009,000, payable solely in restricted shares of our common stock and which accrued interest at the rate of 7.5% per annum, compounded monthly (the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rendered to us by CRL through December 31, 2012 with respect to CRO services, including regulatory strategy and preclinical and clinical development of AV-101, and (ii) a five-year warrant to purchase, at a price of $20.00 per share, 50,450 restricted shares of our common stock, such number of shares to be adjusted in relation to accrued interest on the CRL Note (</w:t>
      </w:r>
      <w:r>
        <w:rPr>
          <w:rFonts w:ascii="Arial" w:cs="Arial" w:eastAsia="Arial" w:hAnsi="Arial"/>
          <w:sz w:val="16"/>
          <w:szCs w:val="16"/>
          <w:i w:val="1"/>
          <w:iCs w:val="1"/>
          <w:color w:val="auto"/>
        </w:rPr>
        <w:t>CRL Warrant</w:t>
      </w:r>
      <w:r>
        <w:rPr>
          <w:rFonts w:ascii="Arial" w:cs="Arial" w:eastAsia="Arial" w:hAnsi="Arial"/>
          <w:sz w:val="16"/>
          <w:szCs w:val="16"/>
          <w:color w:val="auto"/>
        </w:rPr>
        <w:t>). The Cato Notes and additional amounts payable to CRL for CRO services were extinguished in June 2015 in exchange for our issuance of an aggregate of 328,571 shares of Series B Preferred to CBV, which shares of Series B Preferred were automatically converted into an equal number of registered shares of our common stock in connection with the May 2016 Public Offering. CBV also participated in our February 2016 warrant exchange, exchanging the CBV Warrant and the CRL Warrant, as adjusted to reflect accrued interest, for an aggregate of 54,894 shares of our unregistered common stock.</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terms of our CRO arrangement with CRL related to the development of AV-101, we incurred expenses of $27,800 and $10,900 for the quarters ended September 30, 2016 and 2015, respectively, and $78,200 and $22,100 in the six month periods ended September 30, 2016 and 2015, respectively. Total interest expense, including amortization of note discount, on the notes payable to CBV and CRL was $28,200 for the three-month period ended June 30, 2015 during which the notes were extinguished.</w:t>
      </w:r>
    </w:p>
    <w:p>
      <w:pPr>
        <w:sectPr>
          <w:pgSz w:w="11900" w:h="16838" w:orient="portrait"/>
          <w:cols w:equalWidth="0" w:num="1">
            <w:col w:w="11420"/>
          </w:cols>
          <w:pgMar w:left="240" w:top="130"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5" w:name="page16"/>
    <w:bookmarkEnd w:id="1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November 11, 2016 and have identified the following matters requiring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Exchanged for Common Stock</w:t>
      </w:r>
    </w:p>
    <w:p>
      <w:pPr>
        <w:spacing w:after="0" w:line="19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October 2016, we entered into a Warrant Exchange Agreement with a holder of outstanding warrants to purchase 113,944 shares of our common stock pursuant to which the holder agreed to cancel such warrants in exchange for the issuance of 85,458 restricted shares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Professional Services</w:t>
      </w:r>
    </w:p>
    <w:p>
      <w:pPr>
        <w:spacing w:after="0" w:line="18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Effective November 1, 2016, we issued 25,000 shares of our unregistered common stock as partial compensation for investor relations, market awareness and other services.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9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Effective November 9, 2016, our Board authorized the grant of stock options to purchase an aggregate of 560,000 shares of our common stock pursuant to our Amended and Restated 2016 Stock Incentive Plan. Options were granted to independent members of our Board and our officers and employees. The ten-year options are exercisable at $3.80 per share and vest over a period of three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Extension</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Effective November 10, 2016, we entered into an amendment to the lease of our headquarters facility, pursuant to which the term of the lease was extended from July 31, 2017 to July 31, 2022 and the base rent under the lease for the five-year extension period was specified. A copy of the amended lease is attached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(Quarterly Report) includes forward-looking statements. All statements contained in this Quarterly Report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Quarterly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may not occur and actual results could differ materially and adversely from those anticipated or implied in the forward-looking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Quarterly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Item 2 refer to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and calendar years, unless reference is made otherwise.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lead product candidate, AV-101, is a new generation, oral antidepressant drug candidate in Phase 2 development, initially for the adjunctive treatment of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We believe AV-101 may also have therapeutic potential in other CNS indications, including chronic neuropathic pain, epilepsy, Huntington’s disease and Parkinson’s disease.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AV-101’s mechanism of action, as an N-methyl D 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antagonist binding selectively at the glycine binding (</w:t>
      </w:r>
      <w:r>
        <w:rPr>
          <w:rFonts w:ascii="Arial" w:cs="Arial" w:eastAsia="Arial" w:hAnsi="Arial"/>
          <w:sz w:val="18"/>
          <w:szCs w:val="18"/>
          <w:i w:val="1"/>
          <w:iCs w:val="1"/>
          <w:color w:val="auto"/>
        </w:rPr>
        <w:t>GlyB</w:t>
      </w:r>
      <w:r>
        <w:rPr>
          <w:rFonts w:ascii="Arial" w:cs="Arial" w:eastAsia="Arial" w:hAnsi="Arial"/>
          <w:sz w:val="18"/>
          <w:szCs w:val="18"/>
          <w:color w:val="auto"/>
        </w:rPr>
        <w:t>) co-agonist site of the NMDAR, is fundamentally differentiated from all FDA-approved antidepressants, as well as all atypical antipsychotics used to augment standard antidepressant therapy.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preparing to launch our Phase 2b clinical study of AV-101 for the adjunctive treatment of MDD in patients with an inadequate response to standard, FDA-approved antidepressants (</w:t>
      </w:r>
      <w:r>
        <w:rPr>
          <w:rFonts w:ascii="Arial" w:cs="Arial" w:eastAsia="Arial" w:hAnsi="Arial"/>
          <w:sz w:val="16"/>
          <w:szCs w:val="16"/>
          <w:i w:val="1"/>
          <w:iCs w:val="1"/>
          <w:color w:val="auto"/>
        </w:rPr>
        <w:t>Phase 2b Study</w:t>
      </w:r>
      <w:r>
        <w:rPr>
          <w:rFonts w:ascii="Arial" w:cs="Arial" w:eastAsia="Arial" w:hAnsi="Arial"/>
          <w:sz w:val="16"/>
          <w:szCs w:val="16"/>
          <w:color w:val="auto"/>
        </w:rPr>
        <w:t>). We currently anticipate commencement of this multi-center, multi-dose, double blind, placebo-controlled Phase 2b efficacy and safety study in the first half of 2017.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Phase 2b Study. Dr. Fava was the co-Principal Investigator with Dr. A. John Rush of the largest clinical trial conducted in depression to date, the STAR*D study,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in this Phase 2b Study in the third quarter of 2018.</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clinical development of AV-101, we are advancing potential commercial applications of our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technology platform, including drug rescue and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Our small molecule drug rescue programs involve using CardioSafe 3D, our customized cardiac bioassay system, to develop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internal pipeline. Potential RM applications include using blood, cartilage, heart and/or liver cells derived from hPSCs for (A) cell-based therapy, (B) cell repair therapy, and/or (C) tissue engineering. We may pursue these drug rescue and RM applications in collaboration with third-parties.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estimates that 350 million people worldwide are affected by depression. According to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one in 10 Americans over the age of 12 takes an antidepressant medication.</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Most standard, FDA-approved antidepressants target neurotransmitter reuptake inhibition – either serotonin (</w:t>
      </w:r>
      <w:r>
        <w:rPr>
          <w:rFonts w:ascii="Arial" w:cs="Arial" w:eastAsia="Arial" w:hAnsi="Arial"/>
          <w:sz w:val="16"/>
          <w:szCs w:val="16"/>
          <w:i w:val="1"/>
          <w:iCs w:val="1"/>
          <w:color w:val="auto"/>
        </w:rPr>
        <w:t>SSRIs</w:t>
      </w:r>
      <w:r>
        <w:rPr>
          <w:rFonts w:ascii="Arial" w:cs="Arial" w:eastAsia="Arial" w:hAnsi="Arial"/>
          <w:sz w:val="16"/>
          <w:szCs w:val="16"/>
          <w:color w:val="auto"/>
        </w:rPr>
        <w:t>) or serotonin/norepinephrine (</w:t>
      </w:r>
      <w:r>
        <w:rPr>
          <w:rFonts w:ascii="Arial" w:cs="Arial" w:eastAsia="Arial" w:hAnsi="Arial"/>
          <w:sz w:val="16"/>
          <w:szCs w:val="16"/>
          <w:i w:val="1"/>
          <w:iCs w:val="1"/>
          <w:color w:val="auto"/>
        </w:rPr>
        <w:t>SNRIs</w:t>
      </w:r>
      <w:r>
        <w:rPr>
          <w:rFonts w:ascii="Arial" w:cs="Arial" w:eastAsia="Arial" w:hAnsi="Arial"/>
          <w:sz w:val="16"/>
          <w:szCs w:val="16"/>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as many as four different standard antidepressants, nearly one out of every three drug-treated depression patients do not achieve adequate therapeutic benefits. Such treatment-resistant depression patients often seek to treat their depression with non-drug-related approaches, such as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or to augment their inadequate response to standard antidepressants by adding an atypical antipsychotic (such as, for example, aripiprazole) to their treatment regimen, despite only modest potential therapeutic benefit and significant risk of additional side effects from such augmentation options.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All standard antidepressants have risks of significant side effects, including, among others, potentially anxiety, metabolic syndrome, sleep disturbance and sexual dysfunction. They also have a “Black Box” warning due to risks of worsening depression and suicide in certain groups.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 Use of ECT increases the risk of serious side effects, including, headaches, tiredness, disorientation, intense sleepiness, hallucinations and long-term memory loss.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AV-101, our oral new generation antidepressant drug candidate, is in Phase 2 clinical development, initially for the adjunctive treatment of MDD patients with an inadequate response to standard antidepressants. As published in the October 2015 issue of the peer-reviewed, </w:t>
      </w:r>
      <w:r>
        <w:rPr>
          <w:rFonts w:ascii="Arial" w:cs="Arial" w:eastAsia="Arial" w:hAnsi="Arial"/>
          <w:sz w:val="16"/>
          <w:szCs w:val="16"/>
          <w:i w:val="1"/>
          <w:iCs w:val="1"/>
          <w:color w:val="auto"/>
        </w:rPr>
        <w:t>Journal of Pharmacology and Experimental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Therapeutics, </w:t>
      </w:r>
      <w:r>
        <w:rPr>
          <w:rFonts w:ascii="Arial" w:cs="Arial" w:eastAsia="Arial" w:hAnsi="Arial"/>
          <w:sz w:val="16"/>
          <w:szCs w:val="16"/>
          <w:color w:val="auto"/>
        </w:rPr>
        <w:t>in an article entitled,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 statistically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significant antidepressant-like responses, following a single treatment. These responses were equivalent to those seen with a single, sub-anesthetic control dose of the NMDAR antagonist ketamine. In the same preclinical studies, a standard antidepressant, the SSRI fluoxetine, did not induce rapid onset antidepressant-like responses. In addition, these studies confirmed that the fast-acting antidepressive effects of AV-101 were mediated through the GlyB site and involved the activation of a key neurological pathway, the alpha-amino-3-hydroxy-5-methyl-4-isoxazolepropionic acid </w:t>
      </w:r>
      <w:r>
        <w:rPr>
          <w:rFonts w:ascii="Arial" w:cs="Arial" w:eastAsia="Arial" w:hAnsi="Arial"/>
          <w:sz w:val="16"/>
          <w:szCs w:val="16"/>
          <w:b w:val="1"/>
          <w:bCs w:val="1"/>
          <w:color w:val="auto"/>
        </w:rPr>
        <w:t>(</w:t>
      </w:r>
      <w:r>
        <w:rPr>
          <w:rFonts w:ascii="Arial" w:cs="Arial" w:eastAsia="Arial" w:hAnsi="Arial"/>
          <w:sz w:val="16"/>
          <w:szCs w:val="16"/>
          <w:i w:val="1"/>
          <w:iCs w:val="1"/>
          <w:color w:val="auto"/>
        </w:rPr>
        <w:t>AMPA</w:t>
      </w:r>
      <w:r>
        <w:rPr>
          <w:rFonts w:ascii="Arial" w:cs="Arial" w:eastAsia="Arial" w:hAnsi="Arial"/>
          <w:sz w:val="16"/>
          <w:szCs w:val="16"/>
          <w:color w:val="auto"/>
        </w:rPr>
        <w:t>) receptor pathway. Activation of the AMPA receptor pathway is a common feature of fast-acting antidepressants.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Following the completion of our NIH-funded, randomized, double blind, placebo-controlled AV-101 Phase 1a and Phase 1b safety studies, we are now collaborating with the NIMH in a Phase 2a study. Under our February 2015 CRADA, the NIMH is funding, and Dr. Carlos Zarate Jr. of the NIMH as Principal Investigator is conducting, our ongoing Phase 2a efficacy and safety study of AV-101 in subjects with treatment-resistant MDD. The trial is expected to enroll 20 to 28 patients. The first patient was dosed in November 2015, and we currently anticipate topline results in the second quarter of 2017.</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preparing to launch our Phase 2b Study of AV-101 for the adjunctive treatment of MDD in patients with an inadequate response to standard, FDA-approved antidepressants. We currently anticipate the launch of the Phase 2b Study, with Dr. Maurizio Fava of Harvard Medical School serving as Principal Investigator, in the first half of 2017. We currently anticipate topline results from the Phase 2b Study in the third quarter of 2018.</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several preclinical studies support the hypothesis that AV-101 also has the potential to treat multiple CNS disorders and neurodegenerative diseases in addition to MDD, including chronic neuropathic pain, epilepsy, Parkinson’s disease and Huntington’s disease, where modulation of the NMDAR, AMPA pathway and/or active metabolites of AV-101 may achieve therapeutic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 long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they are ever tested in animal and human studies. We are currently focused on potential commercial applications of our stem cell technology platform involving (i) use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small molecule NCE drug discovery and drug rescue to expand our drug candidate pipeline, leveraging substantial prior research and development investments by pharmaceutical companies and others related to public domain NCEs terminated before FDA approval due to heart toxicity risks and (ii) RM, including (A) cell-based therapy (injection of stem cell-derived mature organ-specific cells obtained through directed differentiation),</w:t>
      </w:r>
    </w:p>
    <w:p>
      <w:pPr>
        <w:spacing w:after="0" w:line="2" w:lineRule="exact"/>
        <w:rPr>
          <w:sz w:val="20"/>
          <w:szCs w:val="20"/>
          <w:color w:val="auto"/>
        </w:rPr>
      </w:pPr>
    </w:p>
    <w:p>
      <w:pPr>
        <w:jc w:val="both"/>
        <w:ind w:firstLine="8"/>
        <w:spacing w:after="0" w:line="302" w:lineRule="auto"/>
        <w:tabs>
          <w:tab w:leader="none" w:pos="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heart and/or liver cells. We may collaborate with one or more third-parties in connection with these potential commercial applications of our stem cell technology platform.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2016, as filed with the SEC on June 24, 2016, and in Note 3 to the accompanying unaudited Condensed Consolidated Financial Statements included in Part 1,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not yet achieved revenue-generating status from any of our product candidates or technologies. Since inception, we have devoted substantially all of our time and efforts to developing our lead CNS product candidate, AV-101, from early preclinical studies to our ongoing Phase 2 clinical development programs in MDD, as well as stem cell technology research and development, bioassay development, small molecule drug development, and creating, protecting and patenting intellectual property related to our product candidates and technologies, with the corollary initiatives of recruiting and retaining personnel and raising working capital. As of September 30, 2016, we had an accumulated deficit of approximately $136.8 million. Our net loss for the six months ended September 30, 2016 was approximately $5.1 million. Our net loss for the six months ended September 30, 2015 was approximately $36.6 million, which amount included a non-recurring, non-cash loss of approximately $26.7 million attributable to extinguishment and conversion of approximately $17.2 million of our prior indebtedness into equity securities between May and August 2015. We expect losses to continue for the foreseeable future, primarily related to our further clinical development of AV-101 for the adjunctive treatment of MDD, as well as a range of other CNS indications.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Six Months Ended September 30, 2016</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During the six months ended September 30, 2016, we continued to (i) advance clinical development of AV-101 as a new generation antidepressant, (ii) expand the regulatory foundation to support Phase 2 clinical development of AV-101 in the U.S. both as a new adjunctive treatment for patients with inadequate response to standard, FDA-approved antidepressants and as a new therapeutic alternative for several other CNS indications, and, (iii) on a limited basis, advance both (a) the predictive toxicology capabilities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applications, including our ongoing participation in the FDA’s Comprehensive in-vitro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initiative designed to change the landscape of preclinical drug development by providing a more complete and accurate assessment of potential drug effects on cardiac risk, and (b) regenerative medicine opportunities related to our stem cell technology platform.</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our February 2015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xml:space="preserve">) with the NIH, the NIH continues to fund, and Dr. Carlos Zarate Jr. of the NIMH continues to conduct, a Phase 2a clinical study of AV-101 in treatment-resistant MDD. In addition, we continue preparations for our Phase 2b clinical study of AV-101 for the adjunctive treatment of MDD in patients with an inadequate response to standard, FDA-approved antidepressants (the </w:t>
      </w:r>
      <w:r>
        <w:rPr>
          <w:rFonts w:ascii="Arial" w:cs="Arial" w:eastAsia="Arial" w:hAnsi="Arial"/>
          <w:sz w:val="18"/>
          <w:szCs w:val="18"/>
          <w:i w:val="1"/>
          <w:iCs w:val="1"/>
          <w:color w:val="auto"/>
        </w:rPr>
        <w:t>Phase 2b</w:t>
      </w:r>
      <w:r>
        <w:rPr>
          <w:rFonts w:ascii="Arial" w:cs="Arial" w:eastAsia="Arial" w:hAnsi="Arial"/>
          <w:sz w:val="18"/>
          <w:szCs w:val="18"/>
          <w:color w:val="auto"/>
        </w:rPr>
        <w:t xml:space="preserve"> </w:t>
      </w:r>
      <w:r>
        <w:rPr>
          <w:rFonts w:ascii="Arial" w:cs="Arial" w:eastAsia="Arial" w:hAnsi="Arial"/>
          <w:sz w:val="18"/>
          <w:szCs w:val="18"/>
          <w:i w:val="1"/>
          <w:iCs w:val="1"/>
          <w:color w:val="auto"/>
        </w:rPr>
        <w:t>Study</w:t>
      </w:r>
      <w:r>
        <w:rPr>
          <w:rFonts w:ascii="Arial" w:cs="Arial" w:eastAsia="Arial" w:hAnsi="Arial"/>
          <w:sz w:val="18"/>
          <w:szCs w:val="18"/>
          <w:color w:val="auto"/>
        </w:rPr>
        <w:t>). We currently anticipate the launch of the Phase 2b Study, with Dr. Maurizio Fava of Harvard Medical School serving as Principal Investigator,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2017.</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2016, we consummated an underwritten public offering of our securities, pursuant to which we issued to institutional investors an aggregate of 2,570,040 registered shares of our common stock and five-year warrants exercisable at $5.30 per share to purchase an aggregate of 2,705,883 shares of our common stock and received net proceeds, after deducting underwriters’ commissions and other expenses, of approximately $9.5 million (</w:t>
      </w:r>
      <w:r>
        <w:rPr>
          <w:rFonts w:ascii="Arial" w:cs="Arial" w:eastAsia="Arial" w:hAnsi="Arial"/>
          <w:sz w:val="18"/>
          <w:szCs w:val="18"/>
          <w:i w:val="1"/>
          <w:iCs w:val="1"/>
          <w:color w:val="auto"/>
        </w:rPr>
        <w:t>May 2016 Public Offering</w:t>
      </w:r>
      <w:r>
        <w:rPr>
          <w:rFonts w:ascii="Arial" w:cs="Arial" w:eastAsia="Arial" w:hAnsi="Arial"/>
          <w:sz w:val="18"/>
          <w:szCs w:val="18"/>
          <w:color w:val="auto"/>
        </w:rPr>
        <w:t>). In connection with the May 2016 Public Offering, we also uplisted our common stock to the NASDAQ Capital Markets, where it has traded under the symbol “VTGN” since May 11, 2016. Please see the section titled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 for a discussion of our capital needs following the May 2016 Public Offering.</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bolstering our Clinical and Regulatory Advisory Board with the appointment of Dr. Maurizio Fava as Chairman and the addition of members Dr. Sanjay Matthew and Dr. Thomas Laughren, all pre-eminent opinion leaders in the field of depression, and the addition of veteran healthcare executive Jerry Gin, Ph.D., MBA to our Board of Directors, we recently enhanced our management team with the addition of Mark A. Smith, MD, Ph.D., as our Chief Medical Officer in June 2016. Dr. Smith has over 20 years of pharmaceutical industry and CNS drug development experience. He has been a successful project leader in both drug discovery and development on projects resulting in approximately 20 investigational new drugs (INDs). Dr. Smith has directed clinical trials examining depression, bipolar disorder, anxiety, schizophrenia, Alzheimer’s disease, ADHD and agitation in Phase 1 through Phase 2b. In addition, Dr. Smith has vast knowledge and expertise in translational neuroscience, clinical trial design and regulatory interactions. Further, in September 2016, we appointed Mark A. McPartland as our Vice President of Corporate Development and Investor Relations. Mr. McPartland has over 20 years of experience in corporate development, capital markets, corporate communications and management consulting for companies at varying stage of their corporate evolution, including early- and mid-stage biopharmaceutical companies. Mr. McPartland will concentrate his initial efforts in expanding awareness of VistaGen across a range of investors, researchers, patients, clinicians and potential partners.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attempt to minimize to the greatest extent possible cash commitments and expenditures for both internal and external research and development and general and administrative services. To further advance the clinical development of AV-101 and our stem cell technology platform, as well as support our operating activities, we will continue to carefully manage our routine operating costs, including our internal employee related expenses, as well as external costs relating to regulatory consulting, contract research and development, investor relations and corporate development, legal, accounting, public company compliance and other professional services and working capital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our operations for the three months ended September 30, 2016 and 2015 (amounts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(3,101)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right"/>
              <w:ind w:right="5232"/>
              <w:spacing w:after="0"/>
              <w:rPr>
                <w:sz w:val="20"/>
                <w:szCs w:val="20"/>
                <w:color w:val="auto"/>
              </w:rPr>
            </w:pPr>
            <w:r>
              <w:rPr>
                <w:rFonts w:ascii="Arial" w:cs="Arial" w:eastAsia="Arial" w:hAnsi="Arial"/>
                <w:sz w:val="18"/>
                <w:szCs w:val="18"/>
                <w:color w:val="auto"/>
                <w:w w:val="94"/>
              </w:rPr>
              <w:t>Accrued dividend on Series B Preferred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right"/>
              <w:ind w:right="5232"/>
              <w:spacing w:after="0"/>
              <w:rPr>
                <w:sz w:val="20"/>
                <w:szCs w:val="20"/>
                <w:color w:val="auto"/>
              </w:rPr>
            </w:pPr>
            <w:r>
              <w:rPr>
                <w:rFonts w:ascii="Arial" w:cs="Arial" w:eastAsia="Arial" w:hAnsi="Arial"/>
                <w:sz w:val="18"/>
                <w:szCs w:val="18"/>
                <w:color w:val="auto"/>
                <w:w w:val="93"/>
              </w:rPr>
              <w:t>Deemed dividend on Series B Preferred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(3,342)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reported no revenue for the quarters ended September 30, 2016 or 2015 and we presently have no revenue generating arrangements. However, as indicated previously, we have entered into a CRADA with the NIH providing for NIH funding of a Phase 2a clinical study of AV-101 in treatment resistant Major Depressive Disorder. This Phase 2a study, which began in November 2015, is being fully funded by the NIH and conducted at the NIMH by Dr. Carlos Zarate, Jr.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 totaled $1,606,100 for the quarter ended September 30, 2016, a 3% decrease compared with the $1,656,100 reported for the quarter ended September 30, 2015, which included significant noncash stock-based compensation expense. Although the decrease between periods is modest, current period costs reflect the increasing impact of our concentration on continued development of AV-101 and preparations for launch of the Phase 2b Study, which is currently anticipated in the first half of 2017. The following table indicates the primary components of research and development expense for each of the periods (amounts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increase in salaries and benefits reflects the impact of a bonus payment made to our President and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the hiring of Dr. Mark Smith as our Chief Medical Officer (</w:t>
      </w:r>
      <w:r>
        <w:rPr>
          <w:rFonts w:ascii="Arial" w:cs="Arial" w:eastAsia="Arial" w:hAnsi="Arial"/>
          <w:sz w:val="16"/>
          <w:szCs w:val="16"/>
          <w:i w:val="1"/>
          <w:iCs w:val="1"/>
          <w:color w:val="auto"/>
        </w:rPr>
        <w:t>CMO</w:t>
      </w:r>
      <w:r>
        <w:rPr>
          <w:rFonts w:ascii="Arial" w:cs="Arial" w:eastAsia="Arial" w:hAnsi="Arial"/>
          <w:sz w:val="16"/>
          <w:szCs w:val="16"/>
          <w:color w:val="auto"/>
        </w:rPr>
        <w:t>), and salary increases granted to our CSO and the four non-officer members of our scientific staff.</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decrease in stock based compensation expense is primarily attributable to the $852,200 fair value, determined using the Black-Scholes Option Pricing Model and the assumptions indicated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accompanying Condensed Consolidated Financial Statements in Part I of this Report, of the September 2015 grant of immediately vested and expensed warrants to purchase 150,000 shares of our common stock granted to our CSO. Stock compensation expense in 2016 reflects the ratable amortization of option grants made to our CSO and CMO, scientific staff and consultants, most recently in June 2016 (CSO and CMO only) and September 2015 (primarily in 2016 expense). Our stock options are generally amortized over a two-year to four-year vesting period. A substantial number of the option grants made in or prior to our fiscal year ended March 31, 2014 became fully-vested and were fully-expensed prior to the quarter ended September 30, 2016.</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Consulting services reflects fees paid or accrued for scientific, preclinical and clinical development and regulatory advisory services rendered to us by third-parties, primarily by members of our scientific and clinical and regulatory advisory boards.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Technology license expense reflects both recurring annual fees as well as legal counsel and other costs related to patent prosecution and protection that we are required to fund under the terms of certain of our stem cell technology license agreements or have elected to pursue for commercial purposes. We recognize these costs as they are invoiced to us by the licensors and they do not occur ratably throughout the year or between years. In both periods, but to a greater extent in the quarter ended September 30, 2015, this expense includes legal counsel and other costs we have incurred to advance in the U.S. and numerous foreign countries numerous pending patent applications with respect to AV-101 and our stem cell technology platform. Expense for the quarter ended September 30, 2015, also included approximately $153,000 of fees and expenses related to stem cell technology related licenses acquired from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in connection with our Sponsored Research Collaboration Agreement with UHN. Further, in July 2015, we granted an aggregate of 10,000 shares of our Series B Preferred having an aggregate fair value on the date of grant of $120,000 to two strategic intellectual property legal service providers.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AV-101 project expenses for the quarter ended September 30, 2016 includes continuing costs incurred to develop more efficient and cost-effective production methods for AV-101 and for certain pre-production and preclinical trial analyses and procedures to facilitate Phase 2 clinical development of AV-101, including the Phase 2b Study. AV-101 expense in both periods reflects the costs associated with monitoring for and responding to potential feedback related to the AV-101 Phase 1 clinical trials and addressing other matters required under the terms of our prior NIH grant awards, primarily through our Cato Research Ltd., our CRO for our Phase 1 safety studies. Stem cell and other project related expenses in both periods were nominal.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decreased to $1,493,600 from $3,730,500, for the quarters ended September 30, 2016 and 2015, respectively, primarily as a result of the decrease in noncash stock compensation expense attributable to option and warrant grants to employees and noncash expense related to grants of equity securities in payment of certain professional services. The following table indicates the primary components of general and administrative expenses for each of the periods (amounts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increase in salaries and benefits reflects the impact of bonus payments made to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and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the hiring of Mark McPartland as our Vice President of Corporate Development and Investor Relations; and salary increases granted to our CEO, CFO and a non-officer member of our administrative staff and the change in that employee’s status from part-time to full-time.</w:t>
      </w:r>
    </w:p>
    <w:p>
      <w:pPr>
        <w:spacing w:after="0" w:line="16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 xml:space="preserve">The decrease in stock based compensation expense is primarily attributable to the $2,841,000 fair value, determined using the Black-Scholes Option Pricing Model and the assumptions indicated in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the accompanying Condensed Consolidated Financial Statements in Part I of this Report, of the September 2015 grant of immediately vested and expensed warrants to purchase 500,000 shares of our common stock granted to our CEO, CFO, independent members of our Board of Directors and certain consultants. Stock compensation expense in 2016 reflects the ratable amortization of option grants made to our CEO, CFO, independent members of our Board of Directors and administrative staff and consultants, most recently in June 2016 (CEO, CFO and independent Board members only) and September 2015 (primarily in 2016 expense), as well as to Mr. McPartland upon his commencement of employment in September 2016. Our stock options are generally amortized over a two-year to four-year vesting period. A substantial number of the option grants made in or prior to our fiscal year ended March 31, 2014 became fully-vested and were fully-expensed prior to the quarter ended September 30, 2016.</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Consulting services primarily includes fees recognized for the services of independent members of our Board of Directors. We added an additional independent director to our Board in March 2016.</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Legal, accounting and other professional fees in the quarter ended September 30, 2015 included $337,500 of noncash expense recognized during the quarter pursuant to the June 30, 2015 grant of an aggregate of 90,000 shares of our Series B Preferred having an aggregate fair value of $1,350,000 as compensation for financial advisory and corporate development service contracts with two independent contractors for services to be performed through June 30, 2016. In the quarter ended September 30, 2016, we also granted an aggregate of 25,000 unregistered shares of our common stock having a fair value of $108,500 to a legal services provider as compensation for services. In both years, professional services fees also include the expense related to the annual audit of the prior year financial statements and quarterly reviews of current year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Investor relations expense includes the fees of our external service providers for a broad spectrum of investor relations and market awareness and support functions and, in the quarter ended September 30, 2016, initiatives that include numerous meetings and other communication activities focused on expanding market awareness of the Company, including among investment professionals and investment advisors, and individual and institutional investors. In the quarter ended September 30, 2016, we granted an aggregate of 25,000 unregistered shares of our common stock having a fair value at the time of issuance of $108,500 to an investor relations service provider as compensation for services, and, as noted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in Part I of this Report, 120,000 unregistered shares of our common stock having a fair value at the time of issuance of $520,800 to a consulting services provider for corporate development and other strategic advisory services to be rendered from October 2016 to December 2016. The value of the latter common stock grant was recorded as a prepaid expense at the date of the grant and will be expensed during the quarter ended December 31, 2016.</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periods, travel expense reflects costs associated with presentations to and meetings with existing and potential individual and institutional investors, investment professionals and investment advisors, media and securities analysts, as well as various investor relations, market awareness and corporate development initiatives.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2016, we entered into warrant exchange agreements with certain warrant holders pursuant to which the warrant holders exchanged outstanding warrants to purchase an aggregate of 20,000 shares of our common stock for an aggregate of 15,000 shares of our unregistered common stock. As with similar transactions during the quarters ended March 31, 2016 and June 30, 2016, we accounted for these transactions as warrant modifications, resulting in our recognition of $17,100 in noncash expense in the quarter ended September 30,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Interest expense, net totaled $1,400 for the quarter ended September 30, 2016 compared to $12,200 reported for the quarter ended September 30, 2015, with both quarters reflecting the impact of the extinguishment of a substantial majority of our promissory notes, as well as other indebtedness, between May 2015 and August 2015 by conversion into our Series B Preferred or cash repayment and the related elimination of note interest and discount amortization. The following table summarizes the primary components of interest expense for each of the periods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on promissory notes in the quarter ended September 30, 2015 represents the quarterly interest accrued on our outstanding Note A to Morrison &amp; Foerster prior to its conversion into our Series B Preferred in August 2015, our outstanding note to University of California at Davis prior to our repayment of such note in January 2016 and our outstanding note to Progressive Medical Research prior to our repayment of such in June 2016. Discount amortization for the same period was attributable to Note A to Morrison &amp; Foerster. Other interest expense in both periods relates to interest paid on insurance premium financing and one capital lease of office equipment.</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During the quarter ended September 30, 2015, we eliminated the outstanding balances of an additional approximately $1.8 million of promissory notes and other debt (after having eliminated the outstanding balances of approximately $15.4 million of promissory notes, including our Senior Secured Notes, our 2014 Unit Notes and other debt and certain adjustments thereto, in the quarter ended June 30, 2015) by converting such balances into shares of our Series B Preferred. We treated the conversion of the indebtedness into Series B Preferred as extinguishments of debt for accounting purposes. Because the fair value of the Series B Preferred we negotiated in settlement of the promissory notes and other indebtedness in the both the quarter ended September 30, 2015 and the quarter ended June 30, 2015 exceeded the carrying value of the debts, we incurred non-recurring noncash losses on each of the extinguishments. During the quarter ended September 30, 2015, we recorded an aggregate net noncash loss of $1,649,300 attributable to the extinguishment of debt converted into Series B Preferred.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allocated proceeds from our self-placed private placement sales of Series B Preferred Units during the quarter ended September 30, 2015 to the Series B Preferred and the Series B Warrants based on their relative fair values on the dates of the sales. The difference, for accounting purposes, between the relative fair value per share of the Series B Preferred, approximately $4.05 per share, and its Conversion Price (or stated value) of $7.00 per share represented a deemed dividend to the purchasers of the Series B Preferred Units. Accordingly, we recognized a deemed dividend in the aggregate amount of $886,900 in arriving at net loss attributable to common stockholders for the quarter ended September 30, 2015 in the accompanying Condensed Consolidated Statement of Operations and Comprehensive Loss included in Part I of this Report. Our private placement offering of Series B Preferred Units was completed in May 2016.</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have recognized $241,000 and $614,700 for the quarters ended September 30, 2016 and 2015, respectively, representing the 10% cumulative dividend payable on our Series B Preferred as an additional deduction in arriving at net loss attributable to common stockholders in the accompanying Condensed Consolidated Statement of Operations and Comprehensive Loss included in Part I of this Report. The reduction in the quarterly dividend accrual results from the automatic conversion of an aggregate of 2,403,051 shares of Series B Preferred upon our completion of the May 2016 Public Offering, as disclosed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in Part I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September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six months ended September 30, 2016 and 2015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(5,068)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right"/>
              <w:ind w:right="5232"/>
              <w:spacing w:after="0"/>
              <w:rPr>
                <w:sz w:val="20"/>
                <w:szCs w:val="20"/>
                <w:color w:val="auto"/>
              </w:rPr>
            </w:pPr>
            <w:r>
              <w:rPr>
                <w:rFonts w:ascii="Arial" w:cs="Arial" w:eastAsia="Arial" w:hAnsi="Arial"/>
                <w:sz w:val="18"/>
                <w:szCs w:val="18"/>
                <w:color w:val="auto"/>
                <w:w w:val="94"/>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right"/>
              <w:ind w:right="5232"/>
              <w:spacing w:after="0"/>
              <w:rPr>
                <w:sz w:val="20"/>
                <w:szCs w:val="20"/>
                <w:color w:val="auto"/>
              </w:rPr>
            </w:pPr>
            <w:r>
              <w:rPr>
                <w:rFonts w:ascii="Arial" w:cs="Arial" w:eastAsia="Arial" w:hAnsi="Arial"/>
                <w:sz w:val="18"/>
                <w:szCs w:val="18"/>
                <w:color w:val="auto"/>
                <w:w w:val="93"/>
              </w:rPr>
              <w:t>Deemed dividend on Series B Preferred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no revenue for the six month periods ended September 30, 2016 or 2015 and we presently have no revenue generating arrangements. However, as indicated previously, we have entered into a CRADA with the NIH providing for the NIH to fund and conduct a Phase 2a clinical study of AV-101 in treatment resistant Major Depressive Disorder. This Phase 2a study, which began in November 2015, is being funded by the NIH and conducted at the NIMH by Dr. Carlos Zarate, Jr.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Research and development expense totaled $2,431,800 for the six months ended September 30, 2016, approximately 20% greater than the $2,028,700 incurred for the six months ended September 30, 2015, reflecting our increasing focus on the continued development of AV-101 and preparations to launch the Phase 2b Study, which we currently anticipate to begin in the first half of 2017, and offset by a reduction in noncash stock compensation expense compared to the prior period. The following table indicates the primary components of research and development expense for each of the periods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salaries and benefits reflects the impact of bonus payments made to our President and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to the four non-officer members of our scientific staff, the hiring of Dr. Mark Smith as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and salary increases granted to our CSO and members of our scientific staff.</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decrease in stock based compensation expense is primarily attributable to the $852,200 fair value, determined using the Black-Scholes Option Pricing Model and the assumptions indicated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accompanying Condensed Consolidated Financial Statements in Part I of this Report, of the September 2015 grant of immediately vested and expensed warrants to purchase 150,000 shares of our common stock granted to our CSO. Stock compensation expense in 2016 reflects the ratable amortization of option grants made to our CSO and CMO, scientific staff and consultants, most recently in June 2016 (CSO and CMO only) and September 2015 (primarily in 2016 expense). Our stock options are generally amortized over a two-year to four-year vesting period. A substantial number of the option grants made in or prior to our fiscal year ended March 31, 2014 became fully-vested and were fully-expensed prior to the quarter ended September 30, 2016.</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Consulting services reflects fees paid or accrued for scientific, preclinical and clinical development and regulatory advisory services rendered to us by third-parties, primarily by members of our scientific and clinical and regulatory advisory boards.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Technology license expense reflects both recurring annual fees as well as legal counsel and other costs related to patent prosecution and protection that we are required to fund under the terms of certain of our stem cell technology license agreements or have elected to pursue for commercial purposes. We recognize these costs as they are invoiced to us by the licensors and they do not occur ratably throughout the year or between years. Additionally, in both periods, this expense includes legal counsel and other costs we have incurred to advance in the U.S. and numerous foreign countries several pending patent applications with respect to AV-101 and our stem cell technology platform. Expense for the six months ended September 30, 2015, also included approximately $153,000 of fees and expenses related to stem cell technology related licenses acquired in connection with our Sponsored Research Collaboration Agreement with UHN. Further, in July 2015, we granted an aggregate of 10,000 shares of our Series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 Preferred having an aggregate fair value on the date of grant of $120,000 to two intellectual property legal service providers.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project expenses for the six months ended September 30, 2016 includes continuing costs incurred to develop more efficient and cost-effective production methods for AV-101 and for certain pre-production and preclinical trial analyses and procedures to facilitate Phase 2 clinical development of AV-101, including the Phase 2b Study. We expect these expenses to increase materially over the next several quarters as we conduct the Phase 2b Study. Additionally, AV-101 expense in both periods reflects the costs associated with monitoring for and responding to potential feedback related to our AV-101 Phase 1 clinical safety program and addressing other matters required under the terms of our prior NIH grant awards, primarily through our CRO for our Phase 1 safety studies, Cato Research Ltd. Stem cell and other project related expenses in both periods were nominal.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General and administrative expense decreased to $2,631,200 from $5,179,000, for the six month periods ended September 30, 2016 and 2015, respectively, primarily as a result of the decrease in noncash stock compensation expense attributable to option and warrant grants to employees, officer and independent Board members and noncash expense related to grants of equity securities in payment of certain professional services during 2015. The following table indicates the primary components of general and administrative expenses for each of the periods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increase in salaries and benefits reflects the impact of bonus payments made to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and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the hiring of Mark McPartland as our Vice President of Corporate Development and Investor Relations, and salary increases granted to our CEO, CFO and a non-officer member of our administrative staff and the change in that employee’s status from part-time to full-time.</w:t>
      </w:r>
    </w:p>
    <w:p>
      <w:pPr>
        <w:spacing w:after="0" w:line="16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 xml:space="preserve">The decrease in stock based compensation expense is primarily attributable to the $2,841,000 fair value, determined using the Black-Scholes Option Pricing Model and the assumptions indicated in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the accompanying Condensed Consolidated Financial Statements in Part I of this Report, of the September 2015 grant of immediately vested and expensed warrants to purchase 500,000 shares of our common stock granted to our CEO, CFO, independent members of our Board of Directors and certain consultants. Stock compensation expense in 2016 reflects the ratable amortization of option grants made to our CEO, CFO, independent members of our Board of Directors and administrative staff and consultants, most recently in June 2016 (CEO, CFO and independent Board members only) and September 2015 (primarily in 2016 expense), as well as to Mr. McPartland upon his commencement of employment in September 2016. Our stock options are generally amortized over a two-year to four-year vesting period. A substantial number of the option grants made in or prior to our fiscal year ended March 31, 2014 became fully-vested and were fully-expensed prior to the quarter ended September 30, 2016.</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Consulting services primarily includes fees recognized for the services of independent members of our Board of Directors. We added an additional independent director to our Board in March 2016.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Legal, accounting and other professional fees in the six month periods ended September 30, 2016 and 2015, each included $337,500 of noncash expense recognized during the respective period pursuant to the June 30, 2015 grant of an aggregate of 90,000 shares of our Series B Preferred having an aggregate fair value of $1,350,000 as compensation for financial advisory and corporate development service contracts with two independent contractors for services performed between July 1, 2015 and June 30, 2016. During the six-month period ended September 30, 2016, we also granted an aggregate of 25,000 unregistered shares of our common stock having a fair value at the date of issuance of $108,500 to a legal services provider as compensation for services. During the six-month period ended September 30, 2015, we granted an aggregate of 50,000 shares of our common stock having a fair value of $500,000 pursuant to two corporate development contracts and granted 25,000 shares of our Series B Preferred having a fair value at the time of issuance of $250,000 to legal counsel as compensation for services in connection with our debt restructuring and other corporate finance matters. In both years, professional services fees also include the expense related to the annual audit of the prior year financial statements and quarterly reviews of current year financials statements.</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Investor relations expense includes the fees of our external service providers for a broad spectrum of investor relations and market awareness and support functions and, in the six-month period ended September 30, 2016, initiatives that include meetings and other communication activities focused on expanding market awareness of the Company, including among investment professionals and investment advisors, individual and institutional investors, media and securities analysts. In the six months ended September 30, 2016, we also granted an aggregate of 25,000 unregistered shares of our common stock having a fair value at the time of issuance of $108,500 to an investor relations service provider as compensation for services, and, as disclosed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in Part I of this Report, in September 2016, 120,000 unregistered shares of our common stock having a fair value at the time of issuance of $520,800 to a consulting services provider for corporate development and strategic advisory services to be rendered from October 2016 to December 2016. The value of the latter common stock grant was recorded as a prepaid expense at the date of the grant and will be expensed during the quarter ended December 31, 2016.</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 both periods, travel expense reflects costs associated with presentations to and meetings with existing and potential investors and investment professionals and advisors, media and securities analysts, as well as various investor relations, market awareness and corporate development initiatives.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Between April 2016 and August 2016, we entered into warrant exchange agreements with certain warrant holders pursuant to which the warrant holders exchanged outstanding warrants to purchase an aggregate of 61,649 shares of our common stock for an aggregate of 46,238 shares of our unregistered common stock. As with similar transactions during our fiscal year ended March 31, 2016, we accounted for these transactions as warrant modifications, resulting in our recognition of an aggregate of $57,400 in noncash expense during the six-month period ended September 30, 2016. Warrant modification expense in the six-month period ended September 30, 2015 reflects the impact of June 2015 strategic reductions in the exercise price of certain outstanding warrants, generally from $30.00 per share to $10.00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Interest expense, net, totaled $2,800 for the six months ended September 30, 2016, a significant decrease compared to the $767,300 reported for the six months ended September 30, 2015, resulting from the extinguishment of substantially all of our promissory notes, as well as other indebtedness, between May 2015 and August 2015 by conversion into our Series B Preferred or cash repayment and the related elimination of note interest and discount amortization. The following table summarizes the primary components of interest expense for each of the periods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3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Other interest expense, including on capital leases and premium financing</w:t>
            </w:r>
          </w:p>
        </w:tc>
        <w:tc>
          <w:tcPr>
            <w:tcW w:w="34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income</w:t>
            </w:r>
          </w:p>
        </w:tc>
        <w:tc>
          <w:tcPr>
            <w:tcW w:w="3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expense, net</w:t>
            </w:r>
          </w:p>
        </w:tc>
        <w:tc>
          <w:tcPr>
            <w:tcW w:w="3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440" w:type="dxa"/>
            <w:vAlign w:val="bottom"/>
            <w:vMerge w:val="restart"/>
          </w:tcPr>
          <w:p>
            <w:pPr>
              <w:jc w:val="right"/>
              <w:ind w:right="2872"/>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on promissory notes in the six months ended September 30, 2016 represents only the interest accrued on our promissory note to Progressive Medical Research prior to its repayment in June 2016. The substantial overall decrease in interest expense on promissory notes and the related amortization of discounts on such notes between the periods reflects the cessation of interest accrual and discount amortization upon the extinguishment and conversion of all outstanding Senior Secured Convertible Notes, certain 10% convertible notes (</w:t>
      </w:r>
      <w:r>
        <w:rPr>
          <w:rFonts w:ascii="Arial" w:cs="Arial" w:eastAsia="Arial" w:hAnsi="Arial"/>
          <w:sz w:val="18"/>
          <w:szCs w:val="18"/>
          <w:i w:val="1"/>
          <w:iCs w:val="1"/>
          <w:color w:val="auto"/>
        </w:rPr>
        <w:t>2014 Unit Notes</w:t>
      </w:r>
      <w:r>
        <w:rPr>
          <w:rFonts w:ascii="Arial" w:cs="Arial" w:eastAsia="Arial" w:hAnsi="Arial"/>
          <w:sz w:val="18"/>
          <w:szCs w:val="18"/>
          <w:color w:val="auto"/>
        </w:rPr>
        <w:t>) and other outstanding promissory notes into shares of our Series B Preferred between May 2015 and August 2015.</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our October 2012 Note Exchange and Purchase Agreement with Platinum Long Term Growth VII, LLC (</w:t>
      </w:r>
      <w:r>
        <w:rPr>
          <w:rFonts w:ascii="Arial" w:cs="Arial" w:eastAsia="Arial" w:hAnsi="Arial"/>
          <w:sz w:val="16"/>
          <w:szCs w:val="16"/>
          <w:i w:val="1"/>
          <w:iCs w:val="1"/>
          <w:color w:val="auto"/>
        </w:rPr>
        <w:t>PLTG</w:t>
      </w:r>
      <w:r>
        <w:rPr>
          <w:rFonts w:ascii="Arial" w:cs="Arial" w:eastAsia="Arial" w:hAnsi="Arial"/>
          <w:sz w:val="16"/>
          <w:szCs w:val="16"/>
          <w:color w:val="auto"/>
        </w:rPr>
        <w:t xml:space="preserve">), we issued certain Senior Secured Convertible Promissory Notes and a related Exchange Warrant and Investment Warrants between October 2012 and July 2013. Upon PLTG’s exchange of the shares of our Series A Preferred Stock held by PLTG into shares of our common stock, we were also required to issue a Series A Exchange Warrant to PLTG. We determined that the various warrants included certain exercise price and other adjustment features requiring us to treat the warrants as liabilities. Accordingly, we recorded a noncash warrant liability at its estimated fair value as of the date of warrant issuance or contract execution. As described in Note 4, </w:t>
      </w:r>
      <w:r>
        <w:rPr>
          <w:rFonts w:ascii="Arial" w:cs="Arial" w:eastAsia="Arial" w:hAnsi="Arial"/>
          <w:sz w:val="16"/>
          <w:szCs w:val="16"/>
          <w:i w:val="1"/>
          <w:iCs w:val="1"/>
          <w:color w:val="auto"/>
        </w:rPr>
        <w:t xml:space="preserve">Fair Value Measurements, </w:t>
      </w:r>
      <w:r>
        <w:rPr>
          <w:rFonts w:ascii="Arial" w:cs="Arial" w:eastAsia="Arial" w:hAnsi="Arial"/>
          <w:sz w:val="16"/>
          <w:szCs w:val="16"/>
          <w:color w:val="auto"/>
        </w:rPr>
        <w:t>to the Condensed Consolidated Financial Statements included in Part 1, Item 1 of this Report, on May 12, 2015, we entered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PLTG 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warrants to their fair value, reflecting an increase of $1,894,700 since March 31, 2015, resulting primarily from the increase in the market price of our common stock in relation to the exercise price of the warrants, and then subsequently eliminated the entire warrant liability with respect to these warrants. In January 2016, the PLTG warrants were exchanged for shares of our Series C Preferred stock.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Between May 2015 and August 2015 we extinguished the outstanding balances of approximately $17,200,000 of promissory notes, including our Senior Secured Notes, our 2014 Unit Notes and other debt and certain adjustments thereto that were either already due and payable or would have otherwise matured prior to March 31, 2016 by converting such balances into shares of our Series B Preferred. We treated the conversion of the indebtedness into Series B Preferred as extinguishments of debt for accounting purposes. Since the fair value of the Series B Preferred we negotiated in settlement of the promissory notes and other indebtedness exceeded the carrying value of the debts, we incurred non-recurring noncash losses on each of the extinguishments. Additionally, under the terms of our May 2015 agreement with PLTG in which they agreed to, among other things, convert the Senior Secured Notes and certain other of our convertible promissory notes into Series B Preferred, we issued to PLTG 400,000 shares of Series B Preferred having an aggregate fair value of $4.0 million and Series B Warrants to purchase 1.2 million shares of our common stock having an aggregate of fair value of $8,270,900. We recognized this aggregate fair value as an additional noncash component of loss on extinguishment of debt. Many of the 2014 Unit Notes that were converted into Series B Preferred contained a beneficial conversion feature at the time they were originally issued. We accounted for the repurchase of the beneficial conversion feature at the time the 2014 Unit Notes were extinguished and converted, an aggregate of $2,237,100, as a reduction to the loss on extinguishment of debt. We recorded an aggregate net non-recurring noncash loss of $26.7 million attributable to the extinguishment of the indebtedness converted into shares of Series B Preferred.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allocated the proceeds from self-placed private placement sales of Series B Preferred Units to the Series B Preferred and the Series B Warrants based on their relative fair values on the dates of the sales. The difference between the relative fair value per share of the Series B Preferred, approximately $4.20 per share and $4.06 per share for the six month periods ended September 30, 2016 and 2015, respectively, and its Conversion Price (or stated value) of $7.00 per share represents a deemed dividend to the purchasers of the Series B Preferred Units. Accordingly, we recognized a deemed dividend in the aggregate amount of $111,100 and $1,143,100 in arriving at net loss attributable to common stockholders for the six months ended September 30, 2016 and 2015, respectively, in the accompanying Condensed Consolidated Statement of Operations and Comprehensive Loss included in Part I of this Report. Further, we recognized $780,000 and $828,000 for the six months ended September 30, 2016 and 2015, respectively, representing the 10% cumulative dividend payable on our Series B Preferred as an additional deduction in arriving at net loss attributable to common stockholders in the accompanying Condensed Consolidated Statement of Operations and Comprehensive Loss, included elsewhere in this Report. The reduction in the dividend accrual results from the automatic conversion of an aggregate of 2,403,051 shares of Series B Preferred upon our completion of the May 2016 Public Offering, as disclosed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in Part I of this Report.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September 30, 2016, we have financed our operations and technology acquisitions primarily through the issuance and sale of our equity and debt securities, including convertible promissory notes and short-term promissory notes, for cash proceeds of approximately $44.3 million, as well as from an aggregate of approximately $16.4 million of government research grant awards, strategic collaboration payments and other revenues, but not including the fair market value of the NIH-funded AV-101 Phase 2a clinical study in MDD. Additionally, we have issued equity securities with an approximate aggregate value at issuance of $30.1 million in non-cash settlements of certain liabilities, including liabilities for professional services rendered to us or as compensation for such services.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Between April 1, 2016 and May 4, 2016, we sold to accredited investors Series B Preferred Units consisting of 39,714 unregistered shares of our Series B Preferred Stock, par value $0.001 per share (</w:t>
      </w:r>
      <w:r>
        <w:rPr>
          <w:rFonts w:ascii="Arial" w:cs="Arial" w:eastAsia="Arial" w:hAnsi="Arial"/>
          <w:sz w:val="16"/>
          <w:szCs w:val="16"/>
          <w:i w:val="1"/>
          <w:iCs w:val="1"/>
          <w:color w:val="auto"/>
        </w:rPr>
        <w:t>Series B Preferred</w:t>
      </w:r>
      <w:r>
        <w:rPr>
          <w:rFonts w:ascii="Arial" w:cs="Arial" w:eastAsia="Arial" w:hAnsi="Arial"/>
          <w:sz w:val="16"/>
          <w:szCs w:val="16"/>
          <w:color w:val="auto"/>
        </w:rPr>
        <w:t>), and five year warrants to purchase 39,714 shares of our common stock, and we received cash proceeds of $278,000. Further, on May 16, 2016 we consummated the May 2016 Public Offering, an underwritten public offering pursuant to which we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 We received net cash proceeds of approximately $9.5 million from the May 2016 Public Offering after deducting fees and expenses. We believe that we currently have sufficient financial resources to fund our expected operations through the first half of 2017, including preparation for and launch of our AV-101 Phase 2b Study in MDD. Although our current financial resources are not yet sufficient to complete our AV-101 Phase 2b Study when launched, we anticipate raising sufficient additional capital in 2017 to satisfy our key corporate objectives, including completion of our AV-101 Phase 2b Study in 2018. Accordingly, our executive management continues to focus significant efforts on raising additional capital to complete the Phase 2b Study and for other operational requirements through sales of our securities, which may include both debt and equity securities, or from other sources. There can be no assurance, however, that future financing will be available in sufficient amounts, in a timely manner, or on terms acceptable to us, if at all.</w:t>
      </w:r>
    </w:p>
    <w:p>
      <w:pPr>
        <w:spacing w:after="0" w:line="3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seek research and development collaborations that could generate revenue, as well as government grant awards. Further, strategic collaborations, such as our February 2015 CRADA which provides for the NIMH to fully fund our Phase 2a study of AV-101 in MDD, may provide non-dilutive resources to advance our strategic initiatives while reducing a portion of our future cash outlays and working capital requirements. Although we may seek additional collaborations that could generate revenue, as well as new government grant awards, no assurance can be provided that any such collaborations or awards will occur in the future.</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accounting, public company compliance and other professional services and working capital costs.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Cash and Cash Equivalents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(3,873)</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Quarterly Report on Form 10-Q and in our Annual Report on Form 10-K filed with the Securities and Exchange Commission for the fiscal year ended March 31, 2016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various other diseases and disorders involving the CNS, as well as, but to a more limited extent, our ability to produce, develop and commercialize NCEs from our drug rescue programs. AV-101 will require substantial additional Phase 2 and Phase 3 clinical development, testing and regulatory approval before we are permitted to commence its commercialization and is unlikely to achieve regulatory approval until at least 2021, if at all.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studies and clinical trials, we cannot assure you that AV-101, any drug rescue NCE, or any other product candidate will be successfully developed or commercialized.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In late 2015, in collaboration with the NIMH under our CRADA, we began a Phase 2a clinical trial involving AV-101, to study its safety, tolerability and efficacy in patients with MDD. If our Phase 2a clinical trial of AV-101 is successful, we expect the FDA to require us to complete at least two pivotal Phase 3 clinical trials in order to submit an NDA for AV-101 as an adjunctive treatment for MDD patients with an inadequate response to standard, FDA-approved antidepressants. Also, we anticipate that the FDA will require that we conduct additional toxicity studies and additional non-clinical studies before submitting an NDA for AV-101. The results of all of these trials and studies are not known until after the studies are concluded.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3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of our product candidates for many reasons, including, among others:</w:t>
      </w:r>
    </w:p>
    <w:p>
      <w:pPr>
        <w:spacing w:after="0" w:line="186" w:lineRule="exact"/>
        <w:rPr>
          <w:sz w:val="20"/>
          <w:szCs w:val="20"/>
          <w:color w:val="auto"/>
        </w:rPr>
      </w:pPr>
    </w:p>
    <w:p>
      <w:pPr>
        <w:jc w:val="both"/>
        <w:ind w:left="660" w:hanging="328"/>
        <w:spacing w:after="0" w:line="30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87"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as a condition of approval or post-approval;</w:t>
      </w:r>
    </w:p>
    <w:p>
      <w:pPr>
        <w:spacing w:after="0" w:line="225" w:lineRule="exact"/>
        <w:rPr>
          <w:rFonts w:ascii="Arial" w:cs="Arial" w:eastAsia="Arial" w:hAnsi="Arial"/>
          <w:sz w:val="18"/>
          <w:szCs w:val="18"/>
          <w:color w:val="auto"/>
        </w:rPr>
      </w:pPr>
    </w:p>
    <w:p>
      <w:pPr>
        <w:ind w:left="660" w:right="20" w:hanging="328"/>
        <w:spacing w:after="0" w:line="33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intend to seek a Fast Track designation from the FDA for AV-101 for adjunctive treatment of MDD patients with an inadequate response to standard antidepressants. Even if the FDA approves Fast Track designation for AV-101 for this indication, it may not actually lead to a faster development or regulatory review or approval process.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0"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We intend to seek FDA Fast Track designation for AV-101 for adjunctive treatment of MDD patients with an inadequate response to standard antidepressants, and we may do so for other product candidates as well.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NIH-funded Phase 2a clinical study of AV-101 in treatment-resistant MDD, thereby delaying or preventing clinical development. Further, if AV-101 is approved for adjunctive treatment of MDD patients with an inadequate response to standard antidepressants, and the market for this indication is smaller than we anticipate, our ability to achieve profitability could be 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affect our development of AV-101 for MDD and other CNS indications.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AV-101 is currently being tested in an NIMH-investigator sponsored Phase 2a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2a clinical trial for AV-101, and if we fail to produce positive results in our NIH-sponsored Phase 2a clinical trial of AV-101 in MDD, the development timeline and regulatory approval and commercialization prospects for AV-101 and, correspondingly, our business and financial prospects, could be materially adversely affected.</w:t>
      </w:r>
    </w:p>
    <w:p>
      <w:pPr>
        <w:spacing w:after="0" w:line="18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Under our CRADA, we and the NIH have commenced an NIH-funded Phase 2a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MDD and any other product candidates we may develop. We do not know whether the NIH-funded Phase 2a study of AV-101 or any of our future-planned clinical trials will be completed on schedule, if at all, as the commencement and completion of clinical trials can be delayed or prevented for a number of reasons, including, among others:</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FDA may deny permission to proceed with our planned clinical trials or any other clinical trials we may initiate, or may place a clinical trial on hold;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site or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trial sites;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therapies that raise safety or efficacy concerns;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pacing w:after="0" w:line="212" w:lineRule="exact"/>
        <w:rPr>
          <w:rFonts w:ascii="Arial" w:cs="Arial" w:eastAsia="Arial" w:hAnsi="Arial"/>
          <w:sz w:val="18"/>
          <w:szCs w:val="18"/>
          <w:color w:val="auto"/>
        </w:rPr>
      </w:pPr>
    </w:p>
    <w:p>
      <w:pPr>
        <w:jc w:val="both"/>
        <w:ind w:left="660" w:right="20" w:hanging="328"/>
        <w:spacing w:after="0" w:line="30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(DSMB), overseeing the clinical trial at issue or other regulatory authorities due to a number of factors, including, among others</w:t>
      </w:r>
    </w:p>
    <w:p>
      <w:pPr>
        <w:spacing w:after="0" w:line="160"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the ability to independently conduct clinical trials. We rely on medical institutions, clinical investigators, contract laboratories and other third parties, such as CROs, to conduct clinical trials on our product candidates. We enter into agreements with third-party CROs to provide monitors for and to manage data for our clinical trials, as well as provide other services necessary to prepare for, conduct and complete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20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design our clinical trials for our product candidates, we plan to have CROs, and in the case of our initial AV-101 Phase 2a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yet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of AV-101 and other product candidates, if approved. Our current scale of manufacturing for AV-101 is adequate to support our currently planned needs for additional non-clinical studies and clinical trial supplies.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an infrastructure for the sales, marketing and distribution of pharmaceutical products, nor do we intend to create such capabilities. Therefore, in order to market our product candidates globally,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660" w:hanging="328"/>
        <w:spacing w:after="0" w:line="33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39"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8" w:name="page39"/>
    <w:bookmarkEnd w:id="3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pharmaceuticals industry is highly competitive. There are many public and private 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Currently, management is unaware of any FDA-approved adjunctive therapy for MDD patients with an inadequate response to standard antidepressants having the same mechanism of action and safety profile as AV-101. However, new antidepressant products with other mechanisms of action or products approved for other indications, including the anesthetic ketamine,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sometimes used before or instead of standard antidepressants to treat patients with MDD.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field of new generation antidepressants focused on modulation of the NMDA receptor at the glycine binding co-agonist site, we believe our principal competitor is Allergan, which recently acquired from and is now developing both the intravenously-administered peptide, rapastinel (formerly GLYX-13), and NRX-1074, which may be or may become orally-available, for treatment-resistant MDD.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Acadia, Allergan, Alkermes, Astra Zeneca, Eli Lilly, GlaxoSmithKline, IntraCellular, Johnson &amp; Johnson, Lundbeck, Merck, Novartis, Ono, Otsuka, Pfizer, Roche, Sage, Sumitomo Dainippon, Teva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have limited financial and management resources, we focus on a limited number of research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ectPr>
          <w:pgSz w:w="11900" w:h="16838" w:orient="portrait"/>
          <w:cols w:equalWidth="0" w:num="1">
            <w:col w:w="11420"/>
          </w:cols>
          <w:pgMar w:left="240" w:top="130" w:right="239" w:bottom="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0" w:gutter="0" w:footer="0" w:header="0"/>
          <w:type w:val="continuous"/>
        </w:sectPr>
      </w:pPr>
    </w:p>
    <w:bookmarkStart w:id="41" w:name="page42"/>
    <w:bookmarkEnd w:id="4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660" w:hanging="328"/>
        <w:spacing w:after="0" w:line="30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9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augmentation therapy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may seek FDA Orphan Drug designation for one or more of our product candidates, including AV-101. Even if we have obtained FDA Orphan Drug designation for one or more of our product candidates, there may be limits to the regulatory exclusivity afforded by such designation.</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may, in the future, choose to seek FDA Orphan Drug designation for one or more of our product candidates, including AV-101. Even if we obtain Orphan Drug designation from the FDA for any one of our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6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products we produce;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drug rescue research methodology may not be successful in identifying potential drug rescue 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7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86" w:lineRule="exact"/>
        <w:rPr>
          <w:sz w:val="20"/>
          <w:szCs w:val="20"/>
          <w:color w:val="auto"/>
        </w:rPr>
      </w:pPr>
    </w:p>
    <w:p>
      <w:pPr>
        <w:ind w:left="660" w:hanging="328"/>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heart,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$47.2 million, which includes $26.7 million of non-cash expense related to the extinguishment of essentially all of our outstanding promissory notes and certain other indebtedness, and $13.9 million during the fiscal years ended March 31, 2016 and 2015, respectively, and a net loss of $5.1 million in the six months ended September 30, 2016. As of September 30, 2016, we had an accumulated deficit of approximately $136.8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$16.4 million in revenues, primarily from the receipt of research and development grant awards from the NIH, not including the fair market value of the ongoing NIH-funded Phase 2a MDD study of AV-101.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17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successfully complete preclinical and clinical trials that meet their prescribed endpoints;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Despite consummation of the May 2016 Public Offering (defined below), we require additional financing to execute our business plan and continue to operate as a going concern.</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audited consolidated financial statements for the year ended March 31, 2016 and our condensed consolidated financial statements for the six months ended September 30, 2016 have been prepared assuming we will continue to operate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applications, and we will continue to expend substantial resources for the foreseeable future developing and commercializing AV-101, and, potentially, developing drug rescue NCEs and RM therapies.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At March 31, 2016, our existing cash and cash equivalents were not sufficient to fund our current operations for the next 12 months. However, as described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for the six months ended September 30, 2016 included elsewhere in this Quarterly Report, on May 16, 2016, we consummated an underwritten public offering, pursuant to which we issued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pursuant to the exercise of the underwriters’ over-allotment option, resulting in gross proceeds of approximately $10.9 million (</w:t>
      </w:r>
      <w:r>
        <w:rPr>
          <w:rFonts w:ascii="Arial" w:cs="Arial" w:eastAsia="Arial" w:hAnsi="Arial"/>
          <w:sz w:val="16"/>
          <w:szCs w:val="16"/>
          <w:i w:val="1"/>
          <w:iCs w:val="1"/>
          <w:color w:val="auto"/>
        </w:rPr>
        <w:t>May 2016 Public Offering</w:t>
      </w:r>
      <w:r>
        <w:rPr>
          <w:rFonts w:ascii="Arial" w:cs="Arial" w:eastAsia="Arial" w:hAnsi="Arial"/>
          <w:sz w:val="16"/>
          <w:szCs w:val="16"/>
          <w:color w:val="auto"/>
        </w:rPr>
        <w:t>). Our net proceeds from the May 2016 Public Offering were approximately $9.5 million after deducting underwriters’ commissions and other expenses of the offering. Additionally, in February 2015, we entered into the CRADA with the NIH, under which the NIH is fully funding and conducting the initial Phase 2a clinical efficacy and safety of AV-101 in MDD. However,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2016.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Proceeds from recent financing activity, including the May 2016 Public Offering will not be sufficient to complete the Phase 2b MDD Study, resulting in the need for additional financing.</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we anticipate that the net proceeds from the May 2016 Public Offering will provide sufficient funding for our operations through the release of topline results of our fully-funded, NIH-sponsored AV-101 Phase 2a clinical study in MDD (</w:t>
      </w:r>
      <w:r>
        <w:rPr>
          <w:rFonts w:ascii="Arial" w:cs="Arial" w:eastAsia="Arial" w:hAnsi="Arial"/>
          <w:sz w:val="16"/>
          <w:szCs w:val="16"/>
          <w:i w:val="1"/>
          <w:iCs w:val="1"/>
          <w:color w:val="auto"/>
        </w:rPr>
        <w:t>Phase 2a MDD Study</w:t>
      </w:r>
      <w:r>
        <w:rPr>
          <w:rFonts w:ascii="Arial" w:cs="Arial" w:eastAsia="Arial" w:hAnsi="Arial"/>
          <w:sz w:val="16"/>
          <w:szCs w:val="16"/>
          <w:color w:val="auto"/>
        </w:rPr>
        <w:t>), anticipated in the second quarter of 2017, as well as the launch and conduct of a portion of our AV-101 Phase 2b clinical study in MDD (</w:t>
      </w:r>
      <w:r>
        <w:rPr>
          <w:rFonts w:ascii="Arial" w:cs="Arial" w:eastAsia="Arial" w:hAnsi="Arial"/>
          <w:sz w:val="16"/>
          <w:szCs w:val="16"/>
          <w:i w:val="1"/>
          <w:iCs w:val="1"/>
          <w:color w:val="auto"/>
        </w:rPr>
        <w:t>Phase 2b MDD Study</w:t>
      </w:r>
      <w:r>
        <w:rPr>
          <w:rFonts w:ascii="Arial" w:cs="Arial" w:eastAsia="Arial" w:hAnsi="Arial"/>
          <w:sz w:val="16"/>
          <w:szCs w:val="16"/>
          <w:color w:val="auto"/>
        </w:rPr>
        <w:t>), the proceeds received will not be sufficient to complete the Phase 2b MDD Study. We believe an additional $12.0 million or more will be required during the next 24 months to complete the Phase 2b MDD Study and fund our operations through the second half of calendar 2018. No assurances can be provided that such additional capital will be available to us when necessary, on reasonable terms, or at all. In the event we are unable to raise such additional capital, our operations, including the conduct of the Phase 2b MDD Study, will be negatively and materially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will cause dilution to our existing stockholders, and may restrict our operations or require us to relinquish rights.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intend to pursue private and public equity offerings, debt financings, collaborations and licensing arrangements in 2016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and the NIH’s National Institute of Mental Health,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2016, we had federal and state net operating loss carryforwards of $67.9 million and $60.1 million, respectively, which begin to expire in fiscal 2017.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Quarterly Report, we have ten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drug rescue and stem cell technology-related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0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ind w:firstLine="52"/>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and stock markets. Global financial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have no issued patents covering AV-101. We cannot provide any assurances that any of our numerous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hanging="328"/>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Patent and Trademark Office (</w:t>
      </w:r>
      <w:r>
        <w:rPr>
          <w:rFonts w:ascii="Arial" w:cs="Arial" w:eastAsia="Arial" w:hAnsi="Arial"/>
          <w:sz w:val="18"/>
          <w:szCs w:val="18"/>
          <w:i w:val="1"/>
          <w:iCs w:val="1"/>
          <w:color w:val="auto"/>
        </w:rPr>
        <w:t>USPTO</w:t>
      </w:r>
      <w:r>
        <w:rPr>
          <w:rFonts w:ascii="Arial" w:cs="Arial" w:eastAsia="Arial" w:hAnsi="Arial"/>
          <w:sz w:val="18"/>
          <w:szCs w:val="18"/>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time-consuming and unsuccessful.</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6"/>
          <w:szCs w:val="16"/>
          <w:i w:val="1"/>
          <w:iCs w:val="1"/>
          <w:color w:val="auto"/>
        </w:rPr>
        <w:t>Business—Intellectual Property</w:t>
      </w:r>
      <w:r>
        <w:rPr>
          <w:rFonts w:ascii="Arial" w:cs="Arial" w:eastAsia="Arial" w:hAnsi="Arial"/>
          <w:sz w:val="16"/>
          <w:szCs w:val="16"/>
          <w:color w:val="auto"/>
        </w:rPr>
        <w:t>” herein for a description of our license agreements, which includes a description of the termination provisions of these agreements.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660" w:right="20" w:hanging="328"/>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public market for our securities may adversely affect an investor’s ability to liquidate an investment in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currently quoted on The NASDAQ Capital Market, however,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65" w:name="page66"/>
    <w:bookmarkEnd w:id="6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highly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of Directors has authorized the issuance of</w:t>
      </w:r>
    </w:p>
    <w:p>
      <w:pPr>
        <w:spacing w:after="0" w:line="38" w:lineRule="exact"/>
        <w:rPr>
          <w:sz w:val="20"/>
          <w:szCs w:val="20"/>
          <w:color w:val="auto"/>
        </w:rPr>
      </w:pPr>
    </w:p>
    <w:p>
      <w:pPr>
        <w:jc w:val="both"/>
        <w:ind w:firstLine="8"/>
        <w:spacing w:after="0" w:line="288"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500,000 shares of Series A Preferred, all of which shares are currently issued and outstanding; (ii) 4.0 million shares of Series B 10% Convertible Preferred stock, of which approximately 1.2 million shares are issued and outstanding as of the date of this Report; and (iii) 3.0 million shares of Series C Convertible Preferred Stock, of which approximately 2.3 million shares are issued and outstanding as of the date of this Report.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Warrants to Professional Services Providers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26, 2016, we granted warrants to purchase an aggregate of 75,000 shares of our unregistered common stock at an exercise price of $6.00 per share and 25,000 shares of our common stock at an exercise price to certain consultants who are accredited investors. On October 11, 2016, we granted warrants to purchase an aggregate of 6,000 shares of our common stock at an exercise price of $6.00 per share to additional consultants who are accredited investors. We will receive all proceeds from the exercise of these warrants; however, there can be no assurance that we will receive any proceeds therefrom. In all instances, the warrants were issued in a private placement transaction exempt from registration under the Securities Act, in reliance on Section 4(2) thereof and Rule 506 of Regulation D thereunder.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On September 26, 2016, we issued an aggregate of 170,000 shares of our unregistered common stock for services provided and to be provided by certain legal, investor relations, financial advisory and corporate development professionals who are also accredited investors. On November 1, 2016, we issued 25,000 shares of our unregistered common stock to a corporate investor relations provider for professional services to be provided. In all instances, the shares were issued in a private placement transaction exempt from registration under the Securities Act, in reliance on Section 4(2) thereof and Rule 506 of Regulation D thereunder.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Exchanged for Common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Between April 29, 2016 and August 25, 2016, we entered into warrant exchange agreements with certain warrant holders pursuant to which the warrant holders exchanged outstanding warrants to purchase an aggregate of 61,649 shares of our common stock for an aggregate of 46,238 shares of our unregistered common stock. On October 25, 2016, we entered into a warrant exchange agreement with an accredited investor holding outstanding warrants to purchase an aggregate of 113,944 shares of our common stock pursuant to which the holder exchanged such warrants in exchange for an aggregate of 85,458 shares of our unregistered common stock. In all instances, the common stock was issued in private placement transactions exempt from registration under the Securities Act, in reliance on Section 3(a)(9) and/or 4(2)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 in Payment of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17, 2016, we issued 26,258 unregistered shares of our common stock in payment of $85,300 in accrued dividends on 87,500 shares of our Series B Preferred stock voluntarily converted.by an institutional investor. The common stock was issued in private placement transactions exempt from registration under the Securities Act, in reliance on Section 3(a)(9) and/or 4(2)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80" w:type="dxa"/>
            <w:vAlign w:val="bottom"/>
            <w:tcBorders>
              <w:bottom w:val="single" w:sz="8" w:color="auto"/>
            </w:tcBorders>
          </w:tcPr>
          <w:p>
            <w:pPr>
              <w:ind w:left="4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10.1</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5"/>
              </w:rPr>
              <w:t>Second Amendment to Lease between Bayside Area Development, LLC and the Company, effective November 10, 2016,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10.2</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Indemnification Agreement effective November 10, 2016 between the Company and Mark A. Smith,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31.1</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 adopted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31.2</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40" w:hanging="1032"/>
        <w:spacing w:after="0" w:line="268"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7"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30" w:right="499" w:bottom="1440" w:gutter="0" w:footer="0" w:header="0"/>
        </w:sectPr>
      </w:pPr>
    </w:p>
    <w:bookmarkStart w:id="69" w:name="page70"/>
    <w:bookmarkEnd w:id="69"/>
    <w:p>
      <w:pPr>
        <w:ind w:left="105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This SECOND AMENDMENT TO LEASE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is made and entered into as of November 10, 2016, by and between </w:t>
      </w:r>
      <w:r>
        <w:rPr>
          <w:rFonts w:ascii="Arial" w:cs="Arial" w:eastAsia="Arial" w:hAnsi="Arial"/>
          <w:sz w:val="18"/>
          <w:szCs w:val="18"/>
          <w:b w:val="1"/>
          <w:bCs w:val="1"/>
          <w:color w:val="auto"/>
        </w:rPr>
        <w:t>BAYSIDE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AREA DEVELOPMENT, LLC, </w:t>
      </w: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VISTAGEN THERAPEUTICS, INC.</w:t>
      </w:r>
      <w:r>
        <w:rPr>
          <w:rFonts w:ascii="Arial" w:cs="Arial" w:eastAsia="Arial" w:hAnsi="Arial"/>
          <w:sz w:val="18"/>
          <w:szCs w:val="18"/>
          <w:color w:val="auto"/>
        </w:rPr>
        <w:t>, a Nevada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 xml:space="preserve"> :</w:t>
      </w:r>
    </w:p>
    <w:p>
      <w:pPr>
        <w:spacing w:after="0" w:line="225" w:lineRule="exact"/>
        <w:rPr>
          <w:sz w:val="20"/>
          <w:szCs w:val="20"/>
          <w:color w:val="auto"/>
        </w:rPr>
      </w:pPr>
    </w:p>
    <w:p>
      <w:pPr>
        <w:jc w:val="both"/>
        <w:ind w:firstLine="656"/>
        <w:spacing w:after="0" w:line="255" w:lineRule="auto"/>
        <w:tabs>
          <w:tab w:leader="none" w:pos="13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Landlord and Tenant (as successor-in-interest to VistaGen Therapeutics, Inc., a California corporation) entered into that certain Lease, dated as of April 24, 2013 (the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that certain First Amendment to Lease dated September 28, 2013 (the "</w:t>
      </w:r>
      <w:r>
        <w:rPr>
          <w:rFonts w:ascii="Arial" w:cs="Arial" w:eastAsia="Arial" w:hAnsi="Arial"/>
          <w:sz w:val="18"/>
          <w:szCs w:val="18"/>
          <w:b w:val="1"/>
          <w:bCs w:val="1"/>
          <w:color w:val="auto"/>
        </w:rPr>
        <w:t>First Amendment</w:t>
      </w:r>
      <w:r>
        <w:rPr>
          <w:rFonts w:ascii="Arial" w:cs="Arial" w:eastAsia="Arial" w:hAnsi="Arial"/>
          <w:sz w:val="18"/>
          <w:szCs w:val="18"/>
          <w:color w:val="auto"/>
        </w:rPr>
        <w:t>"), pursuant to which Tenant currently leases approximately 10,909 rentable square feet of space with a street address of 343 Allerton Avenue (as set forth in Exhibit A to the Lease, the "</w:t>
      </w:r>
      <w:r>
        <w:rPr>
          <w:rFonts w:ascii="Arial" w:cs="Arial" w:eastAsia="Arial" w:hAnsi="Arial"/>
          <w:sz w:val="18"/>
          <w:szCs w:val="18"/>
          <w:b w:val="1"/>
          <w:bCs w:val="1"/>
          <w:color w:val="auto"/>
        </w:rPr>
        <w:t>Premises</w:t>
      </w:r>
      <w:r>
        <w:rPr>
          <w:rFonts w:ascii="Arial" w:cs="Arial" w:eastAsia="Arial" w:hAnsi="Arial"/>
          <w:sz w:val="18"/>
          <w:szCs w:val="18"/>
          <w:color w:val="auto"/>
        </w:rPr>
        <w:t>"), in the building located at 333-353 Allerton Avenue, South San Francisco, CA (the "</w:t>
      </w:r>
      <w:r>
        <w:rPr>
          <w:rFonts w:ascii="Arial" w:cs="Arial" w:eastAsia="Arial" w:hAnsi="Arial"/>
          <w:sz w:val="18"/>
          <w:szCs w:val="18"/>
          <w:b w:val="1"/>
          <w:bCs w:val="1"/>
          <w:color w:val="auto"/>
        </w:rPr>
        <w:t>Building</w:t>
      </w:r>
      <w:r>
        <w:rPr>
          <w:rFonts w:ascii="Arial" w:cs="Arial" w:eastAsia="Arial" w:hAnsi="Arial"/>
          <w:sz w:val="18"/>
          <w:szCs w:val="18"/>
          <w:color w:val="auto"/>
        </w:rPr>
        <w:t>"). The Original Lease and the First Amendment are collectively,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parties desire to amend the Lease on the terms and conditions set forth in this Second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 G R E E M E N T</w:t>
      </w:r>
      <w:r>
        <w:rPr>
          <w:rFonts w:ascii="Arial" w:cs="Arial" w:eastAsia="Arial" w:hAnsi="Arial"/>
          <w:sz w:val="18"/>
          <w:szCs w:val="18"/>
          <w:color w:val="auto"/>
        </w:rPr>
        <w:t xml:space="preserve"> :</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80" w:lineRule="exact"/>
        <w:rPr>
          <w:sz w:val="20"/>
          <w:szCs w:val="20"/>
          <w:color w:val="auto"/>
        </w:rPr>
      </w:pPr>
    </w:p>
    <w:p>
      <w:pPr>
        <w:ind w:left="180" w:firstLine="800"/>
        <w:spacing w:after="0" w:line="275" w:lineRule="auto"/>
        <w:tabs>
          <w:tab w:leader="none" w:pos="1399"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r>
        <w:rPr>
          <w:rFonts w:ascii="Arial" w:cs="Arial" w:eastAsia="Arial" w:hAnsi="Arial"/>
          <w:sz w:val="18"/>
          <w:szCs w:val="18"/>
          <w:color w:val="auto"/>
        </w:rPr>
        <w:t>. All capitalized terms when used herein shall have the same respective meanings as are given such terms in the Lease unless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otherwise in this Second Amendment.</w:t>
      </w:r>
    </w:p>
    <w:p>
      <w:pPr>
        <w:spacing w:after="0" w:line="173" w:lineRule="exact"/>
        <w:rPr>
          <w:rFonts w:ascii="Arial" w:cs="Arial" w:eastAsia="Arial" w:hAnsi="Arial"/>
          <w:sz w:val="18"/>
          <w:szCs w:val="18"/>
          <w:color w:val="auto"/>
        </w:rPr>
      </w:pPr>
    </w:p>
    <w:p>
      <w:pPr>
        <w:jc w:val="both"/>
        <w:ind w:left="180" w:firstLine="800"/>
        <w:spacing w:after="0" w:line="258" w:lineRule="auto"/>
        <w:tabs>
          <w:tab w:leader="none" w:pos="1507"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 of the Premises</w:t>
      </w:r>
      <w:r>
        <w:rPr>
          <w:rFonts w:ascii="Arial" w:cs="Arial" w:eastAsia="Arial" w:hAnsi="Arial"/>
          <w:sz w:val="18"/>
          <w:szCs w:val="18"/>
          <w:color w:val="auto"/>
        </w:rPr>
        <w:t>. Landlord and Tenant acknowledge that Tenant has been occupying the Premises pursuant to the Lease,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therefore Tenant continues to accept the Premises in its presently existing, "as is" condition. Except as expressly set forth in the Tenant Work Letter attached to this Second Amendment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Tenant Work Letter</w:t>
      </w:r>
      <w:r>
        <w:rPr>
          <w:rFonts w:ascii="Arial" w:cs="Arial" w:eastAsia="Arial" w:hAnsi="Arial"/>
          <w:sz w:val="18"/>
          <w:szCs w:val="18"/>
          <w:color w:val="auto"/>
        </w:rPr>
        <w:t>"), Landlord shall not be obligated to provide or pay for any improvement work or services related to the improvement of the Premises.</w:t>
      </w:r>
    </w:p>
    <w:p>
      <w:pPr>
        <w:spacing w:after="0" w:line="190" w:lineRule="exact"/>
        <w:rPr>
          <w:rFonts w:ascii="Arial" w:cs="Arial" w:eastAsia="Arial" w:hAnsi="Arial"/>
          <w:sz w:val="18"/>
          <w:szCs w:val="18"/>
          <w:color w:val="auto"/>
        </w:rPr>
      </w:pPr>
    </w:p>
    <w:p>
      <w:pPr>
        <w:ind w:left="1500" w:hanging="520"/>
        <w:spacing w:after="0"/>
        <w:tabs>
          <w:tab w:leader="none" w:pos="150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 Term</w:t>
      </w:r>
      <w:r>
        <w:rPr>
          <w:rFonts w:ascii="Arial" w:cs="Arial" w:eastAsia="Arial" w:hAnsi="Arial"/>
          <w:sz w:val="18"/>
          <w:szCs w:val="18"/>
          <w:color w:val="auto"/>
        </w:rPr>
        <w:t>.</w:t>
      </w:r>
    </w:p>
    <w:p>
      <w:pPr>
        <w:spacing w:after="0" w:line="225" w:lineRule="exact"/>
        <w:rPr>
          <w:sz w:val="20"/>
          <w:szCs w:val="20"/>
          <w:color w:val="auto"/>
        </w:rPr>
      </w:pPr>
    </w:p>
    <w:p>
      <w:pPr>
        <w:jc w:val="both"/>
        <w:ind w:left="180" w:firstLine="1296"/>
        <w:spacing w:after="0" w:line="31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Extended Lease Term</w:t>
      </w:r>
      <w:r>
        <w:rPr>
          <w:rFonts w:ascii="Arial" w:cs="Arial" w:eastAsia="Arial" w:hAnsi="Arial"/>
          <w:sz w:val="16"/>
          <w:szCs w:val="16"/>
          <w:color w:val="auto"/>
        </w:rPr>
        <w:t>. Pursuant to the Lease, the Lease Term is scheduled to expire on July 31, 2017. Landlord and Tenant hereby agree to extend the Lease Term for a period of five (5) years, from August 1, 2017, through July 31, 2022 (the "</w:t>
      </w:r>
      <w:r>
        <w:rPr>
          <w:rFonts w:ascii="Arial" w:cs="Arial" w:eastAsia="Arial" w:hAnsi="Arial"/>
          <w:sz w:val="16"/>
          <w:szCs w:val="16"/>
          <w:b w:val="1"/>
          <w:bCs w:val="1"/>
          <w:color w:val="auto"/>
        </w:rPr>
        <w:t>Extended Term</w:t>
      </w:r>
      <w:r>
        <w:rPr>
          <w:rFonts w:ascii="Arial" w:cs="Arial" w:eastAsia="Arial" w:hAnsi="Arial"/>
          <w:sz w:val="16"/>
          <w:szCs w:val="16"/>
          <w:color w:val="auto"/>
        </w:rPr>
        <w:t>"), on the terms and conditions set forth in the Lease, as hereby amended by this Second Amendment, unless sooner terminated as provided in the Lease.</w:t>
      </w:r>
    </w:p>
    <w:p>
      <w:pPr>
        <w:spacing w:after="0" w:line="151" w:lineRule="exact"/>
        <w:rPr>
          <w:sz w:val="20"/>
          <w:szCs w:val="20"/>
          <w:color w:val="auto"/>
        </w:rPr>
      </w:pPr>
    </w:p>
    <w:p>
      <w:pPr>
        <w:jc w:val="both"/>
        <w:ind w:left="180" w:firstLine="129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Option to Extend Lease Term</w:t>
      </w:r>
      <w:r>
        <w:rPr>
          <w:rFonts w:ascii="Arial" w:cs="Arial" w:eastAsia="Arial" w:hAnsi="Arial"/>
          <w:sz w:val="18"/>
          <w:szCs w:val="18"/>
          <w:color w:val="auto"/>
        </w:rPr>
        <w:t xml:space="preserve">. Landlord and Tenant acknowledge and agree that the Extended Term provided herein shall not be deemed to represent Tenant's option to extend the Lease Term as provided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Original Lease, and accordingly Tenant shall continue to have one (1) option to extend the Lease Term in accordance with, and pursuant to the terms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Original Lease; provided that effective as of the date of this Second Amendment such option to extend the Lease Term shall be for five (5) years (as opposed to three (3) years as presently set forth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left="1340" w:hanging="522"/>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w:t>
      </w:r>
    </w:p>
    <w:p>
      <w:pPr>
        <w:spacing w:after="0" w:line="225" w:lineRule="exact"/>
        <w:rPr>
          <w:sz w:val="20"/>
          <w:szCs w:val="20"/>
          <w:color w:val="auto"/>
        </w:rPr>
      </w:pPr>
    </w:p>
    <w:p>
      <w:pPr>
        <w:jc w:val="both"/>
        <w:ind w:left="180" w:right="20" w:firstLine="1296"/>
        <w:spacing w:after="0" w:line="33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Base Rent</w:t>
      </w:r>
      <w:r>
        <w:rPr>
          <w:rFonts w:ascii="Arial" w:cs="Arial" w:eastAsia="Arial" w:hAnsi="Arial"/>
          <w:sz w:val="16"/>
          <w:szCs w:val="16"/>
          <w:color w:val="auto"/>
        </w:rPr>
        <w:t>. Prior to August 1, 2017, Tenant shall continue to pay monthly installments of Base Rent for the Premises in accordance with the terms of the Lease. During the Extended Term, Tenant shall pay monthly installments of Base Rent for the Premises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jc w:val="center"/>
              <w:ind w:right="72"/>
              <w:spacing w:after="0"/>
              <w:rPr>
                <w:sz w:val="20"/>
                <w:szCs w:val="20"/>
                <w:color w:val="auto"/>
              </w:rPr>
            </w:pPr>
            <w:r>
              <w:rPr>
                <w:rFonts w:ascii="Arial" w:cs="Arial" w:eastAsia="Arial" w:hAnsi="Arial"/>
                <w:sz w:val="18"/>
                <w:szCs w:val="18"/>
                <w:color w:val="auto"/>
                <w:w w:val="90"/>
              </w:rPr>
              <w:t>Period During</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Annual</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Monthly Installment</w:t>
            </w:r>
          </w:p>
        </w:tc>
        <w:tc>
          <w:tcPr>
            <w:tcW w:w="3020" w:type="dxa"/>
            <w:vAlign w:val="bottom"/>
          </w:tcPr>
          <w:p>
            <w:pPr>
              <w:jc w:val="center"/>
              <w:ind w:right="72"/>
              <w:spacing w:after="0"/>
              <w:rPr>
                <w:sz w:val="20"/>
                <w:szCs w:val="20"/>
                <w:color w:val="auto"/>
              </w:rPr>
            </w:pPr>
            <w:r>
              <w:rPr>
                <w:rFonts w:ascii="Arial" w:cs="Arial" w:eastAsia="Arial" w:hAnsi="Arial"/>
                <w:sz w:val="18"/>
                <w:szCs w:val="18"/>
                <w:color w:val="auto"/>
                <w:w w:val="89"/>
              </w:rPr>
              <w:t>Monthly Rental Rate</w:t>
            </w:r>
          </w:p>
        </w:tc>
      </w:tr>
      <w:tr>
        <w:trPr>
          <w:trHeight w:val="231"/>
        </w:trPr>
        <w:tc>
          <w:tcPr>
            <w:tcW w:w="33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6"/>
              </w:rPr>
              <w:t>Extended Term</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Base Rent</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of Base Rent</w:t>
            </w:r>
          </w:p>
        </w:tc>
        <w:tc>
          <w:tcPr>
            <w:tcW w:w="30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6"/>
              </w:rPr>
              <w:t>per Square Foot</w:t>
            </w:r>
          </w:p>
        </w:tc>
      </w:tr>
      <w:tr>
        <w:trPr>
          <w:trHeight w:val="216"/>
        </w:trPr>
        <w:tc>
          <w:tcPr>
            <w:tcW w:w="33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August 1, 2017 – July 31, 2018</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$589,086.00</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$49,090.50</w:t>
            </w:r>
          </w:p>
        </w:tc>
        <w:tc>
          <w:tcPr>
            <w:tcW w:w="30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88"/>
              </w:rPr>
              <w:t>$4.50</w:t>
            </w:r>
          </w:p>
        </w:tc>
      </w:tr>
      <w:tr>
        <w:trPr>
          <w:trHeight w:val="216"/>
        </w:trPr>
        <w:tc>
          <w:tcPr>
            <w:tcW w:w="3360" w:type="dxa"/>
            <w:vAlign w:val="bottom"/>
          </w:tcPr>
          <w:p>
            <w:pPr>
              <w:jc w:val="center"/>
              <w:ind w:right="52"/>
              <w:spacing w:after="0"/>
              <w:rPr>
                <w:sz w:val="20"/>
                <w:szCs w:val="20"/>
                <w:color w:val="auto"/>
              </w:rPr>
            </w:pPr>
            <w:r>
              <w:rPr>
                <w:rFonts w:ascii="Arial" w:cs="Arial" w:eastAsia="Arial" w:hAnsi="Arial"/>
                <w:sz w:val="18"/>
                <w:szCs w:val="18"/>
                <w:color w:val="auto"/>
                <w:w w:val="89"/>
              </w:rPr>
              <w:t>August 1, 2018 – July 31, 2019</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$609,704.01</w:t>
            </w:r>
          </w:p>
        </w:tc>
        <w:tc>
          <w:tcPr>
            <w:tcW w:w="2820" w:type="dxa"/>
            <w:vAlign w:val="bottom"/>
          </w:tcPr>
          <w:p>
            <w:pPr>
              <w:jc w:val="center"/>
              <w:spacing w:after="0"/>
              <w:rPr>
                <w:sz w:val="20"/>
                <w:szCs w:val="20"/>
                <w:color w:val="auto"/>
              </w:rPr>
            </w:pPr>
            <w:r>
              <w:rPr>
                <w:rFonts w:ascii="Arial" w:cs="Arial" w:eastAsia="Arial" w:hAnsi="Arial"/>
                <w:sz w:val="18"/>
                <w:szCs w:val="18"/>
                <w:color w:val="auto"/>
                <w:w w:val="88"/>
              </w:rPr>
              <w:t>$50,808.67</w:t>
            </w:r>
          </w:p>
        </w:tc>
        <w:tc>
          <w:tcPr>
            <w:tcW w:w="3020" w:type="dxa"/>
            <w:vAlign w:val="bottom"/>
          </w:tcPr>
          <w:p>
            <w:pPr>
              <w:jc w:val="center"/>
              <w:ind w:right="92"/>
              <w:spacing w:after="0"/>
              <w:rPr>
                <w:sz w:val="20"/>
                <w:szCs w:val="20"/>
                <w:color w:val="auto"/>
              </w:rPr>
            </w:pPr>
            <w:r>
              <w:rPr>
                <w:rFonts w:ascii="Arial" w:cs="Arial" w:eastAsia="Arial" w:hAnsi="Arial"/>
                <w:sz w:val="18"/>
                <w:szCs w:val="18"/>
                <w:color w:val="auto"/>
                <w:w w:val="88"/>
              </w:rPr>
              <w:t>$4.66</w:t>
            </w:r>
          </w:p>
        </w:tc>
      </w:tr>
      <w:tr>
        <w:trPr>
          <w:trHeight w:val="216"/>
        </w:trPr>
        <w:tc>
          <w:tcPr>
            <w:tcW w:w="33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August 1, 2019 – July 31, 2020</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$631,043.65</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$52,586.97</w:t>
            </w:r>
          </w:p>
        </w:tc>
        <w:tc>
          <w:tcPr>
            <w:tcW w:w="30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88"/>
              </w:rPr>
              <w:t>$4.82</w:t>
            </w:r>
          </w:p>
        </w:tc>
      </w:tr>
      <w:tr>
        <w:trPr>
          <w:trHeight w:val="216"/>
        </w:trPr>
        <w:tc>
          <w:tcPr>
            <w:tcW w:w="3360" w:type="dxa"/>
            <w:vAlign w:val="bottom"/>
          </w:tcPr>
          <w:p>
            <w:pPr>
              <w:jc w:val="center"/>
              <w:ind w:right="52"/>
              <w:spacing w:after="0"/>
              <w:rPr>
                <w:sz w:val="20"/>
                <w:szCs w:val="20"/>
                <w:color w:val="auto"/>
              </w:rPr>
            </w:pPr>
            <w:r>
              <w:rPr>
                <w:rFonts w:ascii="Arial" w:cs="Arial" w:eastAsia="Arial" w:hAnsi="Arial"/>
                <w:sz w:val="18"/>
                <w:szCs w:val="18"/>
                <w:color w:val="auto"/>
                <w:w w:val="89"/>
              </w:rPr>
              <w:t>August 1, 2020 – July 31, 2021</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$653,130.18</w:t>
            </w:r>
          </w:p>
        </w:tc>
        <w:tc>
          <w:tcPr>
            <w:tcW w:w="2820" w:type="dxa"/>
            <w:vAlign w:val="bottom"/>
          </w:tcPr>
          <w:p>
            <w:pPr>
              <w:jc w:val="center"/>
              <w:spacing w:after="0"/>
              <w:rPr>
                <w:sz w:val="20"/>
                <w:szCs w:val="20"/>
                <w:color w:val="auto"/>
              </w:rPr>
            </w:pPr>
            <w:r>
              <w:rPr>
                <w:rFonts w:ascii="Arial" w:cs="Arial" w:eastAsia="Arial" w:hAnsi="Arial"/>
                <w:sz w:val="18"/>
                <w:szCs w:val="18"/>
                <w:color w:val="auto"/>
                <w:w w:val="88"/>
              </w:rPr>
              <w:t>$54,427.51</w:t>
            </w:r>
          </w:p>
        </w:tc>
        <w:tc>
          <w:tcPr>
            <w:tcW w:w="3020" w:type="dxa"/>
            <w:vAlign w:val="bottom"/>
          </w:tcPr>
          <w:p>
            <w:pPr>
              <w:jc w:val="center"/>
              <w:ind w:right="92"/>
              <w:spacing w:after="0"/>
              <w:rPr>
                <w:sz w:val="20"/>
                <w:szCs w:val="20"/>
                <w:color w:val="auto"/>
              </w:rPr>
            </w:pPr>
            <w:r>
              <w:rPr>
                <w:rFonts w:ascii="Arial" w:cs="Arial" w:eastAsia="Arial" w:hAnsi="Arial"/>
                <w:sz w:val="18"/>
                <w:szCs w:val="18"/>
                <w:color w:val="auto"/>
                <w:w w:val="88"/>
              </w:rPr>
              <w:t>$4.99</w:t>
            </w:r>
          </w:p>
        </w:tc>
      </w:tr>
      <w:tr>
        <w:trPr>
          <w:trHeight w:val="216"/>
        </w:trPr>
        <w:tc>
          <w:tcPr>
            <w:tcW w:w="33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August 1, 2021 – July 31, 2022</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$675,989.73</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$56,332.48</w:t>
            </w:r>
          </w:p>
        </w:tc>
        <w:tc>
          <w:tcPr>
            <w:tcW w:w="30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88"/>
              </w:rPr>
              <w:t>$5.16</w:t>
            </w:r>
          </w:p>
        </w:tc>
      </w:tr>
    </w:tbl>
    <w:p>
      <w:pPr>
        <w:spacing w:after="0" w:line="202" w:lineRule="exact"/>
        <w:rPr>
          <w:sz w:val="20"/>
          <w:szCs w:val="20"/>
          <w:color w:val="auto"/>
        </w:rPr>
      </w:pPr>
    </w:p>
    <w:p>
      <w:pPr>
        <w:jc w:val="both"/>
        <w:ind w:left="180" w:firstLine="1296"/>
        <w:spacing w:after="0" w:line="28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Abated Base Rent</w:t>
      </w:r>
      <w:r>
        <w:rPr>
          <w:rFonts w:ascii="Arial" w:cs="Arial" w:eastAsia="Arial" w:hAnsi="Arial"/>
          <w:sz w:val="16"/>
          <w:szCs w:val="16"/>
          <w:color w:val="auto"/>
        </w:rPr>
        <w:t>. Provided that Tenant is not then in default of the Lease (as hereby amended), then during the period commencing on August 1, 2017 and ending on September 30, 2017 (the “</w:t>
      </w:r>
      <w:r>
        <w:rPr>
          <w:rFonts w:ascii="Arial" w:cs="Arial" w:eastAsia="Arial" w:hAnsi="Arial"/>
          <w:sz w:val="16"/>
          <w:szCs w:val="16"/>
          <w:b w:val="1"/>
          <w:bCs w:val="1"/>
          <w:color w:val="auto"/>
        </w:rPr>
        <w:t>Rent Abatement Period</w:t>
      </w:r>
      <w:r>
        <w:rPr>
          <w:rFonts w:ascii="Arial" w:cs="Arial" w:eastAsia="Arial" w:hAnsi="Arial"/>
          <w:sz w:val="16"/>
          <w:szCs w:val="16"/>
          <w:color w:val="auto"/>
        </w:rPr>
        <w:t>”), Tenant shall not be obligated to pay any Base Rent otherwise attributable to the Premises during such Rent Abatement Period (the “</w:t>
      </w:r>
      <w:r>
        <w:rPr>
          <w:rFonts w:ascii="Arial" w:cs="Arial" w:eastAsia="Arial" w:hAnsi="Arial"/>
          <w:sz w:val="16"/>
          <w:szCs w:val="16"/>
          <w:b w:val="1"/>
          <w:bCs w:val="1"/>
          <w:color w:val="auto"/>
        </w:rPr>
        <w:t>Rent Abatement</w:t>
      </w:r>
      <w:r>
        <w:rPr>
          <w:rFonts w:ascii="Arial" w:cs="Arial" w:eastAsia="Arial" w:hAnsi="Arial"/>
          <w:sz w:val="16"/>
          <w:szCs w:val="16"/>
          <w:color w:val="auto"/>
        </w:rPr>
        <w:t>”). Landlord and Tenant acknowledge that the aggregate amount of the Rent Abatement equals $98,181.00 (</w:t>
      </w:r>
      <w:r>
        <w:rPr>
          <w:rFonts w:ascii="Arial" w:cs="Arial" w:eastAsia="Arial" w:hAnsi="Arial"/>
          <w:sz w:val="16"/>
          <w:szCs w:val="16"/>
          <w:i w:val="1"/>
          <w:iCs w:val="1"/>
          <w:color w:val="auto"/>
        </w:rPr>
        <w:t>i.e.</w:t>
      </w:r>
      <w:r>
        <w:rPr>
          <w:rFonts w:ascii="Arial" w:cs="Arial" w:eastAsia="Arial" w:hAnsi="Arial"/>
          <w:sz w:val="16"/>
          <w:szCs w:val="16"/>
          <w:color w:val="auto"/>
        </w:rPr>
        <w:t>, $49,090.50 per month). Tenant acknowledges and agrees that the foregoing Rent Abatement has been granted to Tenant as additional consideration for entering into this Second Amendment, and for agreeing to pay the Rent and perform the terms and conditions otherwise required under the Lease (as hereby amended). If Tenant shall be in default under the Lease (as hereby amended) and shall fail to cure such default within the notice and cure period, if any, permitted for cure pursuant to the Lease (as hereby amended), or if the Lease (as hereby amended) is terminated for any reason, other than as the result of casualty or condemnation, then the dollar amount of the unapplied portion of the Rent Abatement as of such default or termination shall be converted to a credit to be applied to the Base Rent applicable at the end of the Extended Term and Tenant shall immediately be obligated to begin paying Base Rent for the Premises in full.</w:t>
      </w:r>
    </w:p>
    <w:p>
      <w:pPr>
        <w:spacing w:after="0" w:line="169" w:lineRule="exact"/>
        <w:rPr>
          <w:sz w:val="20"/>
          <w:szCs w:val="20"/>
          <w:color w:val="auto"/>
        </w:rPr>
      </w:pPr>
    </w:p>
    <w:p>
      <w:pPr>
        <w:jc w:val="both"/>
        <w:ind w:left="180" w:firstLine="1296"/>
        <w:spacing w:after="0" w:line="27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Direct Expenses</w:t>
      </w:r>
      <w:r>
        <w:rPr>
          <w:rFonts w:ascii="Arial" w:cs="Arial" w:eastAsia="Arial" w:hAnsi="Arial"/>
          <w:sz w:val="18"/>
          <w:szCs w:val="18"/>
          <w:color w:val="auto"/>
        </w:rPr>
        <w:t>. Prior to and continuing throughout the Extended Term, Tenant shall continue to pay Tenant's Share of all Direct Expenses in accordance with the terms of the Lease.</w:t>
      </w:r>
    </w:p>
    <w:p>
      <w:pPr>
        <w:spacing w:after="0" w:line="174" w:lineRule="exact"/>
        <w:rPr>
          <w:sz w:val="20"/>
          <w:szCs w:val="20"/>
          <w:color w:val="auto"/>
        </w:rPr>
      </w:pPr>
    </w:p>
    <w:p>
      <w:pPr>
        <w:jc w:val="both"/>
        <w:ind w:left="180" w:firstLine="800"/>
        <w:spacing w:after="0" w:line="291" w:lineRule="auto"/>
        <w:tabs>
          <w:tab w:leader="none" w:pos="1426" w:val="left"/>
        </w:tabs>
        <w:numPr>
          <w:ilvl w:val="0"/>
          <w:numId w:val="29"/>
        </w:numPr>
        <w:rPr>
          <w:rFonts w:ascii="Arial" w:cs="Arial" w:eastAsia="Arial" w:hAnsi="Arial"/>
          <w:sz w:val="16"/>
          <w:szCs w:val="16"/>
          <w:color w:val="auto"/>
        </w:rPr>
      </w:pPr>
      <w:r>
        <w:rPr>
          <w:rFonts w:ascii="Arial" w:cs="Arial" w:eastAsia="Arial" w:hAnsi="Arial"/>
          <w:sz w:val="16"/>
          <w:szCs w:val="16"/>
          <w:b w:val="1"/>
          <w:bCs w:val="1"/>
          <w:u w:val="single" w:color="auto"/>
          <w:color w:val="auto"/>
        </w:rPr>
        <w:t>Broker</w:t>
      </w:r>
      <w:r>
        <w:rPr>
          <w:rFonts w:ascii="Arial" w:cs="Arial" w:eastAsia="Arial" w:hAnsi="Arial"/>
          <w:sz w:val="16"/>
          <w:szCs w:val="16"/>
          <w:color w:val="auto"/>
        </w:rPr>
        <w:t>. Landlord and Tenant hereby warrant to each other that they have had no dealings with any real estate broker or agent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negotiation of this Second Amendment other than CBRE, Inc. (the "</w:t>
      </w:r>
      <w:r>
        <w:rPr>
          <w:rFonts w:ascii="Arial" w:cs="Arial" w:eastAsia="Arial" w:hAnsi="Arial"/>
          <w:sz w:val="16"/>
          <w:szCs w:val="16"/>
          <w:b w:val="1"/>
          <w:bCs w:val="1"/>
          <w:color w:val="auto"/>
        </w:rPr>
        <w:t>Broker</w:t>
      </w:r>
      <w:r>
        <w:rPr>
          <w:rFonts w:ascii="Arial" w:cs="Arial" w:eastAsia="Arial" w:hAnsi="Arial"/>
          <w:sz w:val="16"/>
          <w:szCs w:val="16"/>
          <w:color w:val="auto"/>
        </w:rPr>
        <w:t xml:space="preserve">"), and that they know of no other real estate broker or agent who is entitled to a commission in connection with this Second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 occurring by, through, or under the indemnifying party. The terms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survive the expiration or earlier termination of the term of the Lease, as hereby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ind w:left="-800" w:firstLine="800"/>
        <w:spacing w:after="0" w:line="339" w:lineRule="auto"/>
        <w:tabs>
          <w:tab w:leader="none" w:pos="486" w:val="left"/>
        </w:tabs>
        <w:numPr>
          <w:ilvl w:val="0"/>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California Accessibility Disclosure</w:t>
      </w:r>
      <w:r>
        <w:rPr>
          <w:rFonts w:ascii="Arial" w:cs="Arial" w:eastAsia="Arial" w:hAnsi="Arial"/>
          <w:sz w:val="16"/>
          <w:szCs w:val="16"/>
          <w:color w:val="auto"/>
        </w:rPr>
        <w:t>. For purposes of Section 1938 of the California Civil Code, Landlord hereby discloses to Tenant, and</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hereby acknowledges that the Common Areas and the Premises have not undergone inspection by a Certified Access Specialist (CASp).</w:t>
      </w:r>
    </w:p>
    <w:p>
      <w:pPr>
        <w:spacing w:after="0" w:line="128" w:lineRule="exact"/>
        <w:rPr>
          <w:rFonts w:ascii="Arial" w:cs="Arial" w:eastAsia="Arial" w:hAnsi="Arial"/>
          <w:sz w:val="16"/>
          <w:szCs w:val="16"/>
          <w:color w:val="auto"/>
        </w:rPr>
      </w:pPr>
    </w:p>
    <w:p>
      <w:pPr>
        <w:ind w:left="-800" w:firstLine="800"/>
        <w:spacing w:after="0" w:line="275" w:lineRule="auto"/>
        <w:tabs>
          <w:tab w:leader="none" w:pos="513"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Modification</w:t>
      </w:r>
      <w:r>
        <w:rPr>
          <w:rFonts w:ascii="Arial" w:cs="Arial" w:eastAsia="Arial" w:hAnsi="Arial"/>
          <w:sz w:val="18"/>
          <w:szCs w:val="18"/>
          <w:color w:val="auto"/>
        </w:rPr>
        <w:t>. Except as specifically set forth in this Second Amendment, all of the terms and provisions of the Lease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unmodified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256540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557"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5"/>
          <w:szCs w:val="15"/>
          <w:color w:val="auto"/>
        </w:rPr>
        <w:t>IN WITNESS WHEREOF, this Second Amendment has been executed as of the day and year first above written.</w:t>
      </w:r>
    </w:p>
    <w:p>
      <w:pPr>
        <w:sectPr>
          <w:pgSz w:w="11900" w:h="16838" w:orient="portrait"/>
          <w:cols w:equalWidth="0" w:num="1">
            <w:col w:w="10219"/>
          </w:cols>
          <w:pgMar w:left="240" w:top="56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31" w:lineRule="exact"/>
        <w:rPr>
          <w:sz w:val="20"/>
          <w:szCs w:val="20"/>
          <w:color w:val="auto"/>
        </w:rPr>
      </w:pPr>
    </w:p>
    <w:p>
      <w:pPr>
        <w:ind w:right="1840"/>
        <w:spacing w:after="0" w:line="332" w:lineRule="auto"/>
        <w:rPr>
          <w:sz w:val="20"/>
          <w:szCs w:val="20"/>
          <w:color w:val="auto"/>
        </w:rPr>
      </w:pPr>
      <w:r>
        <w:rPr>
          <w:rFonts w:ascii="Arial" w:cs="Arial" w:eastAsia="Arial" w:hAnsi="Arial"/>
          <w:sz w:val="16"/>
          <w:szCs w:val="16"/>
          <w:color w:val="auto"/>
        </w:rPr>
        <w:t>BAYSIDE AREA DEVELOPMENT, LLC, a Delaware limited liability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 M Bergschneider</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 M. Bergschneider</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Executive 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VISTAGEN THERAPEUTICS,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555625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900" w:space="720"/>
            <w:col w:w="4599"/>
          </w:cols>
          <w:pgMar w:left="240" w:top="563" w:right="1440"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WORK LETTER</w:t>
      </w:r>
    </w:p>
    <w:p>
      <w:pPr>
        <w:spacing w:after="0" w:line="23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Landlord and Tenant acknowledge that Tenant has been occupying the Premises pursuant to the Lease. Except as specifically set forth herein, Landlord shall not be obligated to construct or install any improvements or facilities of any kind in the Premises, and Tenant shall continue to accept the Premises in its currently-existing, "as-is" condition. Notwithstanding the foregoing, from and after January 1, 2017, Tenant shall be entitled to a one-time tenant improvement allowance (the "</w:t>
      </w:r>
      <w:r>
        <w:rPr>
          <w:rFonts w:ascii="Arial" w:cs="Arial" w:eastAsia="Arial" w:hAnsi="Arial"/>
          <w:sz w:val="16"/>
          <w:szCs w:val="16"/>
          <w:b w:val="1"/>
          <w:bCs w:val="1"/>
          <w:color w:val="auto"/>
        </w:rPr>
        <w:t>Tenant Improvement Allowance</w:t>
      </w:r>
      <w:r>
        <w:rPr>
          <w:rFonts w:ascii="Arial" w:cs="Arial" w:eastAsia="Arial" w:hAnsi="Arial"/>
          <w:sz w:val="16"/>
          <w:szCs w:val="16"/>
          <w:color w:val="auto"/>
        </w:rPr>
        <w:t>") equal to $163,635.00 (</w:t>
      </w:r>
      <w:r>
        <w:rPr>
          <w:rFonts w:ascii="Arial" w:cs="Arial" w:eastAsia="Arial" w:hAnsi="Arial"/>
          <w:sz w:val="16"/>
          <w:szCs w:val="16"/>
          <w:i w:val="1"/>
          <w:iCs w:val="1"/>
          <w:color w:val="auto"/>
        </w:rPr>
        <w:t>i.e</w:t>
      </w:r>
      <w:r>
        <w:rPr>
          <w:rFonts w:ascii="Arial" w:cs="Arial" w:eastAsia="Arial" w:hAnsi="Arial"/>
          <w:sz w:val="16"/>
          <w:szCs w:val="16"/>
          <w:color w:val="auto"/>
        </w:rPr>
        <w:t>., approximately $15.00 for each of the 10,909 rentable square feet of the Premises) for the costs relating to the design and construction of Tenant's improvements which are permanently affixed to the Premises (the “</w:t>
      </w:r>
      <w:r>
        <w:rPr>
          <w:rFonts w:ascii="Arial" w:cs="Arial" w:eastAsia="Arial" w:hAnsi="Arial"/>
          <w:sz w:val="16"/>
          <w:szCs w:val="16"/>
          <w:b w:val="1"/>
          <w:bCs w:val="1"/>
          <w:color w:val="auto"/>
        </w:rPr>
        <w:t>Tenant Improvements</w:t>
      </w:r>
      <w:r>
        <w:rPr>
          <w:rFonts w:ascii="Arial" w:cs="Arial" w:eastAsia="Arial" w:hAnsi="Arial"/>
          <w:sz w:val="16"/>
          <w:szCs w:val="16"/>
          <w:color w:val="auto"/>
        </w:rPr>
        <w:t>”). Landlord hereby acknowledges that up to $10,000.00 of the Tenant Improvement Allowance may be utilized for new signage for the Premises as part of the Tenant Improvements, which new signage shall be approved by Landlord pursuant to the terms of the Lease. A contractor shall be retained by Tenant to construct the Tenant Improvements, which contractor shall be selected by Tenant and reasonably approved by Landlord and in connection therewith, Landlord hereby approves Cody Builders as a contractor to be retained by Tenant to construct the Tenant Improvements. The Tenant Improvement Allowance will be disbursed in accordance with Landlord's standard disbursement procedures, including, without limitation, following Landlord's receipt of (i) evidence (i.e., invoices or other documentation reasonably satisfactory to Landlord) of payment for the Tenant Improvements, and (ii) fully executed, unconditional lien releases from all contractors, subcontractors, laborers, materialmen, and suppliers used by Tenant in connection with the Tenant Improvements. In connection with the Tenant Improvements, Landlord shall retain Project Management Advisors, Inc. ("</w:t>
      </w:r>
      <w:r>
        <w:rPr>
          <w:rFonts w:ascii="Arial" w:cs="Arial" w:eastAsia="Arial" w:hAnsi="Arial"/>
          <w:sz w:val="16"/>
          <w:szCs w:val="16"/>
          <w:b w:val="1"/>
          <w:bCs w:val="1"/>
          <w:color w:val="auto"/>
        </w:rPr>
        <w:t>PMA</w:t>
      </w:r>
      <w:r>
        <w:rPr>
          <w:rFonts w:ascii="Arial" w:cs="Arial" w:eastAsia="Arial" w:hAnsi="Arial"/>
          <w:sz w:val="16"/>
          <w:szCs w:val="16"/>
          <w:color w:val="auto"/>
        </w:rPr>
        <w:t xml:space="preserve">") as a third party project manager for construction oversight of the Tenant Improvements on behalf of Landlord, and Tenant shall pay a fee to Landlord with respect to the PMA services to be deducted from the Tenant Improvement Allowance not to exceed $5,000.00. The Tenant Improvements shall be constructed in accordance with the terms and conditions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the Original Lease. In no event shall Landlord be obligated to disburse any portion of the Tenant Improvement Allowance subsequent to August 1, 2018, nor shall Landlord be obligated to disburse any amount in excess of the Tenant Improvement Allowance in connection with the construction of the Tenant Improvements. No portion of the Tenant Improvement Allowance, if any, remaining after the construction of the Tenant Improvements shall be available for use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10.2</w:t>
      </w:r>
    </w:p>
    <w:p>
      <w:pPr>
        <w:spacing w:after="0" w:line="293"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VISTAGEN THERAPEUTICS, INC. INDEMNIFICATION AGREEMENT</w:t>
      </w:r>
    </w:p>
    <w:p>
      <w:pPr>
        <w:spacing w:after="0" w:line="231"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8"/>
          <w:szCs w:val="18"/>
          <w:color w:val="auto"/>
        </w:rPr>
        <w:t>THIS AGREEMENT is entered into, effective as of November 10, 2016 between VistaGen Therapeutics, Inc., a Nevada corporation (the "Company"), and Mark A. Smith, M.D., Ph.D. (“Indemnitee”).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Indemnitee is an officer of the Company;</w:t>
      </w:r>
    </w:p>
    <w:p>
      <w:pPr>
        <w:spacing w:after="0" w:line="239" w:lineRule="exact"/>
        <w:rPr>
          <w:sz w:val="20"/>
          <w:szCs w:val="20"/>
          <w:color w:val="auto"/>
        </w:rPr>
      </w:pPr>
    </w:p>
    <w:p>
      <w:pPr>
        <w:jc w:val="both"/>
        <w:ind w:right="80" w:firstLine="648"/>
        <w:spacing w:after="0" w:line="268"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currently being asserted against directors and officers of corporations; and</w:t>
      </w:r>
    </w:p>
    <w:p>
      <w:pPr>
        <w:spacing w:after="0" w:line="186"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WHEREAS, in recognition of Indemnitee's need for substantial protection against personal liability in order to enhance Indemnitee's continued and effective service to the Company, and in order to induce Indemnitee to provide services to the Company as an officer,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197" w:lineRule="exact"/>
        <w:rPr>
          <w:sz w:val="20"/>
          <w:szCs w:val="20"/>
          <w:color w:val="auto"/>
        </w:rPr>
      </w:pPr>
    </w:p>
    <w:p>
      <w:pPr>
        <w:jc w:val="both"/>
        <w:ind w:right="80" w:firstLine="648"/>
        <w:spacing w:after="0" w:line="268" w:lineRule="auto"/>
        <w:rPr>
          <w:sz w:val="20"/>
          <w:szCs w:val="20"/>
          <w:color w:val="auto"/>
        </w:rPr>
      </w:pPr>
      <w:r>
        <w:rPr>
          <w:rFonts w:ascii="Arial" w:cs="Arial" w:eastAsia="Arial" w:hAnsi="Arial"/>
          <w:sz w:val="18"/>
          <w:szCs w:val="18"/>
          <w:color w:val="auto"/>
        </w:rPr>
        <w:t>NOW, THEREFORE, in consideration of the above premises and of Indemnitee's continuing to serve the Company directly or, at its request, with another enterprise, and intending to be legally bound hereby, the parties agree as follows:</w:t>
      </w:r>
    </w:p>
    <w:p>
      <w:pPr>
        <w:spacing w:after="0" w:line="213" w:lineRule="exact"/>
        <w:rPr>
          <w:sz w:val="20"/>
          <w:szCs w:val="20"/>
          <w:color w:val="auto"/>
        </w:rPr>
      </w:pPr>
    </w:p>
    <w:p>
      <w:pPr>
        <w:ind w:left="1140" w:hanging="340"/>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265" w:lineRule="exact"/>
        <w:rPr>
          <w:rFonts w:ascii="Arial" w:cs="Arial" w:eastAsia="Arial" w:hAnsi="Arial"/>
          <w:sz w:val="18"/>
          <w:szCs w:val="18"/>
          <w:color w:val="auto"/>
        </w:rPr>
      </w:pPr>
    </w:p>
    <w:p>
      <w:pPr>
        <w:ind w:left="1860" w:hanging="411"/>
        <w:spacing w:after="0"/>
        <w:tabs>
          <w:tab w:leader="none" w:pos="186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319" w:lineRule="exact"/>
        <w:rPr>
          <w:rFonts w:ascii="Arial" w:cs="Arial" w:eastAsia="Arial" w:hAnsi="Arial"/>
          <w:sz w:val="18"/>
          <w:szCs w:val="18"/>
          <w:color w:val="auto"/>
        </w:rPr>
      </w:pPr>
    </w:p>
    <w:p>
      <w:pPr>
        <w:jc w:val="both"/>
        <w:ind w:firstLine="1449"/>
        <w:spacing w:after="0" w:line="286" w:lineRule="auto"/>
        <w:tabs>
          <w:tab w:leader="none" w:pos="1893"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39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341" w:right="239" w:bottom="1440" w:gutter="0" w:footer="0" w:header="0"/>
        </w:sectPr>
      </w:pPr>
    </w:p>
    <w:bookmarkStart w:id="75" w:name="page76"/>
    <w:bookmarkEnd w:id="75"/>
    <w:p>
      <w:pPr>
        <w:jc w:val="both"/>
        <w:ind w:firstLine="1449"/>
        <w:spacing w:after="0" w:line="319" w:lineRule="auto"/>
        <w:tabs>
          <w:tab w:leader="none" w:pos="1869" w:val="left"/>
        </w:tabs>
        <w:numPr>
          <w:ilvl w:val="2"/>
          <w:numId w:val="32"/>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w:t>
      </w:r>
    </w:p>
    <w:p>
      <w:pPr>
        <w:ind w:right="20"/>
        <w:spacing w:after="0" w:line="332" w:lineRule="auto"/>
        <w:rPr>
          <w:rFonts w:ascii="Arial" w:cs="Arial" w:eastAsia="Arial" w:hAnsi="Arial"/>
          <w:sz w:val="15"/>
          <w:szCs w:val="15"/>
          <w:color w:val="auto"/>
        </w:rPr>
      </w:pPr>
      <w:r>
        <w:rPr>
          <w:rFonts w:ascii="Arial" w:cs="Arial" w:eastAsia="Arial" w:hAnsi="Arial"/>
          <w:sz w:val="16"/>
          <w:szCs w:val="16"/>
          <w:color w:val="auto"/>
        </w:rPr>
        <w:t>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spacing w:after="0" w:line="166" w:lineRule="exact"/>
        <w:rPr>
          <w:rFonts w:ascii="Arial" w:cs="Arial" w:eastAsia="Arial" w:hAnsi="Arial"/>
          <w:sz w:val="15"/>
          <w:szCs w:val="15"/>
          <w:color w:val="auto"/>
        </w:rPr>
      </w:pPr>
    </w:p>
    <w:p>
      <w:pPr>
        <w:jc w:val="both"/>
        <w:ind w:firstLine="1449"/>
        <w:spacing w:after="0" w:line="290" w:lineRule="auto"/>
        <w:tabs>
          <w:tab w:leader="none" w:pos="1879" w:val="left"/>
        </w:tabs>
        <w:numPr>
          <w:ilvl w:val="2"/>
          <w:numId w:val="32"/>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any event or occurrence that takes place either prior to or after the execution of this Agreement, related to the fact that Indemnitee is or was an officer of the Company, or while an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185" w:lineRule="exact"/>
        <w:rPr>
          <w:rFonts w:ascii="Arial" w:cs="Arial" w:eastAsia="Arial" w:hAnsi="Arial"/>
          <w:sz w:val="16"/>
          <w:szCs w:val="16"/>
          <w:color w:val="auto"/>
        </w:rPr>
      </w:pPr>
    </w:p>
    <w:p>
      <w:pPr>
        <w:ind w:left="1780" w:hanging="331"/>
        <w:spacing w:after="0"/>
        <w:tabs>
          <w:tab w:leader="none" w:pos="1780"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Independent Counsel</w:t>
      </w:r>
      <w:r>
        <w:rPr>
          <w:rFonts w:ascii="Arial" w:cs="Arial" w:eastAsia="Arial" w:hAnsi="Arial"/>
          <w:sz w:val="18"/>
          <w:szCs w:val="18"/>
          <w:color w:val="auto"/>
        </w:rPr>
        <w:t>: the person or body appointed in connection with Section 3.</w:t>
      </w:r>
    </w:p>
    <w:p>
      <w:pPr>
        <w:spacing w:after="0" w:line="319" w:lineRule="exact"/>
        <w:rPr>
          <w:rFonts w:ascii="Arial" w:cs="Arial" w:eastAsia="Arial" w:hAnsi="Arial"/>
          <w:sz w:val="18"/>
          <w:szCs w:val="18"/>
          <w:color w:val="auto"/>
        </w:rPr>
      </w:pPr>
    </w:p>
    <w:p>
      <w:pPr>
        <w:jc w:val="both"/>
        <w:ind w:firstLine="1449"/>
        <w:spacing w:after="0" w:line="259" w:lineRule="auto"/>
        <w:tabs>
          <w:tab w:leader="none" w:pos="1850"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194" w:lineRule="exact"/>
        <w:rPr>
          <w:rFonts w:ascii="Arial" w:cs="Arial" w:eastAsia="Arial" w:hAnsi="Arial"/>
          <w:sz w:val="18"/>
          <w:szCs w:val="18"/>
          <w:color w:val="auto"/>
        </w:rPr>
      </w:pPr>
    </w:p>
    <w:p>
      <w:pPr>
        <w:ind w:left="1780" w:hanging="331"/>
        <w:spacing w:after="0"/>
        <w:tabs>
          <w:tab w:leader="none" w:pos="1780"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the person or body appointed in accordance with Section 3.</w:t>
      </w:r>
    </w:p>
    <w:p>
      <w:pPr>
        <w:spacing w:after="0" w:line="238" w:lineRule="exact"/>
        <w:rPr>
          <w:rFonts w:ascii="Arial" w:cs="Arial" w:eastAsia="Arial" w:hAnsi="Arial"/>
          <w:sz w:val="18"/>
          <w:szCs w:val="18"/>
          <w:color w:val="auto"/>
        </w:rPr>
      </w:pPr>
    </w:p>
    <w:p>
      <w:pPr>
        <w:ind w:left="1780" w:hanging="372"/>
        <w:spacing w:after="0"/>
        <w:tabs>
          <w:tab w:leader="none" w:pos="17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Voting Securities: any securities of the Company that vote generall in the election of directors.</w:t>
      </w:r>
    </w:p>
    <w:p>
      <w:pPr>
        <w:spacing w:after="0" w:line="279" w:lineRule="exact"/>
        <w:rPr>
          <w:rFonts w:ascii="Arial" w:cs="Arial" w:eastAsia="Arial" w:hAnsi="Arial"/>
          <w:sz w:val="18"/>
          <w:szCs w:val="18"/>
          <w:color w:val="auto"/>
        </w:rPr>
      </w:pPr>
    </w:p>
    <w:p>
      <w:pPr>
        <w:ind w:left="800" w:hanging="162"/>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449"/>
        <w:spacing w:after="0" w:line="290" w:lineRule="auto"/>
        <w:tabs>
          <w:tab w:leader="none" w:pos="1869" w:val="left"/>
        </w:tabs>
        <w:numPr>
          <w:ilvl w:val="2"/>
          <w:numId w:val="34"/>
        </w:numPr>
        <w:rPr>
          <w:rFonts w:ascii="Arial" w:cs="Arial" w:eastAsia="Arial" w:hAnsi="Arial"/>
          <w:sz w:val="16"/>
          <w:szCs w:val="16"/>
          <w:color w:val="auto"/>
        </w:rPr>
      </w:pPr>
      <w:r>
        <w:rPr>
          <w:rFonts w:ascii="Arial" w:cs="Arial" w:eastAsia="Arial" w:hAnsi="Arial"/>
          <w:sz w:val="16"/>
          <w:szCs w:val="16"/>
          <w:u w:val="single" w:color="auto"/>
          <w:color w:val="auto"/>
        </w:rPr>
        <w:t>General Agreement</w:t>
      </w:r>
      <w:r>
        <w:rPr>
          <w:rFonts w:ascii="Arial" w:cs="Arial" w:eastAsia="Arial" w:hAnsi="Arial"/>
          <w:sz w:val="16"/>
          <w:szCs w:val="16"/>
          <w:color w:val="auto"/>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199" w:lineRule="exact"/>
        <w:rPr>
          <w:rFonts w:ascii="Arial" w:cs="Arial" w:eastAsia="Arial" w:hAnsi="Arial"/>
          <w:sz w:val="16"/>
          <w:szCs w:val="16"/>
          <w:color w:val="auto"/>
        </w:rPr>
      </w:pPr>
    </w:p>
    <w:p>
      <w:pPr>
        <w:jc w:val="both"/>
        <w:ind w:firstLine="1449"/>
        <w:spacing w:after="0" w:line="294" w:lineRule="auto"/>
        <w:tabs>
          <w:tab w:leader="none" w:pos="1933" w:val="left"/>
        </w:tabs>
        <w:numPr>
          <w:ilvl w:val="2"/>
          <w:numId w:val="34"/>
        </w:numPr>
        <w:rPr>
          <w:rFonts w:ascii="Arial" w:cs="Arial" w:eastAsia="Arial" w:hAnsi="Arial"/>
          <w:sz w:val="16"/>
          <w:szCs w:val="16"/>
          <w:color w:val="auto"/>
        </w:rPr>
      </w:pPr>
      <w:r>
        <w:rPr>
          <w:rFonts w:ascii="Arial" w:cs="Arial" w:eastAsia="Arial" w:hAnsi="Arial"/>
          <w:sz w:val="16"/>
          <w:szCs w:val="16"/>
          <w:u w:val="single" w:color="auto"/>
          <w:color w:val="auto"/>
        </w:rPr>
        <w:t>Initiation of Proceeding</w:t>
      </w:r>
      <w:r>
        <w:rPr>
          <w:rFonts w:ascii="Arial" w:cs="Arial" w:eastAsia="Arial" w:hAnsi="Arial"/>
          <w:sz w:val="16"/>
          <w:szCs w:val="16"/>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196" w:lineRule="exact"/>
        <w:rPr>
          <w:rFonts w:ascii="Arial" w:cs="Arial" w:eastAsia="Arial" w:hAnsi="Arial"/>
          <w:sz w:val="16"/>
          <w:szCs w:val="16"/>
          <w:color w:val="auto"/>
        </w:rPr>
      </w:pPr>
    </w:p>
    <w:p>
      <w:pPr>
        <w:jc w:val="both"/>
        <w:ind w:firstLine="1449"/>
        <w:spacing w:after="0" w:line="289" w:lineRule="auto"/>
        <w:tabs>
          <w:tab w:leader="none" w:pos="1869" w:val="left"/>
        </w:tabs>
        <w:numPr>
          <w:ilvl w:val="2"/>
          <w:numId w:val="34"/>
        </w:numPr>
        <w:rPr>
          <w:rFonts w:ascii="Arial" w:cs="Arial" w:eastAsia="Arial" w:hAnsi="Arial"/>
          <w:sz w:val="16"/>
          <w:szCs w:val="16"/>
          <w:color w:val="auto"/>
        </w:rPr>
      </w:pPr>
      <w:r>
        <w:rPr>
          <w:rFonts w:ascii="Arial" w:cs="Arial" w:eastAsia="Arial" w:hAnsi="Arial"/>
          <w:sz w:val="16"/>
          <w:szCs w:val="16"/>
          <w:u w:val="single" w:color="auto"/>
          <w:color w:val="auto"/>
        </w:rPr>
        <w:t>Expense Advances</w:t>
      </w:r>
      <w:r>
        <w:rPr>
          <w:rFonts w:ascii="Arial" w:cs="Arial" w:eastAsia="Arial" w:hAnsi="Arial"/>
          <w:sz w:val="16"/>
          <w:szCs w:val="16"/>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3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590" w:right="239" w:bottom="1440" w:gutter="0" w:footer="0" w:header="0"/>
        </w:sectPr>
      </w:pPr>
    </w:p>
    <w:bookmarkStart w:id="76" w:name="page77"/>
    <w:bookmarkEnd w:id="76"/>
    <w:p>
      <w:pPr>
        <w:jc w:val="both"/>
        <w:ind w:firstLine="1449"/>
        <w:spacing w:after="0" w:line="259" w:lineRule="auto"/>
        <w:tabs>
          <w:tab w:leader="none" w:pos="1920"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221" w:lineRule="exact"/>
        <w:rPr>
          <w:rFonts w:ascii="Arial" w:cs="Arial" w:eastAsia="Arial" w:hAnsi="Arial"/>
          <w:sz w:val="18"/>
          <w:szCs w:val="18"/>
          <w:color w:val="auto"/>
        </w:rPr>
      </w:pPr>
    </w:p>
    <w:p>
      <w:pPr>
        <w:jc w:val="both"/>
        <w:ind w:firstLine="1449"/>
        <w:spacing w:after="0" w:line="259" w:lineRule="auto"/>
        <w:tabs>
          <w:tab w:leader="none" w:pos="1869"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221" w:lineRule="exact"/>
        <w:rPr>
          <w:rFonts w:ascii="Arial" w:cs="Arial" w:eastAsia="Arial" w:hAnsi="Arial"/>
          <w:sz w:val="18"/>
          <w:szCs w:val="18"/>
          <w:color w:val="auto"/>
        </w:rPr>
      </w:pPr>
    </w:p>
    <w:p>
      <w:pPr>
        <w:jc w:val="both"/>
        <w:ind w:firstLine="1449"/>
        <w:spacing w:after="0" w:line="256" w:lineRule="auto"/>
        <w:tabs>
          <w:tab w:leader="none" w:pos="1877"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Prohibited Indemnification</w:t>
      </w:r>
      <w:r>
        <w:rPr>
          <w:rFonts w:ascii="Arial" w:cs="Arial" w:eastAsia="Arial" w:hAnsi="Arial"/>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224" w:lineRule="exact"/>
        <w:rPr>
          <w:rFonts w:ascii="Arial" w:cs="Arial" w:eastAsia="Arial" w:hAnsi="Arial"/>
          <w:sz w:val="18"/>
          <w:szCs w:val="18"/>
          <w:color w:val="auto"/>
        </w:rPr>
      </w:pPr>
    </w:p>
    <w:p>
      <w:pPr>
        <w:jc w:val="both"/>
        <w:ind w:firstLine="800"/>
        <w:spacing w:after="0" w:line="285" w:lineRule="auto"/>
        <w:tabs>
          <w:tab w:leader="none" w:pos="1171"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Reviewing Party</w:t>
      </w:r>
      <w:r>
        <w:rPr>
          <w:rFonts w:ascii="Arial" w:cs="Arial" w:eastAsia="Arial" w:hAnsi="Arial"/>
          <w:sz w:val="16"/>
          <w:szCs w:val="16"/>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Indemnitee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195" w:lineRule="exact"/>
        <w:rPr>
          <w:rFonts w:ascii="Arial" w:cs="Arial" w:eastAsia="Arial" w:hAnsi="Arial"/>
          <w:sz w:val="16"/>
          <w:szCs w:val="16"/>
          <w:color w:val="auto"/>
        </w:rPr>
      </w:pPr>
    </w:p>
    <w:p>
      <w:pPr>
        <w:ind w:left="800" w:hanging="162"/>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Indemnification Process and Appeal</w:t>
      </w:r>
      <w:r>
        <w:rPr>
          <w:rFonts w:ascii="Arial" w:cs="Arial" w:eastAsia="Arial" w:hAnsi="Arial"/>
          <w:sz w:val="18"/>
          <w:szCs w:val="18"/>
          <w:color w:val="auto"/>
        </w:rPr>
        <w:t>.</w:t>
      </w:r>
    </w:p>
    <w:p>
      <w:pPr>
        <w:spacing w:after="0" w:line="319" w:lineRule="exact"/>
        <w:rPr>
          <w:rFonts w:ascii="Arial" w:cs="Arial" w:eastAsia="Arial" w:hAnsi="Arial"/>
          <w:sz w:val="18"/>
          <w:szCs w:val="18"/>
          <w:color w:val="auto"/>
        </w:rPr>
      </w:pPr>
    </w:p>
    <w:p>
      <w:pPr>
        <w:jc w:val="both"/>
        <w:ind w:firstLine="1449"/>
        <w:spacing w:after="0" w:line="306" w:lineRule="auto"/>
        <w:tabs>
          <w:tab w:leader="none" w:pos="1869" w:val="left"/>
        </w:tabs>
        <w:numPr>
          <w:ilvl w:val="2"/>
          <w:numId w:val="37"/>
        </w:numPr>
        <w:rPr>
          <w:rFonts w:ascii="Arial" w:cs="Arial" w:eastAsia="Arial" w:hAnsi="Arial"/>
          <w:sz w:val="16"/>
          <w:szCs w:val="16"/>
          <w:color w:val="auto"/>
        </w:rPr>
      </w:pPr>
      <w:r>
        <w:rPr>
          <w:rFonts w:ascii="Arial" w:cs="Arial" w:eastAsia="Arial" w:hAnsi="Arial"/>
          <w:sz w:val="16"/>
          <w:szCs w:val="16"/>
          <w:u w:val="single" w:color="auto"/>
          <w:color w:val="auto"/>
        </w:rPr>
        <w:t>Indemnification Payment</w:t>
      </w:r>
      <w:r>
        <w:rPr>
          <w:rFonts w:ascii="Arial" w:cs="Arial" w:eastAsia="Arial" w:hAnsi="Arial"/>
          <w:sz w:val="16"/>
          <w:szCs w:val="16"/>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201" w:lineRule="exact"/>
        <w:rPr>
          <w:rFonts w:ascii="Arial" w:cs="Arial" w:eastAsia="Arial" w:hAnsi="Arial"/>
          <w:sz w:val="16"/>
          <w:szCs w:val="16"/>
          <w:color w:val="auto"/>
        </w:rPr>
      </w:pPr>
    </w:p>
    <w:p>
      <w:pPr>
        <w:jc w:val="both"/>
        <w:ind w:firstLine="1449"/>
        <w:spacing w:after="0" w:line="291" w:lineRule="auto"/>
        <w:tabs>
          <w:tab w:leader="none" w:pos="1879" w:val="left"/>
        </w:tabs>
        <w:numPr>
          <w:ilvl w:val="2"/>
          <w:numId w:val="37"/>
        </w:numPr>
        <w:rPr>
          <w:rFonts w:ascii="Arial" w:cs="Arial" w:eastAsia="Arial" w:hAnsi="Arial"/>
          <w:sz w:val="16"/>
          <w:szCs w:val="16"/>
          <w:color w:val="auto"/>
        </w:rPr>
      </w:pPr>
      <w:r>
        <w:rPr>
          <w:rFonts w:ascii="Arial" w:cs="Arial" w:eastAsia="Arial" w:hAnsi="Arial"/>
          <w:sz w:val="16"/>
          <w:szCs w:val="16"/>
          <w:u w:val="single" w:color="auto"/>
          <w:color w:val="auto"/>
        </w:rPr>
        <w:t>Suit to Enforce Rights</w:t>
      </w:r>
      <w:r>
        <w:rPr>
          <w:rFonts w:ascii="Arial" w:cs="Arial" w:eastAsia="Arial" w:hAnsi="Arial"/>
          <w:sz w:val="16"/>
          <w:szCs w:val="16"/>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Nevada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71" w:right="239" w:bottom="1440" w:gutter="0" w:footer="0" w:header="0"/>
        </w:sectPr>
      </w:pPr>
    </w:p>
    <w:bookmarkStart w:id="77" w:name="page78"/>
    <w:bookmarkEnd w:id="77"/>
    <w:p>
      <w:pPr>
        <w:jc w:val="both"/>
        <w:ind w:firstLine="1449"/>
        <w:spacing w:after="0" w:line="310" w:lineRule="auto"/>
        <w:tabs>
          <w:tab w:leader="none" w:pos="1869" w:val="left"/>
        </w:tabs>
        <w:numPr>
          <w:ilvl w:val="2"/>
          <w:numId w:val="38"/>
        </w:numPr>
        <w:rPr>
          <w:rFonts w:ascii="Arial" w:cs="Arial" w:eastAsia="Arial" w:hAnsi="Arial"/>
          <w:sz w:val="15"/>
          <w:szCs w:val="15"/>
          <w:color w:val="auto"/>
        </w:rPr>
      </w:pPr>
      <w:r>
        <w:rPr>
          <w:rFonts w:ascii="Arial" w:cs="Arial" w:eastAsia="Arial" w:hAnsi="Arial"/>
          <w:sz w:val="15"/>
          <w:szCs w:val="15"/>
          <w:u w:val="single" w:color="auto"/>
          <w:color w:val="auto"/>
        </w:rPr>
        <w:t>Defense to Indemnification, Burden of Proof, and Presumptions</w:t>
      </w:r>
      <w:r>
        <w:rPr>
          <w:rFonts w:ascii="Arial" w:cs="Arial" w:eastAsia="Arial" w:hAnsi="Arial"/>
          <w:sz w:val="15"/>
          <w:szCs w:val="15"/>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w:t>
      </w:r>
    </w:p>
    <w:p>
      <w:pPr>
        <w:jc w:val="both"/>
        <w:spacing w:after="0" w:line="289" w:lineRule="auto"/>
        <w:rPr>
          <w:rFonts w:ascii="Arial" w:cs="Arial" w:eastAsia="Arial" w:hAnsi="Arial"/>
          <w:sz w:val="15"/>
          <w:szCs w:val="15"/>
          <w:color w:val="auto"/>
        </w:rPr>
      </w:pPr>
      <w:r>
        <w:rPr>
          <w:rFonts w:ascii="Arial" w:cs="Arial" w:eastAsia="Arial" w:hAnsi="Arial"/>
          <w:sz w:val="16"/>
          <w:szCs w:val="16"/>
          <w:color w:val="auto"/>
        </w:rPr>
        <w:t>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199" w:lineRule="exact"/>
        <w:rPr>
          <w:rFonts w:ascii="Arial" w:cs="Arial" w:eastAsia="Arial" w:hAnsi="Arial"/>
          <w:sz w:val="15"/>
          <w:szCs w:val="15"/>
          <w:color w:val="auto"/>
        </w:rPr>
      </w:pPr>
    </w:p>
    <w:p>
      <w:pPr>
        <w:ind w:firstLine="800"/>
        <w:spacing w:after="0" w:line="268" w:lineRule="auto"/>
        <w:tabs>
          <w:tab w:leader="none" w:pos="1171"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Incurred in Enforcing Rights</w:t>
      </w:r>
      <w:r>
        <w:rPr>
          <w:rFonts w:ascii="Arial" w:cs="Arial" w:eastAsia="Arial" w:hAnsi="Arial"/>
          <w:sz w:val="18"/>
          <w:szCs w:val="18"/>
          <w:color w:val="auto"/>
        </w:rPr>
        <w:t>. The Company shall indemnify Indemnitee against any and all Expenses that are incurred by Indemnitee in connection with any action brought by Indemnitee for</w:t>
      </w:r>
    </w:p>
    <w:p>
      <w:pPr>
        <w:spacing w:after="0" w:line="212" w:lineRule="exact"/>
        <w:rPr>
          <w:rFonts w:ascii="Arial" w:cs="Arial" w:eastAsia="Arial" w:hAnsi="Arial"/>
          <w:sz w:val="18"/>
          <w:szCs w:val="18"/>
          <w:color w:val="auto"/>
        </w:rPr>
      </w:pPr>
    </w:p>
    <w:p>
      <w:pPr>
        <w:jc w:val="both"/>
        <w:ind w:left="1280" w:firstLine="2113"/>
        <w:spacing w:after="0" w:line="259" w:lineRule="auto"/>
        <w:tabs>
          <w:tab w:leader="none" w:pos="3782" w:val="left"/>
        </w:tabs>
        <w:numPr>
          <w:ilvl w:val="3"/>
          <w:numId w:val="39"/>
        </w:numPr>
        <w:rPr>
          <w:rFonts w:ascii="Arial" w:cs="Arial" w:eastAsia="Arial" w:hAnsi="Arial"/>
          <w:sz w:val="18"/>
          <w:szCs w:val="18"/>
          <w:color w:val="auto"/>
        </w:rPr>
      </w:pPr>
      <w:r>
        <w:rPr>
          <w:rFonts w:ascii="Arial" w:cs="Arial" w:eastAsia="Arial" w:hAnsi="Arial"/>
          <w:sz w:val="18"/>
          <w:szCs w:val="18"/>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234" w:lineRule="exact"/>
        <w:rPr>
          <w:rFonts w:ascii="Arial" w:cs="Arial" w:eastAsia="Arial" w:hAnsi="Arial"/>
          <w:sz w:val="18"/>
          <w:szCs w:val="18"/>
          <w:color w:val="auto"/>
        </w:rPr>
      </w:pPr>
    </w:p>
    <w:p>
      <w:pPr>
        <w:jc w:val="both"/>
        <w:ind w:left="1280" w:firstLine="2113"/>
        <w:spacing w:after="0" w:line="256" w:lineRule="auto"/>
        <w:tabs>
          <w:tab w:leader="none" w:pos="3817" w:val="left"/>
        </w:tabs>
        <w:numPr>
          <w:ilvl w:val="3"/>
          <w:numId w:val="39"/>
        </w:numPr>
        <w:rPr>
          <w:rFonts w:ascii="Arial" w:cs="Arial" w:eastAsia="Arial" w:hAnsi="Arial"/>
          <w:sz w:val="18"/>
          <w:szCs w:val="18"/>
          <w:color w:val="auto"/>
        </w:rPr>
      </w:pPr>
      <w:r>
        <w:rPr>
          <w:rFonts w:ascii="Arial" w:cs="Arial" w:eastAsia="Arial" w:hAnsi="Arial"/>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197" w:lineRule="exact"/>
        <w:rPr>
          <w:rFonts w:ascii="Arial" w:cs="Arial" w:eastAsia="Arial" w:hAnsi="Arial"/>
          <w:sz w:val="18"/>
          <w:szCs w:val="18"/>
          <w:color w:val="auto"/>
        </w:rPr>
      </w:pPr>
    </w:p>
    <w:p>
      <w:pPr>
        <w:ind w:left="800" w:hanging="162"/>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Proceeding</w:t>
      </w:r>
      <w:r>
        <w:rPr>
          <w:rFonts w:ascii="Arial" w:cs="Arial" w:eastAsia="Arial" w:hAnsi="Arial"/>
          <w:sz w:val="18"/>
          <w:szCs w:val="18"/>
          <w:color w:val="auto"/>
        </w:rPr>
        <w:t>.</w:t>
      </w:r>
    </w:p>
    <w:p>
      <w:pPr>
        <w:spacing w:after="0" w:line="319" w:lineRule="exact"/>
        <w:rPr>
          <w:rFonts w:ascii="Arial" w:cs="Arial" w:eastAsia="Arial" w:hAnsi="Arial"/>
          <w:sz w:val="18"/>
          <w:szCs w:val="18"/>
          <w:color w:val="auto"/>
        </w:rPr>
      </w:pPr>
    </w:p>
    <w:p>
      <w:pPr>
        <w:jc w:val="both"/>
        <w:ind w:firstLine="1449"/>
        <w:spacing w:after="0" w:line="259" w:lineRule="auto"/>
        <w:tabs>
          <w:tab w:leader="none" w:pos="1883" w:val="left"/>
        </w:tabs>
        <w:numPr>
          <w:ilvl w:val="2"/>
          <w:numId w:val="4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221" w:lineRule="exact"/>
        <w:rPr>
          <w:rFonts w:ascii="Arial" w:cs="Arial" w:eastAsia="Arial" w:hAnsi="Arial"/>
          <w:sz w:val="18"/>
          <w:szCs w:val="18"/>
          <w:color w:val="auto"/>
        </w:rPr>
      </w:pPr>
    </w:p>
    <w:p>
      <w:pPr>
        <w:jc w:val="both"/>
        <w:ind w:firstLine="1449"/>
        <w:spacing w:after="0" w:line="306" w:lineRule="auto"/>
        <w:tabs>
          <w:tab w:leader="none" w:pos="1879" w:val="left"/>
        </w:tabs>
        <w:numPr>
          <w:ilvl w:val="2"/>
          <w:numId w:val="40"/>
        </w:numPr>
        <w:rPr>
          <w:rFonts w:ascii="Arial" w:cs="Arial" w:eastAsia="Arial" w:hAnsi="Arial"/>
          <w:sz w:val="15"/>
          <w:szCs w:val="15"/>
          <w:color w:val="auto"/>
        </w:rPr>
      </w:pPr>
      <w:r>
        <w:rPr>
          <w:rFonts w:ascii="Arial" w:cs="Arial" w:eastAsia="Arial" w:hAnsi="Arial"/>
          <w:sz w:val="15"/>
          <w:szCs w:val="15"/>
          <w:u w:val="single" w:color="auto"/>
          <w:color w:val="auto"/>
        </w:rPr>
        <w:t>Defense</w:t>
      </w:r>
      <w:r>
        <w:rPr>
          <w:rFonts w:ascii="Arial" w:cs="Arial" w:eastAsia="Arial" w:hAnsi="Arial"/>
          <w:sz w:val="15"/>
          <w:szCs w:val="15"/>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38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955" w:right="239" w:bottom="1440" w:gutter="0" w:footer="0" w:header="0"/>
        </w:sectPr>
      </w:pPr>
    </w:p>
    <w:bookmarkStart w:id="78" w:name="page79"/>
    <w:bookmarkEnd w:id="78"/>
    <w:p>
      <w:pPr>
        <w:jc w:val="both"/>
        <w:ind w:firstLine="1449"/>
        <w:spacing w:after="0" w:line="289" w:lineRule="auto"/>
        <w:tabs>
          <w:tab w:leader="none" w:pos="1869"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Settlement of Claims</w:t>
      </w:r>
      <w:r>
        <w:rPr>
          <w:rFonts w:ascii="Arial" w:cs="Arial" w:eastAsia="Arial" w:hAnsi="Arial"/>
          <w:sz w:val="16"/>
          <w:szCs w:val="16"/>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212" w:lineRule="exact"/>
        <w:rPr>
          <w:rFonts w:ascii="Arial" w:cs="Arial" w:eastAsia="Arial" w:hAnsi="Arial"/>
          <w:sz w:val="16"/>
          <w:szCs w:val="16"/>
          <w:color w:val="auto"/>
        </w:rPr>
      </w:pPr>
    </w:p>
    <w:p>
      <w:pPr>
        <w:jc w:val="both"/>
        <w:ind w:firstLine="800"/>
        <w:spacing w:after="0" w:line="285" w:lineRule="auto"/>
        <w:tabs>
          <w:tab w:leader="none" w:pos="1171"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204" w:lineRule="exact"/>
        <w:rPr>
          <w:rFonts w:ascii="Arial" w:cs="Arial" w:eastAsia="Arial" w:hAnsi="Arial"/>
          <w:sz w:val="16"/>
          <w:szCs w:val="16"/>
          <w:color w:val="auto"/>
        </w:rPr>
      </w:pPr>
    </w:p>
    <w:p>
      <w:pPr>
        <w:jc w:val="both"/>
        <w:ind w:firstLine="800"/>
        <w:spacing w:after="0" w:line="298" w:lineRule="auto"/>
        <w:tabs>
          <w:tab w:leader="none" w:pos="118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Non-Exclusivity</w:t>
      </w:r>
      <w:r>
        <w:rPr>
          <w:rFonts w:ascii="Arial" w:cs="Arial" w:eastAsia="Arial" w:hAnsi="Arial"/>
          <w:sz w:val="16"/>
          <w:szCs w:val="16"/>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193" w:lineRule="exact"/>
        <w:rPr>
          <w:rFonts w:ascii="Arial" w:cs="Arial" w:eastAsia="Arial" w:hAnsi="Arial"/>
          <w:sz w:val="16"/>
          <w:szCs w:val="16"/>
          <w:color w:val="auto"/>
        </w:rPr>
      </w:pPr>
    </w:p>
    <w:p>
      <w:pPr>
        <w:jc w:val="both"/>
        <w:ind w:firstLine="800"/>
        <w:spacing w:after="0" w:line="259" w:lineRule="auto"/>
        <w:tabs>
          <w:tab w:leader="none" w:pos="115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234" w:lineRule="exact"/>
        <w:rPr>
          <w:rFonts w:ascii="Arial" w:cs="Arial" w:eastAsia="Arial" w:hAnsi="Arial"/>
          <w:sz w:val="18"/>
          <w:szCs w:val="18"/>
          <w:color w:val="auto"/>
        </w:rPr>
      </w:pPr>
    </w:p>
    <w:p>
      <w:pPr>
        <w:jc w:val="both"/>
        <w:ind w:firstLine="800"/>
        <w:spacing w:after="0" w:line="294" w:lineRule="auto"/>
        <w:tabs>
          <w:tab w:leader="none" w:pos="1259"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200" w:lineRule="exact"/>
        <w:rPr>
          <w:sz w:val="20"/>
          <w:szCs w:val="20"/>
          <w:color w:val="auto"/>
        </w:rPr>
      </w:pPr>
    </w:p>
    <w:p>
      <w:pPr>
        <w:spacing w:after="0" w:line="21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590" w:right="239" w:bottom="1440" w:gutter="0" w:footer="0" w:header="0"/>
        </w:sectPr>
      </w:pPr>
    </w:p>
    <w:bookmarkStart w:id="79" w:name="page80"/>
    <w:bookmarkEnd w:id="79"/>
    <w:p>
      <w:pPr>
        <w:jc w:val="both"/>
        <w:ind w:firstLine="800"/>
        <w:spacing w:after="0" w:line="290" w:lineRule="auto"/>
        <w:tabs>
          <w:tab w:leader="none" w:pos="123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Amendment of this Agreement</w:t>
      </w:r>
      <w:r>
        <w:rPr>
          <w:rFonts w:ascii="Arial" w:cs="Arial" w:eastAsia="Arial" w:hAnsi="Arial"/>
          <w:sz w:val="16"/>
          <w:szCs w:val="16"/>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r>
        <w:rPr>
          <w:rFonts w:ascii="Arial" w:cs="Arial" w:eastAsia="Arial" w:hAnsi="Arial"/>
          <w:sz w:val="16"/>
          <w:szCs w:val="16"/>
          <w:u w:val="single" w:color="auto"/>
          <w:color w:val="auto"/>
        </w:rPr>
        <w:t>Subrogation</w:t>
      </w:r>
      <w:r>
        <w:rPr>
          <w:rFonts w:ascii="Arial" w:cs="Arial" w:eastAsia="Arial" w:hAnsi="Arial"/>
          <w:sz w:val="16"/>
          <w:szCs w:val="16"/>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99" w:lineRule="exact"/>
        <w:rPr>
          <w:rFonts w:ascii="Arial" w:cs="Arial" w:eastAsia="Arial" w:hAnsi="Arial"/>
          <w:sz w:val="16"/>
          <w:szCs w:val="16"/>
          <w:color w:val="auto"/>
        </w:rPr>
      </w:pPr>
    </w:p>
    <w:p>
      <w:pPr>
        <w:jc w:val="both"/>
        <w:ind w:firstLine="800"/>
        <w:spacing w:after="0" w:line="259" w:lineRule="auto"/>
        <w:tabs>
          <w:tab w:leader="none" w:pos="124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221" w:lineRule="exact"/>
        <w:rPr>
          <w:rFonts w:ascii="Arial" w:cs="Arial" w:eastAsia="Arial" w:hAnsi="Arial"/>
          <w:sz w:val="18"/>
          <w:szCs w:val="18"/>
          <w:color w:val="auto"/>
        </w:rPr>
      </w:pPr>
    </w:p>
    <w:p>
      <w:pPr>
        <w:jc w:val="both"/>
        <w:ind w:firstLine="800"/>
        <w:spacing w:after="0" w:line="289" w:lineRule="auto"/>
        <w:tabs>
          <w:tab w:leader="none" w:pos="124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199" w:lineRule="exact"/>
        <w:rPr>
          <w:rFonts w:ascii="Arial" w:cs="Arial" w:eastAsia="Arial" w:hAnsi="Arial"/>
          <w:sz w:val="16"/>
          <w:szCs w:val="16"/>
          <w:color w:val="auto"/>
        </w:rPr>
      </w:pPr>
    </w:p>
    <w:p>
      <w:pPr>
        <w:jc w:val="both"/>
        <w:ind w:firstLine="800"/>
        <w:spacing w:after="0" w:line="255" w:lineRule="auto"/>
        <w:tabs>
          <w:tab w:leader="none" w:pos="124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23" w:lineRule="exact"/>
        <w:rPr>
          <w:rFonts w:ascii="Arial" w:cs="Arial" w:eastAsia="Arial" w:hAnsi="Arial"/>
          <w:sz w:val="18"/>
          <w:szCs w:val="18"/>
          <w:color w:val="auto"/>
        </w:rPr>
      </w:pPr>
    </w:p>
    <w:p>
      <w:pPr>
        <w:ind w:firstLine="800"/>
        <w:spacing w:after="0" w:line="268" w:lineRule="auto"/>
        <w:tabs>
          <w:tab w:leader="none" w:pos="125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212" w:lineRule="exact"/>
        <w:rPr>
          <w:rFonts w:ascii="Arial" w:cs="Arial" w:eastAsia="Arial" w:hAnsi="Arial"/>
          <w:sz w:val="18"/>
          <w:szCs w:val="18"/>
          <w:color w:val="auto"/>
        </w:rPr>
      </w:pPr>
    </w:p>
    <w:p>
      <w:pPr>
        <w:jc w:val="both"/>
        <w:ind w:firstLine="800"/>
        <w:spacing w:after="0" w:line="259" w:lineRule="auto"/>
        <w:tabs>
          <w:tab w:leader="none" w:pos="124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20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South San Francisco, CA 94080 Attention: CEO</w:t>
      </w:r>
    </w:p>
    <w:p>
      <w:pPr>
        <w:spacing w:after="0" w:line="23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 to Indemnitee at: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Mark A. Smith, M.D., Ph.D.</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11 Gomer Court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Elkton, MD 21921</w:t>
      </w:r>
    </w:p>
    <w:p>
      <w:pPr>
        <w:spacing w:after="0" w:line="273"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200" w:lineRule="exact"/>
        <w:rPr>
          <w:sz w:val="20"/>
          <w:szCs w:val="20"/>
          <w:color w:val="auto"/>
        </w:rPr>
      </w:pP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71" w:right="239" w:bottom="1440" w:gutter="0" w:footer="0" w:header="0"/>
        </w:sectPr>
      </w:pPr>
    </w:p>
    <w:bookmarkStart w:id="80" w:name="page81"/>
    <w:bookmarkEnd w:id="80"/>
    <w:p>
      <w:pPr>
        <w:spacing w:after="0"/>
        <w:rPr>
          <w:sz w:val="20"/>
          <w:szCs w:val="20"/>
          <w:color w:val="auto"/>
        </w:rPr>
      </w:pPr>
      <w:r>
        <w:rPr>
          <w:rFonts w:ascii="Arial" w:cs="Arial" w:eastAsia="Arial" w:hAnsi="Arial"/>
          <w:sz w:val="15"/>
          <w:szCs w:val="15"/>
          <w:color w:val="auto"/>
        </w:rPr>
        <w:t>IN WITNESS WHEREOF, the parties hereto have duly executed and delivered this Agreement as of the day specified above.</w:t>
      </w:r>
    </w:p>
    <w:p>
      <w:pPr>
        <w:sectPr>
          <w:pgSz w:w="11900" w:h="16838" w:orient="portrait"/>
          <w:cols w:equalWidth="0" w:num="1">
            <w:col w:w="9399"/>
          </w:cols>
          <w:pgMar w:left="1060" w:top="779"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VISTAGEN THERAPEUTICS, INC.</w:t>
      </w:r>
    </w:p>
    <w:p>
      <w:pPr>
        <w:spacing w:after="0" w:line="23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7"/>
          <w:szCs w:val="17"/>
          <w:u w:val="single" w:color="auto"/>
          <w:color w:val="auto"/>
        </w:rPr>
        <w:t>/s/ Shawn Singh</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Shawn Singh</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8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MARK A. SMITH, M.D., Ph.D.</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/s/ Mark A. Smith</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399"/>
          </w:cols>
          <w:pgMar w:left="1060" w:top="779" w:right="1440"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4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300" w:hanging="644"/>
        <w:spacing w:after="0" w:line="332" w:lineRule="auto"/>
        <w:tabs>
          <w:tab w:leader="none" w:pos="152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300" w:hanging="644"/>
        <w:spacing w:after="0" w:line="259" w:lineRule="auto"/>
        <w:tabs>
          <w:tab w:leader="none" w:pos="133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300" w:hanging="644"/>
        <w:spacing w:after="0" w:line="332" w:lineRule="auto"/>
        <w:tabs>
          <w:tab w:leader="none" w:pos="1296"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300" w:hanging="644"/>
        <w:spacing w:after="0" w:line="268" w:lineRule="auto"/>
        <w:tabs>
          <w:tab w:leader="none" w:pos="12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20"/>
                <w:szCs w:val="20"/>
                <w:color w:val="auto"/>
              </w:rPr>
            </w:pPr>
            <w:r>
              <w:rPr>
                <w:rFonts w:ascii="Arial" w:cs="Arial" w:eastAsia="Arial" w:hAnsi="Arial"/>
                <w:sz w:val="18"/>
                <w:szCs w:val="18"/>
                <w:color w:val="auto"/>
              </w:rPr>
              <w:t>November 14, 2016</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Shawn K. Singh</w:t>
            </w:r>
          </w:p>
        </w:tc>
        <w:tc>
          <w:tcPr>
            <w:tcW w:w="2920" w:type="dxa"/>
            <w:vAlign w:val="bottom"/>
          </w:tcPr>
          <w:p>
            <w:pPr>
              <w:spacing w:after="0"/>
              <w:rPr>
                <w:sz w:val="18"/>
                <w:szCs w:val="18"/>
                <w:color w:val="auto"/>
              </w:rPr>
            </w:pPr>
          </w:p>
        </w:tc>
      </w:tr>
      <w:tr>
        <w:trPr>
          <w:trHeight w:val="228"/>
        </w:trPr>
        <w:tc>
          <w:tcPr>
            <w:tcW w:w="71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71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846"/>
        </w:trPr>
        <w:tc>
          <w:tcPr>
            <w:tcW w:w="7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4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300" w:hanging="644"/>
        <w:spacing w:after="0" w:line="332" w:lineRule="auto"/>
        <w:tabs>
          <w:tab w:leader="none" w:pos="152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300" w:hanging="644"/>
        <w:spacing w:after="0" w:line="259" w:lineRule="auto"/>
        <w:tabs>
          <w:tab w:leader="none" w:pos="133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300" w:right="100" w:hanging="644"/>
        <w:spacing w:after="0" w:line="332" w:lineRule="auto"/>
        <w:tabs>
          <w:tab w:leader="none" w:pos="1261"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300" w:right="40" w:hanging="644"/>
        <w:spacing w:after="0" w:line="268" w:lineRule="auto"/>
        <w:tabs>
          <w:tab w:leader="none" w:pos="12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20"/>
                <w:szCs w:val="20"/>
                <w:color w:val="auto"/>
              </w:rPr>
            </w:pPr>
            <w:r>
              <w:rPr>
                <w:rFonts w:ascii="Arial" w:cs="Arial" w:eastAsia="Arial" w:hAnsi="Arial"/>
                <w:sz w:val="18"/>
                <w:szCs w:val="18"/>
                <w:color w:val="auto"/>
              </w:rPr>
              <w:t>November 14, 2016</w:t>
            </w:r>
          </w:p>
        </w:tc>
        <w:tc>
          <w:tcPr>
            <w:tcW w:w="4280" w:type="dxa"/>
            <w:vAlign w:val="bottom"/>
            <w:gridSpan w:val="2"/>
          </w:tcPr>
          <w:p>
            <w:pPr>
              <w:spacing w:after="0"/>
              <w:rPr>
                <w:sz w:val="20"/>
                <w:szCs w:val="20"/>
                <w:color w:val="auto"/>
              </w:rPr>
            </w:pPr>
            <w:r>
              <w:rPr>
                <w:rFonts w:ascii="Arial" w:cs="Arial" w:eastAsia="Arial" w:hAnsi="Arial"/>
                <w:sz w:val="18"/>
                <w:szCs w:val="18"/>
                <w:color w:val="auto"/>
              </w:rPr>
              <w:t>/s/ Jerrold D. Dotson</w:t>
            </w:r>
          </w:p>
        </w:tc>
      </w:tr>
      <w:tr>
        <w:trPr>
          <w:trHeight w:val="228"/>
        </w:trPr>
        <w:tc>
          <w:tcPr>
            <w:tcW w:w="714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Jerrold D. Dotson</w:t>
            </w:r>
          </w:p>
        </w:tc>
        <w:tc>
          <w:tcPr>
            <w:tcW w:w="2820" w:type="dxa"/>
            <w:vAlign w:val="bottom"/>
          </w:tcPr>
          <w:p>
            <w:pPr>
              <w:spacing w:after="0"/>
              <w:rPr>
                <w:sz w:val="19"/>
                <w:szCs w:val="19"/>
                <w:color w:val="auto"/>
              </w:rPr>
            </w:pPr>
          </w:p>
        </w:tc>
      </w:tr>
      <w:tr>
        <w:trPr>
          <w:trHeight w:val="222"/>
        </w:trPr>
        <w:tc>
          <w:tcPr>
            <w:tcW w:w="71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860"/>
        </w:trPr>
        <w:tc>
          <w:tcPr>
            <w:tcW w:w="7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September 30, 2016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upperLetter"/>
      <w:start w:val="2"/>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lowerRoman"/>
      <w:start w:val="1"/>
    </w:lvl>
  </w:abstractNum>
  <w:abstractNum w:abstractNumId="24">
    <w:nsid w:val="440BADFC"/>
    <w:multiLevelType w:val="hybridMultilevel"/>
    <w:lvl w:ilvl="0">
      <w:lvlJc w:val="left"/>
      <w:lvlText w:val="%1"/>
      <w:numFmt w:val="decimal"/>
      <w:start w:val="32"/>
    </w:lvl>
  </w:abstractNum>
  <w:abstractNum w:abstractNumId="25">
    <w:nsid w:val="5072367"/>
    <w:multiLevelType w:val="hybridMultilevel"/>
    <w:lvl w:ilvl="0">
      <w:lvlJc w:val="left"/>
      <w:lvlText w:val="%1."/>
      <w:numFmt w:val="upperLetter"/>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4"/>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decimal"/>
      <w:start w:val="6"/>
    </w:lvl>
  </w:abstractNum>
  <w:abstractNum w:abstractNumId="30">
    <w:nsid w:val="2463B9EA"/>
    <w:multiLevelType w:val="hybridMultilevel"/>
    <w:lvl w:ilvl="0">
      <w:lvlJc w:val="left"/>
      <w:lvlText w:val="%1."/>
      <w:numFmt w:val="decimal"/>
      <w:start w:val="1"/>
    </w:lvl>
    <w:lvl w:ilvl="1">
      <w:lvlJc w:val="left"/>
      <w:lvlText w:val="(%2)"/>
      <w:numFmt w:val="lowerLetter"/>
      <w:start w:val="1"/>
    </w:lvl>
  </w:abstractNum>
  <w:abstractNum w:abstractNumId="31">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2">
    <w:nsid w:val="51EAD36B"/>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33">
    <w:nsid w:val="2D51779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4">
    <w:nsid w:val="580BD78F"/>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5">
    <w:nsid w:val="153EA43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6">
    <w:nsid w:val="3855585C"/>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37">
    <w:nsid w:val="70A64E2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38">
    <w:nsid w:val="6A2342EC"/>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39">
    <w:nsid w:val="2A487CB0"/>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0">
    <w:nsid w:val="1D4ED43B"/>
    <w:multiLevelType w:val="hybridMultilevel"/>
    <w:lvl w:ilvl="0">
      <w:lvlJc w:val="left"/>
      <w:lvlText w:val="%1"/>
      <w:numFmt w:val="decimal"/>
      <w:start w:val="1"/>
    </w:lvl>
    <w:lvl w:ilvl="1">
      <w:lvlJc w:val="left"/>
      <w:lvlText w:val="(%2)"/>
      <w:numFmt w:val="lowerLetter"/>
      <w:start w:val="3"/>
    </w:lvl>
  </w:abstractNum>
  <w:abstractNum w:abstractNumId="41">
    <w:nsid w:val="725A06FB"/>
    <w:multiLevelType w:val="hybridMultilevel"/>
    <w:lvl w:ilvl="0">
      <w:lvlJc w:val="left"/>
      <w:lvlText w:val="%1."/>
      <w:numFmt w:val="decimal"/>
      <w:start w:val="7"/>
    </w:lvl>
    <w:lvl w:ilvl="1">
      <w:lvlJc w:val="left"/>
      <w:lvlText w:val="%2"/>
      <w:numFmt w:val="lowerLetter"/>
      <w:start w:val="1"/>
    </w:lvl>
  </w:abstractNum>
  <w:abstractNum w:abstractNumId="42">
    <w:nsid w:val="2CD89A32"/>
    <w:multiLevelType w:val="hybridMultilevel"/>
    <w:lvl w:ilvl="0">
      <w:lvlJc w:val="left"/>
      <w:lvlText w:val="%1."/>
      <w:numFmt w:val="decimal"/>
      <w:start w:val="1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2020-01-21T19:11:22Z</dcterms:created>
  <dcterms:modified xsi:type="dcterms:W3CDTF">2020-01-21T19:11:22Z</dcterms:modified>
</cp:coreProperties>
</file>