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COMMODORE CAPITAL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444 MADISON AVENUE</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Vistagen Therapeutics, Inc.</w:t>
              </w:r>
            </w:hyperlink>
            <w:r>
              <w:rPr/>
              <w:t xml:space="preserve"> [ </w:t>
            </w:r>
            <w:r>
              <w:rPr>
                <w:rFonts w:ascii="Times;serif" w:hAnsi="Times;serif"/>
                <w:color w:val="0000FF"/>
                <w:sz w:val="24"/>
                <w:shd w:fill="FFFFFF" w:val="clear"/>
              </w:rPr>
              <w:t>VTGN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41"/>
        <w:gridCol w:w="923"/>
        <w:gridCol w:w="794"/>
        <w:gridCol w:w="613"/>
        <w:gridCol w:w="333"/>
        <w:gridCol w:w="995"/>
        <w:gridCol w:w="397"/>
        <w:gridCol w:w="897"/>
        <w:gridCol w:w="1223"/>
        <w:gridCol w:w="939"/>
        <w:gridCol w:w="135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4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4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5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4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08/07/2023</w:t>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775,756</w:t>
            </w:r>
          </w:p>
        </w:tc>
        <w:tc>
          <w:tcPr>
            <w:tcW w:w="3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23.153</w:t>
            </w:r>
            <w:r>
              <w:rPr>
                <w:rFonts w:ascii="Times;serif" w:hAnsi="Times;serif"/>
                <w:color w:val="008000"/>
                <w:position w:val="7"/>
                <w:sz w:val="16"/>
                <w:sz w:val="20"/>
                <w:shd w:fill="FFFFFF" w:val="clear"/>
              </w:rPr>
              <w:t>(1)</w:t>
            </w:r>
            <w:r>
              <w:rPr/>
              <w:t xml:space="preserve"> </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1,575,000</w:t>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Commodore Capital Master LP</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$16.00 to $25.00 per share, inclusive. The Reporting Person undertakes to provide to Issuer, any security holder of Issuer, or the staff of the Securities and Exchange Commission, upon request, full information regarding the number of shares purchased at each separate price within the ranges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held directly by Commodore Capital Master LP ("Commodore Master"). Commodore Capital LP ("Commodore Capital") is the investment manager to Commodore Master. Michael Kramarz and Robert Egen Atkinson are the managing partners of Commodore Capital and exercise investment and dispositive power over the securities held by Commodore Master. Each of Commodore Capital, Dr. Kramarz and Dr. Atkinson disclaim beneficial ownership of such securities, except to the extent of their pecuniary interest therein. This report shall not be deemed an admission that Commodore Capital, Commodore Master, Dr. Kramarz and Dr. Atkinson or any other person is the beneficial owner of the securities reported herein for purposes of Section 16 of the Securities Exchange Act of 1934, as amended,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Kramarz, Managing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08/09/2023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31942" TargetMode="External"/><Relationship Id="rId4" Type="http://schemas.openxmlformats.org/officeDocument/2006/relationships/hyperlink" Target="http://www.sec.gov/cgi-bin/browse-edgar?action=getcompany&amp;CIK=000141168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756</Words>
  <Characters>4144</Characters>
  <CharactersWithSpaces>4838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