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vista8k_june272013.htm"/>
      <w:bookmarkStart w:id="1" w:name="ksvista8k_june272013"/>
      <w:bookmarkStart w:id="2" w:name="vista8k_june272013.htm"/>
      <w:bookmarkStart w:id="3" w:name="ksvista8k_june272013"/>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32"/>
        </w:rPr>
      </w:pPr>
      <w:r>
        <w:rPr>
          <w:rFonts w:ascii="Times New Roman" w:hAnsi="Times New Roman"/>
          <w:b/>
          <w:sz w:val="32"/>
        </w:rPr>
        <w:t>FORM 8-K</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Exchange Act of 1934</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Date of report (Date of earliest event reported):  </w:t>
      </w:r>
      <w:r>
        <w:rPr>
          <w:rFonts w:ascii="Times New Roman" w:hAnsi="Times New Roman"/>
          <w:sz w:val="20"/>
          <w:u w:val="single"/>
        </w:rPr>
        <w:t>June 27, 2013</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Commission File Number:  </w:t>
      </w:r>
      <w:r>
        <w:rPr>
          <w:rFonts w:ascii="Times New Roman" w:hAnsi="Times New Roman"/>
          <w:sz w:val="20"/>
          <w:u w:val="single"/>
        </w:rPr>
        <w:t>000-54014</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36"/>
        </w:rPr>
      </w:pPr>
      <w:r>
        <w:rPr>
          <w:rFonts w:ascii="Times New Roman" w:hAnsi="Times New Roman"/>
          <w:b/>
          <w:sz w:val="36"/>
        </w:rPr>
        <w:t>VistaGen Therapeutics,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small business issuer as specified in its charter)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Nevada</w:t>
      </w:r>
    </w:p>
    <w:p>
      <w:pPr>
        <w:pStyle w:val="TextBody"/>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20-5093315</w:t>
      </w:r>
    </w:p>
    <w:p>
      <w:pPr>
        <w:pStyle w:val="TextBody"/>
        <w:spacing w:before="0" w:after="0"/>
        <w:ind w:left="0" w:right="0" w:hanging="0"/>
        <w:jc w:val="center"/>
        <w:rPr>
          <w:rFonts w:ascii="Times New Roman" w:hAnsi="Times New Roman"/>
          <w:sz w:val="20"/>
        </w:rPr>
      </w:pPr>
      <w:r>
        <w:rPr>
          <w:rFonts w:ascii="Times New Roman" w:hAnsi="Times New Roman"/>
          <w:sz w:val="20"/>
        </w:rPr>
        <w:t>(IRS Employer Identification No.)</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384 Oyster Point Blvd, No. 8, South San Francisco, California 94080</w:t>
      </w:r>
    </w:p>
    <w:p>
      <w:pPr>
        <w:pStyle w:val="TextBody"/>
        <w:spacing w:before="0" w:after="0"/>
        <w:ind w:left="0" w:right="0" w:hanging="0"/>
        <w:jc w:val="center"/>
        <w:rPr>
          <w:rFonts w:ascii="Times New Roman" w:hAnsi="Times New Roman"/>
          <w:sz w:val="20"/>
        </w:rPr>
      </w:pPr>
      <w:r>
        <w:rPr>
          <w:rFonts w:ascii="Times New Roman" w:hAnsi="Times New Roman"/>
          <w:sz w:val="20"/>
        </w:rPr>
        <w:t>(Address of principal executive offices)</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650-244-9990</w:t>
      </w:r>
    </w:p>
    <w:p>
      <w:pPr>
        <w:pStyle w:val="TextBody"/>
        <w:spacing w:before="0" w:after="0"/>
        <w:ind w:left="0" w:right="0" w:hanging="0"/>
        <w:jc w:val="center"/>
        <w:rPr>
          <w:rFonts w:ascii="Times New Roman" w:hAnsi="Times New Roman"/>
          <w:sz w:val="20"/>
        </w:rPr>
      </w:pPr>
      <w:r>
        <w:rPr>
          <w:rFonts w:ascii="Times New Roman" w:hAnsi="Times New Roman"/>
          <w:sz w:val="20"/>
        </w:rPr>
        <w:t>(Registrant's Telephone number)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Not Applicable</w:t>
      </w:r>
    </w:p>
    <w:p>
      <w:pPr>
        <w:pStyle w:val="TextBody"/>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 Written communications pursuant to Rule 425 under the Securities Act (17 CFR 230.425)</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 Soliciting material pursuant to Rule 14a-12 under the Exchange Act (17 CFR 240.14a-12)</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 Pre-commencement communications pursuant to Rule 14d-2(b) under the Exchange Act (17 CFR 240.14d-2(b))</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 Pre-commencement communications pursuant to Rule 13e-4(c) under the Exchange Act (17 CFR 240.13e-4(c))</w:t>
      </w:r>
    </w:p>
    <w:p>
      <w:pPr>
        <w:pStyle w:val="TextBody"/>
        <w:spacing w:before="0" w:after="0"/>
        <w:ind w:left="0" w:right="0" w:hanging="0"/>
        <w:jc w:val="left"/>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6" w:space="0" w:color="808080"/>
        </w:pBdr>
        <w:rPr/>
      </w:pPr>
      <w:r>
        <w:rPr/>
      </w:r>
    </w:p>
    <w:p>
      <w:pPr>
        <w:pStyle w:val="HorizontalLine"/>
        <w:pBdr>
          <w:bottom w:val="single" w:sz="24" w:space="0" w:color="808080"/>
        </w:pBdr>
        <w:rPr/>
      </w:pPr>
      <w:r>
        <w:rPr/>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1.01                      Entry into a Material Definitive Agreement.</w:t>
      </w:r>
    </w:p>
    <w:p>
      <w:pPr>
        <w:pStyle w:val="TextBody"/>
        <w:spacing w:before="0" w:after="0"/>
        <w:ind w:left="0" w:right="0" w:hanging="0"/>
        <w:jc w:val="left"/>
        <w:rPr>
          <w:b/>
        </w:rPr>
      </w:pPr>
      <w:r>
        <w:rPr>
          <w:b/>
        </w:rPr>
      </w:r>
    </w:p>
    <w:p>
      <w:pPr>
        <w:pStyle w:val="TextBody"/>
        <w:spacing w:before="0" w:after="0"/>
        <w:ind w:left="720" w:right="0" w:hanging="0"/>
        <w:jc w:val="both"/>
        <w:rPr>
          <w:rFonts w:ascii="Times New Roman" w:hAnsi="Times New Roman"/>
          <w:b w:val="false"/>
          <w:sz w:val="20"/>
        </w:rPr>
      </w:pPr>
      <w:bookmarkStart w:id="4" w:name="TAB1"/>
      <w:bookmarkEnd w:id="4"/>
      <w:r>
        <w:rPr>
          <w:rFonts w:ascii="Times New Roman" w:hAnsi="Times New Roman"/>
          <w:b w:val="false"/>
          <w:sz w:val="20"/>
        </w:rPr>
        <w:t>On June 27, 2013, VistaGen Therapeutics, Inc. (the “</w:t>
      </w:r>
      <w:r>
        <w:rPr>
          <w:rFonts w:ascii="Times New Roman" w:hAnsi="Times New Roman"/>
          <w:b w:val="false"/>
          <w:i/>
          <w:sz w:val="20"/>
        </w:rPr>
        <w:t>Company</w:t>
      </w:r>
      <w:r>
        <w:rPr>
          <w:rFonts w:ascii="Times New Roman" w:hAnsi="Times New Roman"/>
          <w:b w:val="false"/>
          <w:sz w:val="20"/>
        </w:rPr>
        <w:t>”), Autilion AG, a company organized and existing under the laws of Switzerland (“</w:t>
      </w:r>
      <w:r>
        <w:rPr>
          <w:rFonts w:ascii="Times New Roman" w:hAnsi="Times New Roman"/>
          <w:b w:val="false"/>
          <w:i/>
          <w:sz w:val="20"/>
        </w:rPr>
        <w:t>Autilion</w:t>
      </w:r>
      <w:r>
        <w:rPr>
          <w:rFonts w:ascii="Times New Roman" w:hAnsi="Times New Roman"/>
          <w:b w:val="false"/>
          <w:sz w:val="20"/>
        </w:rPr>
        <w:t>”), and Bergamo Acquisition Corp. PTE LTD, a company organized and existing under the laws of Singapore (“</w:t>
      </w:r>
      <w:r>
        <w:rPr>
          <w:rFonts w:ascii="Times New Roman" w:hAnsi="Times New Roman"/>
          <w:b w:val="false"/>
          <w:i/>
          <w:sz w:val="20"/>
        </w:rPr>
        <w:t>Bergamo Singapore</w:t>
      </w:r>
      <w:r>
        <w:rPr>
          <w:rFonts w:ascii="Times New Roman" w:hAnsi="Times New Roman"/>
          <w:b w:val="false"/>
          <w:sz w:val="20"/>
        </w:rPr>
        <w:t>”) entered into a second amendment (the “</w:t>
      </w:r>
      <w:r>
        <w:rPr>
          <w:rFonts w:ascii="Times New Roman" w:hAnsi="Times New Roman"/>
          <w:b w:val="false"/>
          <w:i/>
          <w:sz w:val="20"/>
        </w:rPr>
        <w:t>Amendment</w:t>
      </w:r>
      <w:r>
        <w:rPr>
          <w:rFonts w:ascii="Times New Roman" w:hAnsi="Times New Roman"/>
          <w:b w:val="false"/>
          <w:sz w:val="20"/>
        </w:rPr>
        <w:t>”) to the Securities Purchase Agreement, dated April 8, 2013 and previously amended on April 30, 2013 (the “</w:t>
      </w:r>
      <w:r>
        <w:rPr>
          <w:rFonts w:ascii="Times New Roman" w:hAnsi="Times New Roman"/>
          <w:b w:val="false"/>
          <w:i/>
          <w:sz w:val="20"/>
        </w:rPr>
        <w:t>Securities Purchase</w:t>
      </w:r>
      <w:r>
        <w:rPr>
          <w:rFonts w:ascii="Times New Roman" w:hAnsi="Times New Roman"/>
          <w:b w:val="false"/>
          <w:sz w:val="20"/>
        </w:rPr>
        <w:t xml:space="preserve"> </w:t>
      </w:r>
      <w:r>
        <w:rPr>
          <w:rFonts w:ascii="Times New Roman" w:hAnsi="Times New Roman"/>
          <w:b w:val="false"/>
          <w:i/>
          <w:sz w:val="20"/>
        </w:rPr>
        <w:t>Agreement</w:t>
      </w:r>
      <w:r>
        <w:rPr>
          <w:rFonts w:ascii="Times New Roman" w:hAnsi="Times New Roman"/>
          <w:b w:val="false"/>
          <w:sz w:val="20"/>
        </w:rPr>
        <w:t>”).</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b w:val="false"/>
          <w:sz w:val="20"/>
        </w:rPr>
      </w:pPr>
      <w:r>
        <w:rPr>
          <w:rFonts w:ascii="times new roman" w:hAnsi="times new roman"/>
          <w:b w:val="false"/>
          <w:sz w:val="20"/>
        </w:rPr>
        <w:t>Pursuant to the Amendment, among other things: (i) Autilion and Bergamo Singapore terminated the Assignment and Assumption Agreement entered into on April 12, 2013; (ii) Autilion assumed all rights and obligations of the Purchaser under the Securities Purchase Agreement; and (iii) Autilion and the Company amended the scheduled investment dates under the Securities Purchase Agreement, so that the first closing occurred on the date of the Amendment and the final closing occurs on or before September 30, 2013, as more particularly set forth below:</w:t>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4389"/>
        <w:gridCol w:w="204"/>
        <w:gridCol w:w="408"/>
        <w:gridCol w:w="2245"/>
        <w:gridCol w:w="204"/>
        <w:gridCol w:w="102"/>
        <w:gridCol w:w="305"/>
        <w:gridCol w:w="2246"/>
        <w:gridCol w:w="102"/>
      </w:tblGrid>
      <w:tr>
        <w:trPr/>
        <w:tc>
          <w:tcPr>
            <w:tcW w:w="4389" w:type="dxa"/>
            <w:tcBorders>
              <w:bottom w:val="single" w:sz="12" w:space="0" w:color="000000"/>
            </w:tcBorders>
            <w:shd w:fill="auto" w:val="clear"/>
            <w:vAlign w:val="bottom"/>
          </w:tcPr>
          <w:p>
            <w:pPr>
              <w:pStyle w:val="TableContents"/>
              <w:spacing w:before="0" w:after="0"/>
              <w:ind w:left="0" w:right="0" w:hanging="0"/>
              <w:rPr/>
            </w:pPr>
            <w:r>
              <w:rPr/>
              <w:t> </w:t>
            </w:r>
          </w:p>
          <w:p>
            <w:pPr>
              <w:pStyle w:val="TableContents"/>
              <w:spacing w:before="0" w:after="0"/>
              <w:ind w:left="0" w:right="0" w:hanging="360"/>
              <w:jc w:val="center"/>
              <w:rPr>
                <w:rFonts w:ascii="times new roman" w:hAnsi="times new roman"/>
                <w:b/>
                <w:sz w:val="20"/>
              </w:rPr>
            </w:pPr>
            <w:r>
              <w:rPr>
                <w:rFonts w:ascii="times new roman" w:hAnsi="times new roman"/>
                <w:b/>
                <w:sz w:val="20"/>
              </w:rPr>
              <w:t>Investment Date</w:t>
            </w:r>
          </w:p>
        </w:tc>
        <w:tc>
          <w:tcPr>
            <w:tcW w:w="204" w:type="dxa"/>
            <w:tcBorders/>
            <w:shd w:fill="auto" w:val="clear"/>
            <w:tcMar>
              <w:bottom w:w="0" w:type="dxa"/>
            </w:tcMar>
            <w:vAlign w:val="bottom"/>
          </w:tcPr>
          <w:p>
            <w:pPr>
              <w:pStyle w:val="TableContents"/>
              <w:spacing w:before="0" w:after="283"/>
              <w:rPr/>
            </w:pPr>
            <w:r>
              <w:rPr/>
              <w:t> </w:t>
            </w:r>
          </w:p>
        </w:tc>
        <w:tc>
          <w:tcPr>
            <w:tcW w:w="2653"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 Amount of Investment</w:t>
            </w:r>
          </w:p>
        </w:tc>
        <w:tc>
          <w:tcPr>
            <w:tcW w:w="204"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2551"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 No. of Shares</w:t>
            </w:r>
          </w:p>
        </w:tc>
        <w:tc>
          <w:tcPr>
            <w:tcW w:w="102" w:type="dxa"/>
            <w:tcBorders/>
            <w:shd w:fill="auto" w:val="clear"/>
            <w:tcMar>
              <w:bottom w:w="0" w:type="dxa"/>
            </w:tcMar>
            <w:vAlign w:val="bottom"/>
          </w:tcPr>
          <w:p>
            <w:pPr>
              <w:pStyle w:val="TableContents"/>
              <w:spacing w:before="0" w:after="283"/>
              <w:jc w:val="left"/>
              <w:rPr/>
            </w:pPr>
            <w:r>
              <w:rPr/>
              <w:t> </w:t>
            </w:r>
          </w:p>
        </w:tc>
      </w:tr>
      <w:tr>
        <w:trPr/>
        <w:tc>
          <w:tcPr>
            <w:tcW w:w="4389" w:type="dxa"/>
            <w:tcBorders/>
            <w:shd w:fill="CCEEFF" w:val="clear"/>
            <w:tcMar>
              <w:bottom w:w="0" w:type="dxa"/>
            </w:tcMar>
            <w:vAlign w:val="bottom"/>
          </w:tcPr>
          <w:p>
            <w:pPr>
              <w:pStyle w:val="TableContents"/>
              <w:spacing w:before="0" w:after="0"/>
              <w:ind w:left="0" w:right="0" w:hanging="360"/>
              <w:jc w:val="center"/>
              <w:rPr>
                <w:rFonts w:ascii="times new roman" w:hAnsi="times new roman"/>
                <w:sz w:val="20"/>
              </w:rPr>
            </w:pPr>
            <w:r>
              <w:rPr>
                <w:rFonts w:ascii="times new roman" w:hAnsi="times new roman"/>
                <w:sz w:val="20"/>
              </w:rPr>
              <w:t>On the date of this Amendment</w:t>
            </w:r>
          </w:p>
        </w:tc>
        <w:tc>
          <w:tcPr>
            <w:tcW w:w="204" w:type="dxa"/>
            <w:tcBorders/>
            <w:shd w:fill="CCEEFF" w:val="clear"/>
            <w:tcMar>
              <w:bottom w:w="0" w:type="dxa"/>
            </w:tcMar>
            <w:vAlign w:val="bottom"/>
          </w:tcPr>
          <w:p>
            <w:pPr>
              <w:pStyle w:val="TableContents"/>
              <w:spacing w:before="0" w:after="283"/>
              <w:rPr/>
            </w:pPr>
            <w:r>
              <w:rPr/>
              <w:t> </w:t>
            </w:r>
          </w:p>
        </w:tc>
        <w:tc>
          <w:tcPr>
            <w:tcW w:w="40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24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204"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305" w:type="dxa"/>
            <w:tcBorders/>
            <w:shd w:fill="CCEEFF" w:val="clear"/>
            <w:tcMar>
              <w:bottom w:w="0" w:type="dxa"/>
            </w:tcMar>
            <w:vAlign w:val="bottom"/>
          </w:tcPr>
          <w:p>
            <w:pPr>
              <w:pStyle w:val="TableContents"/>
              <w:spacing w:before="0" w:after="283"/>
              <w:jc w:val="left"/>
              <w:rPr/>
            </w:pPr>
            <w:r>
              <w:rPr/>
              <w:t> </w:t>
            </w:r>
          </w:p>
        </w:tc>
        <w:tc>
          <w:tcPr>
            <w:tcW w:w="224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02" w:type="dxa"/>
            <w:tcBorders/>
            <w:shd w:fill="CCEEFF" w:val="clear"/>
            <w:tcMar>
              <w:bottom w:w="0" w:type="dxa"/>
            </w:tcMar>
            <w:vAlign w:val="bottom"/>
          </w:tcPr>
          <w:p>
            <w:pPr>
              <w:pStyle w:val="TableContents"/>
              <w:spacing w:before="0" w:after="283"/>
              <w:jc w:val="left"/>
              <w:rPr/>
            </w:pPr>
            <w:r>
              <w:rPr/>
              <w:t> </w:t>
            </w:r>
          </w:p>
        </w:tc>
      </w:tr>
      <w:tr>
        <w:trPr/>
        <w:tc>
          <w:tcPr>
            <w:tcW w:w="4389"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On or before July 11, 2013</w:t>
            </w:r>
          </w:p>
        </w:tc>
        <w:tc>
          <w:tcPr>
            <w:tcW w:w="204" w:type="dxa"/>
            <w:tcBorders/>
            <w:shd w:fill="FFFFFF" w:val="clear"/>
            <w:tcMar>
              <w:bottom w:w="0" w:type="dxa"/>
            </w:tcMar>
            <w:vAlign w:val="bottom"/>
          </w:tcPr>
          <w:p>
            <w:pPr>
              <w:pStyle w:val="TableContents"/>
              <w:spacing w:before="0" w:after="283"/>
              <w:rPr/>
            </w:pPr>
            <w:r>
              <w:rPr/>
              <w:t> </w:t>
            </w:r>
          </w:p>
        </w:tc>
        <w:tc>
          <w:tcPr>
            <w:tcW w:w="40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24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475,000</w:t>
            </w:r>
          </w:p>
        </w:tc>
        <w:tc>
          <w:tcPr>
            <w:tcW w:w="204"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305" w:type="dxa"/>
            <w:tcBorders/>
            <w:shd w:fill="FFFFFF" w:val="clear"/>
            <w:tcMar>
              <w:bottom w:w="0" w:type="dxa"/>
            </w:tcMar>
            <w:vAlign w:val="bottom"/>
          </w:tcPr>
          <w:p>
            <w:pPr>
              <w:pStyle w:val="TableContents"/>
              <w:spacing w:before="0" w:after="283"/>
              <w:jc w:val="left"/>
              <w:rPr/>
            </w:pPr>
            <w:r>
              <w:rPr/>
              <w:t> </w:t>
            </w:r>
          </w:p>
        </w:tc>
        <w:tc>
          <w:tcPr>
            <w:tcW w:w="224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950,000</w:t>
            </w:r>
          </w:p>
        </w:tc>
        <w:tc>
          <w:tcPr>
            <w:tcW w:w="102" w:type="dxa"/>
            <w:tcBorders/>
            <w:shd w:fill="FFFFFF" w:val="clear"/>
            <w:tcMar>
              <w:bottom w:w="0" w:type="dxa"/>
            </w:tcMar>
            <w:vAlign w:val="bottom"/>
          </w:tcPr>
          <w:p>
            <w:pPr>
              <w:pStyle w:val="TableContents"/>
              <w:spacing w:before="0" w:after="283"/>
              <w:jc w:val="left"/>
              <w:rPr/>
            </w:pPr>
            <w:r>
              <w:rPr/>
              <w:t> </w:t>
            </w:r>
          </w:p>
        </w:tc>
      </w:tr>
      <w:tr>
        <w:trPr/>
        <w:tc>
          <w:tcPr>
            <w:tcW w:w="4389"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On or before July 27, 2013</w:t>
            </w:r>
          </w:p>
        </w:tc>
        <w:tc>
          <w:tcPr>
            <w:tcW w:w="204" w:type="dxa"/>
            <w:tcBorders/>
            <w:shd w:fill="CCEEFF" w:val="clear"/>
            <w:tcMar>
              <w:bottom w:w="0" w:type="dxa"/>
            </w:tcMar>
            <w:vAlign w:val="bottom"/>
          </w:tcPr>
          <w:p>
            <w:pPr>
              <w:pStyle w:val="TableContents"/>
              <w:spacing w:before="0" w:after="283"/>
              <w:rPr/>
            </w:pPr>
            <w:r>
              <w:rPr/>
              <w:t> </w:t>
            </w:r>
          </w:p>
        </w:tc>
        <w:tc>
          <w:tcPr>
            <w:tcW w:w="40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24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9,500,000</w:t>
            </w:r>
          </w:p>
        </w:tc>
        <w:tc>
          <w:tcPr>
            <w:tcW w:w="204"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305" w:type="dxa"/>
            <w:tcBorders/>
            <w:shd w:fill="CCEEFF" w:val="clear"/>
            <w:tcMar>
              <w:bottom w:w="0" w:type="dxa"/>
            </w:tcMar>
            <w:vAlign w:val="bottom"/>
          </w:tcPr>
          <w:p>
            <w:pPr>
              <w:pStyle w:val="TableContents"/>
              <w:spacing w:before="0" w:after="283"/>
              <w:jc w:val="left"/>
              <w:rPr/>
            </w:pPr>
            <w:r>
              <w:rPr/>
              <w:t> </w:t>
            </w:r>
          </w:p>
        </w:tc>
        <w:tc>
          <w:tcPr>
            <w:tcW w:w="224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19,000,000</w:t>
            </w:r>
          </w:p>
        </w:tc>
        <w:tc>
          <w:tcPr>
            <w:tcW w:w="102" w:type="dxa"/>
            <w:tcBorders/>
            <w:shd w:fill="CCEEFF" w:val="clear"/>
            <w:tcMar>
              <w:bottom w:w="0" w:type="dxa"/>
            </w:tcMar>
            <w:vAlign w:val="bottom"/>
          </w:tcPr>
          <w:p>
            <w:pPr>
              <w:pStyle w:val="TableContents"/>
              <w:spacing w:before="0" w:after="283"/>
              <w:jc w:val="left"/>
              <w:rPr/>
            </w:pPr>
            <w:r>
              <w:rPr/>
              <w:t> </w:t>
            </w:r>
          </w:p>
        </w:tc>
      </w:tr>
      <w:tr>
        <w:trPr/>
        <w:tc>
          <w:tcPr>
            <w:tcW w:w="4389" w:type="dxa"/>
            <w:tcBorders/>
            <w:shd w:fill="FFFFFF" w:val="clear"/>
            <w:tcMar>
              <w:bottom w:w="0" w:type="dxa"/>
            </w:tcMar>
            <w:vAlign w:val="bottom"/>
          </w:tcPr>
          <w:p>
            <w:pPr>
              <w:pStyle w:val="TableContents"/>
              <w:spacing w:before="0" w:after="0"/>
              <w:ind w:left="0" w:right="0" w:hanging="360"/>
              <w:jc w:val="center"/>
              <w:rPr>
                <w:rFonts w:ascii="times new roman" w:hAnsi="times new roman"/>
                <w:sz w:val="20"/>
              </w:rPr>
            </w:pPr>
            <w:r>
              <w:rPr>
                <w:rFonts w:ascii="times new roman" w:hAnsi="times new roman"/>
                <w:sz w:val="20"/>
              </w:rPr>
              <w:t>On or before August 30, 2013</w:t>
            </w:r>
          </w:p>
        </w:tc>
        <w:tc>
          <w:tcPr>
            <w:tcW w:w="204" w:type="dxa"/>
            <w:tcBorders/>
            <w:shd w:fill="FFFFFF" w:val="clear"/>
            <w:tcMar>
              <w:bottom w:w="0" w:type="dxa"/>
            </w:tcMar>
            <w:vAlign w:val="bottom"/>
          </w:tcPr>
          <w:p>
            <w:pPr>
              <w:pStyle w:val="TableContents"/>
              <w:spacing w:before="0" w:after="283"/>
              <w:rPr/>
            </w:pPr>
            <w:r>
              <w:rPr/>
              <w:t> </w:t>
            </w:r>
          </w:p>
        </w:tc>
        <w:tc>
          <w:tcPr>
            <w:tcW w:w="40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24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10,000,000</w:t>
            </w:r>
          </w:p>
        </w:tc>
        <w:tc>
          <w:tcPr>
            <w:tcW w:w="204"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305" w:type="dxa"/>
            <w:tcBorders/>
            <w:shd w:fill="FFFFFF" w:val="clear"/>
            <w:tcMar>
              <w:bottom w:w="0" w:type="dxa"/>
            </w:tcMar>
            <w:vAlign w:val="bottom"/>
          </w:tcPr>
          <w:p>
            <w:pPr>
              <w:pStyle w:val="TableContents"/>
              <w:spacing w:before="0" w:after="283"/>
              <w:jc w:val="left"/>
              <w:rPr/>
            </w:pPr>
            <w:r>
              <w:rPr/>
              <w:t> </w:t>
            </w:r>
          </w:p>
        </w:tc>
        <w:tc>
          <w:tcPr>
            <w:tcW w:w="224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20,000,000</w:t>
            </w:r>
          </w:p>
        </w:tc>
        <w:tc>
          <w:tcPr>
            <w:tcW w:w="102" w:type="dxa"/>
            <w:tcBorders/>
            <w:shd w:fill="FFFFFF" w:val="clear"/>
            <w:tcMar>
              <w:bottom w:w="0" w:type="dxa"/>
            </w:tcMar>
            <w:vAlign w:val="bottom"/>
          </w:tcPr>
          <w:p>
            <w:pPr>
              <w:pStyle w:val="TableContents"/>
              <w:spacing w:before="0" w:after="283"/>
              <w:jc w:val="left"/>
              <w:rPr/>
            </w:pPr>
            <w:r>
              <w:rPr/>
              <w:t> </w:t>
            </w:r>
          </w:p>
        </w:tc>
      </w:tr>
      <w:tr>
        <w:trPr/>
        <w:tc>
          <w:tcPr>
            <w:tcW w:w="4389" w:type="dxa"/>
            <w:tcBorders/>
            <w:shd w:fill="CCEEFF" w:val="clear"/>
            <w:tcMar>
              <w:bottom w:w="0" w:type="dxa"/>
            </w:tcMar>
            <w:vAlign w:val="bottom"/>
          </w:tcPr>
          <w:p>
            <w:pPr>
              <w:pStyle w:val="TableContents"/>
              <w:spacing w:before="0" w:after="0"/>
              <w:ind w:left="0" w:right="0" w:hanging="360"/>
              <w:jc w:val="center"/>
              <w:rPr>
                <w:rFonts w:ascii="times new roman" w:hAnsi="times new roman"/>
                <w:sz w:val="20"/>
              </w:rPr>
            </w:pPr>
            <w:r>
              <w:rPr>
                <w:rFonts w:ascii="times new roman" w:hAnsi="times new roman"/>
                <w:sz w:val="20"/>
              </w:rPr>
              <w:t>On or before September 30, 2013</w:t>
            </w:r>
          </w:p>
        </w:tc>
        <w:tc>
          <w:tcPr>
            <w:tcW w:w="204" w:type="dxa"/>
            <w:tcBorders/>
            <w:shd w:fill="CCEEFF" w:val="clear"/>
            <w:tcMar>
              <w:bottom w:w="0" w:type="dxa"/>
            </w:tcMar>
            <w:vAlign w:val="bottom"/>
          </w:tcPr>
          <w:p>
            <w:pPr>
              <w:pStyle w:val="TableContents"/>
              <w:spacing w:before="0" w:after="283"/>
              <w:rPr/>
            </w:pPr>
            <w:r>
              <w:rPr/>
              <w:t> </w:t>
            </w:r>
          </w:p>
        </w:tc>
        <w:tc>
          <w:tcPr>
            <w:tcW w:w="40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24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16,000,000</w:t>
            </w:r>
          </w:p>
        </w:tc>
        <w:tc>
          <w:tcPr>
            <w:tcW w:w="204"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305" w:type="dxa"/>
            <w:tcBorders/>
            <w:shd w:fill="CCEEFF" w:val="clear"/>
            <w:tcMar>
              <w:bottom w:w="0" w:type="dxa"/>
            </w:tcMar>
            <w:vAlign w:val="bottom"/>
          </w:tcPr>
          <w:p>
            <w:pPr>
              <w:pStyle w:val="TableContents"/>
              <w:spacing w:before="0" w:after="283"/>
              <w:jc w:val="left"/>
              <w:rPr/>
            </w:pPr>
            <w:r>
              <w:rPr/>
              <w:t> </w:t>
            </w:r>
          </w:p>
        </w:tc>
        <w:tc>
          <w:tcPr>
            <w:tcW w:w="224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32,000,000</w:t>
            </w:r>
          </w:p>
        </w:tc>
        <w:tc>
          <w:tcPr>
            <w:tcW w:w="102"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foregoing description of the Amendment does not purport to be complete, and is qualified, in its entirety, by reference to the full text of the Amendment, attached hereto to as Exhibit 10.1, and the full text of the Securities Purchase Agreement, attached as Exhibit 10.1 to the Current Report on Form 8-K filed with the Securities and Exchange Commission on April 10, 2013, each of which is incorporated by reference herein.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3.02                      Unregistered Sales of Equity Securities.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5" w:name="TAB11"/>
      <w:bookmarkEnd w:id="5"/>
      <w:r>
        <w:rPr>
          <w:rFonts w:ascii="Times New Roman" w:hAnsi="Times New Roman"/>
          <w:sz w:val="20"/>
        </w:rPr>
        <w:t>On June 27, 2013, pursuant to the Securities Purchase Agreement and the schedule set forth in the Amendment, the Company issued to Autilion an aggregate total of 50,000 shares of the Company’s common stock (the “</w:t>
      </w:r>
      <w:r>
        <w:rPr>
          <w:rFonts w:ascii="Times New Roman" w:hAnsi="Times New Roman"/>
          <w:i/>
          <w:sz w:val="20"/>
        </w:rPr>
        <w:t>Shares</w:t>
      </w:r>
      <w:r>
        <w:rPr>
          <w:rFonts w:ascii="Times New Roman" w:hAnsi="Times New Roman"/>
          <w:sz w:val="20"/>
        </w:rPr>
        <w:t>”) for $0.50 per share, resulting in proceeds to the Company of $25,000.</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Shares were offered and sold in a transaction exempt from registration under the Securities Act of 1933, as amended (“</w:t>
      </w:r>
      <w:r>
        <w:rPr>
          <w:rFonts w:ascii="Times New Roman" w:hAnsi="Times New Roman"/>
          <w:i/>
          <w:sz w:val="20"/>
        </w:rPr>
        <w:t>Securities Act</w:t>
      </w:r>
      <w:r>
        <w:rPr>
          <w:rFonts w:ascii="Times New Roman" w:hAnsi="Times New Roman"/>
          <w:sz w:val="20"/>
        </w:rPr>
        <w:t>”), in reliance on Section 4(2) thereof and Rule 506 of Regulation D thereunder.  Autilion represented that it was an “accredited investor” as defined in Regulation D.  The proceeds from the sale of the Shares will be used for general corporate purposes.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7.01                      Regulation FD Disclosure.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June 28, 2013, the Company issued a press release to provide an update on the financing under the Securities Purchase Agreement. A copy of the press release is attached hereto as Exhibit 99.1</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information contained in this Item 7.01, including Exhibit 99.1, is being furnished pursuant to Item 7.01 of Form 8-K, “Regulation FD Disclosure.” This information shall not be deemed “filed” for purposes of Section 18 of the Securities Exchange Act of 1934, as amended (the “</w:t>
      </w:r>
      <w:r>
        <w:rPr>
          <w:rFonts w:ascii="Times New Roman" w:hAnsi="Times New Roman"/>
          <w:i/>
          <w:sz w:val="20"/>
        </w:rPr>
        <w:t>Exchange Act</w:t>
      </w:r>
      <w:r>
        <w:rPr>
          <w:rFonts w:ascii="Times New Roman" w:hAnsi="Times New Roman"/>
          <w:sz w:val="20"/>
        </w:rPr>
        <w:t>”), or incorporated by reference in any filing under the Securities Act or the Exchange Act, except as shall be expressly set forth by specific reference in such a filing.</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8.01                      Other Events.</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6" w:name="TAB12"/>
      <w:bookmarkEnd w:id="6"/>
      <w:r>
        <w:rPr>
          <w:rFonts w:ascii="Times New Roman" w:hAnsi="Times New Roman"/>
          <w:sz w:val="20"/>
        </w:rPr>
        <w:t>See Item 7.01.</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9.01                      Financial Statements and Exhibits.</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7" w:name="TAB13"/>
      <w:bookmarkEnd w:id="7"/>
      <w:r>
        <w:rPr>
          <w:rFonts w:ascii="Times New Roman" w:hAnsi="Times New Roman"/>
          <w:sz w:val="20"/>
        </w:rPr>
        <w:t>See Exhibit Index.</w:t>
      </w:r>
    </w:p>
    <w:p>
      <w:pPr>
        <w:pStyle w:val="TextBody"/>
        <w:spacing w:before="0" w:after="0"/>
        <w:ind w:left="0" w:right="0" w:hanging="0"/>
        <w:jc w:val="left"/>
        <w:rPr/>
      </w:pPr>
      <w:r>
        <w:rPr/>
        <w:t>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 w:name="PGBRK"/>
      <w:bookmarkStart w:id="9" w:name="PGBRK"/>
      <w:bookmarkEnd w:id="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FTR"/>
      <w:bookmarkStart w:id="11" w:name="FT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 w:name="GLFTR"/>
      <w:bookmarkEnd w:id="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 w:name="PN"/>
      <w:bookmarkEnd w:id="1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 w:name="HDR"/>
      <w:bookmarkStart w:id="15" w:name="HDR"/>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 w:name="GLHDR"/>
      <w:bookmarkEnd w:id="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both"/>
        <w:rPr/>
      </w:pPr>
      <w:r>
        <w:rPr/>
        <w:t>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0"/>
              <w:ind w:left="0" w:right="0" w:hanging="0"/>
              <w:jc w:val="left"/>
              <w:rPr>
                <w:rFonts w:ascii="times new roman" w:hAnsi="times new roman"/>
                <w:b/>
                <w:sz w:val="20"/>
              </w:rPr>
            </w:pPr>
            <w:r>
              <w:rPr>
                <w:rFonts w:ascii="times new roman" w:hAnsi="times new roman"/>
                <w:b/>
                <w:sz w:val="20"/>
              </w:rPr>
              <w:t>VistaGen Therapeutics, Inc.</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Date:   </w:t>
      </w:r>
      <w:r>
        <w:rPr>
          <w:rFonts w:ascii="Times New Roman" w:hAnsi="Times New Roman"/>
          <w:i/>
          <w:sz w:val="20"/>
        </w:rPr>
        <w:t>June 28, 2013</w:t>
      </w:r>
    </w:p>
    <w:p>
      <w:pPr>
        <w:pStyle w:val="TextBody"/>
        <w:spacing w:before="0" w:after="0"/>
        <w:ind w:left="0" w:right="0" w:hanging="0"/>
        <w:jc w:val="both"/>
        <w:rPr/>
      </w:pPr>
      <w:r>
        <w:rPr/>
        <w:t> </w:t>
      </w:r>
    </w:p>
    <w:tbl>
      <w:tblPr>
        <w:tblW w:w="2500" w:type="pct"/>
        <w:jc w:val="right"/>
        <w:tblInd w:w="0" w:type="dxa"/>
        <w:tblCellMar>
          <w:top w:w="0" w:type="dxa"/>
          <w:left w:w="0" w:type="dxa"/>
          <w:bottom w:w="0" w:type="dxa"/>
          <w:right w:w="0" w:type="dxa"/>
        </w:tblCellMar>
      </w:tblPr>
      <w:tblGrid>
        <w:gridCol w:w="965"/>
        <w:gridCol w:w="4137"/>
      </w:tblGrid>
      <w:tr>
        <w:trPr/>
        <w:tc>
          <w:tcPr>
            <w:tcW w:w="965" w:type="dxa"/>
            <w:vMerge w:val="restart"/>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4137" w:type="dxa"/>
            <w:tcBorders/>
            <w:shd w:fill="auto" w:val="clear"/>
            <w:vAlign w:val="center"/>
          </w:tcPr>
          <w:p>
            <w:pPr>
              <w:pStyle w:val="TableContents"/>
              <w:spacing w:before="0" w:after="0"/>
              <w:ind w:left="0" w:right="0" w:hanging="0"/>
              <w:jc w:val="left"/>
              <w:rPr>
                <w:rFonts w:ascii="times new roman" w:hAnsi="times new roman"/>
                <w:sz w:val="20"/>
                <w:u w:val="single"/>
              </w:rPr>
            </w:pPr>
            <w:r>
              <w:rPr>
                <w:rFonts w:ascii="times new roman" w:hAnsi="times new roman"/>
                <w:sz w:val="20"/>
                <w:u w:val="single"/>
              </w:rPr>
              <w:t>/s/ Shawn K. Singh</w:t>
            </w:r>
          </w:p>
        </w:tc>
      </w:tr>
      <w:tr>
        <w:trPr/>
        <w:tc>
          <w:tcPr>
            <w:tcW w:w="965" w:type="dxa"/>
            <w:vMerge w:val="continue"/>
            <w:tcBorders/>
            <w:shd w:fill="auto" w:val="clear"/>
          </w:tcPr>
          <w:p>
            <w:pPr>
              <w:pStyle w:val="Normal"/>
              <w:rPr/>
            </w:pPr>
            <w:r>
              <w:rPr/>
            </w:r>
          </w:p>
        </w:tc>
        <w:tc>
          <w:tcPr>
            <w:tcW w:w="4137" w:type="dxa"/>
            <w:tcBorders/>
            <w:shd w:fill="auto" w:val="clear"/>
            <w:vAlign w:val="center"/>
          </w:tcPr>
          <w:p>
            <w:pPr>
              <w:pStyle w:val="TableContents"/>
              <w:spacing w:before="0" w:after="0"/>
              <w:ind w:left="0" w:right="0" w:hanging="0"/>
              <w:jc w:val="left"/>
              <w:rPr>
                <w:rFonts w:ascii="times new roman" w:hAnsi="times new roman"/>
                <w:i/>
                <w:sz w:val="20"/>
              </w:rPr>
            </w:pPr>
            <w:r>
              <w:rPr>
                <w:rFonts w:ascii="times new roman" w:hAnsi="times new roman"/>
                <w:i/>
                <w:sz w:val="20"/>
              </w:rPr>
              <w:t>Name: Shawn K. Singh, JD</w:t>
            </w:r>
          </w:p>
        </w:tc>
      </w:tr>
      <w:tr>
        <w:trPr/>
        <w:tc>
          <w:tcPr>
            <w:tcW w:w="965" w:type="dxa"/>
            <w:vMerge w:val="continue"/>
            <w:tcBorders/>
            <w:shd w:fill="auto" w:val="clear"/>
          </w:tcPr>
          <w:p>
            <w:pPr>
              <w:pStyle w:val="Normal"/>
              <w:rPr/>
            </w:pPr>
            <w:r>
              <w:rPr/>
            </w:r>
          </w:p>
        </w:tc>
        <w:tc>
          <w:tcPr>
            <w:tcW w:w="4137" w:type="dxa"/>
            <w:tcBorders/>
            <w:shd w:fill="auto" w:val="clear"/>
            <w:vAlign w:val="center"/>
          </w:tcPr>
          <w:p>
            <w:pPr>
              <w:pStyle w:val="TableContents"/>
              <w:spacing w:before="0" w:after="0"/>
              <w:ind w:left="0" w:right="0" w:hanging="0"/>
              <w:jc w:val="left"/>
              <w:rPr>
                <w:rFonts w:ascii="times new roman" w:hAnsi="times new roman"/>
                <w:i/>
                <w:sz w:val="20"/>
              </w:rPr>
            </w:pPr>
            <w:r>
              <w:rPr>
                <w:rFonts w:ascii="times new roman" w:hAnsi="times new roman"/>
                <w:i/>
                <w:sz w:val="20"/>
              </w:rPr>
              <w:t>Title: Chief Executive Officer</w:t>
            </w:r>
          </w:p>
        </w:tc>
      </w:tr>
      <w:tr>
        <w:trPr/>
        <w:tc>
          <w:tcPr>
            <w:tcW w:w="965" w:type="dxa"/>
            <w:vMerge w:val="continue"/>
            <w:tcBorders/>
            <w:shd w:fill="auto" w:val="clear"/>
          </w:tcPr>
          <w:p>
            <w:pPr>
              <w:pStyle w:val="Normal"/>
              <w:rPr/>
            </w:pPr>
            <w:r>
              <w:rPr/>
            </w:r>
          </w:p>
        </w:tc>
        <w:tc>
          <w:tcPr>
            <w:tcW w:w="4137" w:type="dxa"/>
            <w:tcBorders/>
            <w:shd w:fill="auto" w:val="clear"/>
          </w:tcPr>
          <w:p>
            <w:pPr>
              <w:pStyle w:val="TableContents"/>
              <w:spacing w:before="0" w:after="283"/>
              <w:rPr/>
            </w:pPr>
            <w:r>
              <w:rPr/>
              <w:t xml:space="preserve">  </w:t>
            </w:r>
          </w:p>
        </w:tc>
      </w:tr>
    </w:tbl>
    <w:p>
      <w:pPr>
        <w:pStyle w:val="TextBody"/>
        <w:spacing w:before="0" w:after="0"/>
        <w:ind w:left="0" w:right="0" w:hanging="0"/>
        <w:rPr/>
      </w:pPr>
      <w:r>
        <w:rPr/>
        <w:b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Exhibit Index</w:t>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1060"/>
        <w:gridCol w:w="265"/>
        <w:gridCol w:w="8880"/>
      </w:tblGrid>
      <w:tr>
        <w:trPr/>
        <w:tc>
          <w:tcPr>
            <w:tcW w:w="1060" w:type="dxa"/>
            <w:tcBorders>
              <w:bottom w:val="single" w:sz="12" w:space="0" w:color="000000"/>
            </w:tcBorders>
            <w:shd w:fill="auto" w:val="cle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Exhibit No.</w:t>
            </w:r>
          </w:p>
        </w:tc>
        <w:tc>
          <w:tcPr>
            <w:tcW w:w="265" w:type="dxa"/>
            <w:tcBorders/>
            <w:shd w:fill="auto" w:val="clear"/>
            <w:tcMar>
              <w:bottom w:w="0" w:type="dxa"/>
            </w:tcMar>
          </w:tcPr>
          <w:p>
            <w:pPr>
              <w:pStyle w:val="TableContents"/>
              <w:spacing w:before="0" w:after="0"/>
              <w:ind w:left="0" w:right="0" w:hanging="0"/>
              <w:jc w:val="left"/>
              <w:rPr/>
            </w:pPr>
            <w:r>
              <w:rPr/>
              <w:t>  </w:t>
            </w:r>
          </w:p>
        </w:tc>
        <w:tc>
          <w:tcPr>
            <w:tcW w:w="8880" w:type="dxa"/>
            <w:tcBorders>
              <w:bottom w:val="single" w:sz="12" w:space="0" w:color="000000"/>
            </w:tcBorders>
            <w:shd w:fill="auto" w:val="clear"/>
          </w:tcPr>
          <w:p>
            <w:pPr>
              <w:pStyle w:val="TableContents"/>
              <w:spacing w:before="0" w:after="0"/>
              <w:ind w:left="0" w:right="0" w:hanging="0"/>
              <w:jc w:val="left"/>
              <w:rPr>
                <w:rFonts w:ascii="times new roman" w:hAnsi="times new roman"/>
                <w:b w:val="false"/>
                <w:sz w:val="20"/>
              </w:rPr>
            </w:pPr>
            <w:r>
              <w:rPr>
                <w:rFonts w:ascii="times new roman" w:hAnsi="times new roman"/>
                <w:b w:val="false"/>
                <w:sz w:val="20"/>
              </w:rPr>
              <w:t>Description</w:t>
            </w:r>
          </w:p>
        </w:tc>
      </w:tr>
      <w:tr>
        <w:trPr/>
        <w:tc>
          <w:tcPr>
            <w:tcW w:w="1060" w:type="dxa"/>
            <w:tcBorders/>
            <w:shd w:fill="auto" w:val="clear"/>
            <w:tcMar>
              <w:bottom w:w="0" w:type="dxa"/>
            </w:tcMar>
          </w:tcPr>
          <w:p>
            <w:pPr>
              <w:pStyle w:val="TableContents"/>
              <w:spacing w:before="0" w:after="283"/>
              <w:jc w:val="left"/>
              <w:rPr/>
            </w:pPr>
            <w:r>
              <w:rPr/>
              <w:t> </w:t>
            </w:r>
          </w:p>
        </w:tc>
        <w:tc>
          <w:tcPr>
            <w:tcW w:w="265" w:type="dxa"/>
            <w:tcBorders/>
            <w:shd w:fill="auto" w:val="clear"/>
            <w:tcMar>
              <w:bottom w:w="0" w:type="dxa"/>
            </w:tcMar>
          </w:tcPr>
          <w:p>
            <w:pPr>
              <w:pStyle w:val="TableContents"/>
              <w:spacing w:before="0" w:after="283"/>
              <w:rPr/>
            </w:pPr>
            <w:r>
              <w:rPr/>
              <w:t> </w:t>
            </w:r>
          </w:p>
        </w:tc>
        <w:tc>
          <w:tcPr>
            <w:tcW w:w="8880" w:type="dxa"/>
            <w:tcBorders/>
            <w:shd w:fill="auto" w:val="clear"/>
            <w:tcMar>
              <w:bottom w:w="0" w:type="dxa"/>
            </w:tcMar>
          </w:tcPr>
          <w:p>
            <w:pPr>
              <w:pStyle w:val="TableContents"/>
              <w:spacing w:before="0" w:after="283"/>
              <w:jc w:val="left"/>
              <w:rPr/>
            </w:pPr>
            <w:r>
              <w:rPr/>
              <w:t> </w:t>
            </w:r>
          </w:p>
        </w:tc>
      </w:tr>
      <w:tr>
        <w:trPr/>
        <w:tc>
          <w:tcPr>
            <w:tcW w:w="1060"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10.1</w:t>
            </w:r>
          </w:p>
        </w:tc>
        <w:tc>
          <w:tcPr>
            <w:tcW w:w="265" w:type="dxa"/>
            <w:tcBorders/>
            <w:shd w:fill="CCEEFF" w:val="clear"/>
            <w:tcMar>
              <w:bottom w:w="0" w:type="dxa"/>
            </w:tcMar>
          </w:tcPr>
          <w:p>
            <w:pPr>
              <w:pStyle w:val="TableContents"/>
              <w:spacing w:before="0" w:after="283"/>
              <w:rPr/>
            </w:pPr>
            <w:r>
              <w:rPr/>
              <w:t xml:space="preserve">  </w:t>
            </w:r>
          </w:p>
        </w:tc>
        <w:tc>
          <w:tcPr>
            <w:tcW w:w="8880"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Second amendment to the Securities Purchase Agreement</w:t>
            </w:r>
          </w:p>
        </w:tc>
      </w:tr>
      <w:tr>
        <w:trPr/>
        <w:tc>
          <w:tcPr>
            <w:tcW w:w="1060"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99.1</w:t>
            </w:r>
          </w:p>
        </w:tc>
        <w:tc>
          <w:tcPr>
            <w:tcW w:w="265" w:type="dxa"/>
            <w:tcBorders/>
            <w:shd w:fill="FFFFFF" w:val="clear"/>
            <w:tcMar>
              <w:bottom w:w="0" w:type="dxa"/>
            </w:tcMar>
          </w:tcPr>
          <w:p>
            <w:pPr>
              <w:pStyle w:val="TableContents"/>
              <w:spacing w:before="0" w:after="0"/>
              <w:ind w:left="0" w:right="0" w:hanging="0"/>
              <w:jc w:val="left"/>
              <w:rPr/>
            </w:pPr>
            <w:r>
              <w:rPr/>
              <w:t>  </w:t>
            </w:r>
          </w:p>
        </w:tc>
        <w:tc>
          <w:tcPr>
            <w:tcW w:w="8880"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Press Release dated June 28, 2013</w:t>
            </w:r>
          </w:p>
        </w:tc>
      </w:tr>
    </w:tbl>
    <w:p>
      <w:pPr>
        <w:pStyle w:val="TextBody"/>
        <w:spacing w:before="0" w:after="0"/>
        <w:ind w:left="0" w:right="0" w:hanging="0"/>
        <w:jc w:val="right"/>
        <w:rPr>
          <w:rFonts w:ascii="Times New Roman" w:hAnsi="Times New Roman"/>
          <w:b/>
          <w:sz w:val="20"/>
        </w:rPr>
      </w:pPr>
      <w:r>
        <w:br w:type="page"/>
      </w:r>
      <w:bookmarkStart w:id="17" w:name="ex10-1.htm"/>
      <w:bookmarkStart w:id="18" w:name="ksex101"/>
      <w:bookmarkEnd w:id="17"/>
      <w:bookmarkEnd w:id="18"/>
      <w:r>
        <w:rPr>
          <w:rFonts w:ascii="Times New Roman" w:hAnsi="Times New Roman"/>
          <w:b/>
          <w:sz w:val="20"/>
        </w:rPr>
        <w:t>Exhibit 10.1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AMENDMENT NO. 2 TO SECURITIES PURCHASE AGREEMENT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9" w:name="TAB14"/>
      <w:bookmarkEnd w:id="19"/>
      <w:r>
        <w:rPr>
          <w:rFonts w:ascii="Times New Roman" w:hAnsi="Times New Roman"/>
          <w:sz w:val="20"/>
        </w:rPr>
        <w:t>This Amendment No. 2 to Securities Purchase Agreement (“</w:t>
      </w:r>
      <w:r>
        <w:rPr>
          <w:rFonts w:ascii="Times New Roman" w:hAnsi="Times New Roman"/>
          <w:i/>
          <w:sz w:val="20"/>
        </w:rPr>
        <w:t>Amendment No. 2</w:t>
      </w:r>
      <w:r>
        <w:rPr>
          <w:rFonts w:ascii="Times New Roman" w:hAnsi="Times New Roman"/>
          <w:sz w:val="20"/>
        </w:rPr>
        <w:t>”) is entered into as of June 27, 2013, by and between VistaGen Therapeutics, Inc., a Nevada corporation (the “</w:t>
      </w:r>
      <w:r>
        <w:rPr>
          <w:rFonts w:ascii="Times New Roman" w:hAnsi="Times New Roman"/>
          <w:i/>
          <w:sz w:val="20"/>
        </w:rPr>
        <w:t>Company</w:t>
      </w:r>
      <w:r>
        <w:rPr>
          <w:rFonts w:ascii="Times New Roman" w:hAnsi="Times New Roman"/>
          <w:sz w:val="20"/>
        </w:rPr>
        <w:t>”), Autilion AG, a company organized and existing under the laws of Switzerland (“</w:t>
      </w:r>
      <w:r>
        <w:rPr>
          <w:rFonts w:ascii="Times New Roman" w:hAnsi="Times New Roman"/>
          <w:i/>
          <w:sz w:val="20"/>
        </w:rPr>
        <w:t>Autilion</w:t>
      </w:r>
      <w:r>
        <w:rPr>
          <w:rFonts w:ascii="Times New Roman" w:hAnsi="Times New Roman"/>
          <w:sz w:val="20"/>
        </w:rPr>
        <w:t>”), and Bergamo Acquisition Corp. PTE LTD, a company organized and existing under the laws of Singapore (“</w:t>
      </w:r>
      <w:r>
        <w:rPr>
          <w:rFonts w:ascii="Times New Roman" w:hAnsi="Times New Roman"/>
          <w:i/>
          <w:sz w:val="20"/>
        </w:rPr>
        <w:t>Bergamo Singapore</w:t>
      </w:r>
      <w:r>
        <w:rPr>
          <w:rFonts w:ascii="Times New Roman" w:hAnsi="Times New Roman"/>
          <w:sz w:val="20"/>
        </w:rPr>
        <w:t>”).  Unless otherwise specified herein, all capitalized terms set forth in this Amendment shall have the meanings as set forth in the Amended Agreement (as defined below).</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RECITALS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0" w:name="TAB15"/>
      <w:bookmarkEnd w:id="20"/>
      <w:r>
        <w:rPr>
          <w:rFonts w:ascii="Times New Roman" w:hAnsi="Times New Roman"/>
          <w:b/>
          <w:sz w:val="20"/>
        </w:rPr>
        <w:t>WHEREAS</w:t>
      </w:r>
      <w:r>
        <w:rPr>
          <w:rFonts w:ascii="Times New Roman" w:hAnsi="Times New Roman"/>
          <w:sz w:val="20"/>
        </w:rPr>
        <w:t>, Autilion and the Company were parties to that certain Securities Purchase Agreement, dated April 8, 2013 (the “</w:t>
      </w:r>
      <w:r>
        <w:rPr>
          <w:rFonts w:ascii="Times New Roman" w:hAnsi="Times New Roman"/>
          <w:i/>
          <w:sz w:val="20"/>
        </w:rPr>
        <w:t>Agreement</w:t>
      </w:r>
      <w:r>
        <w:rPr>
          <w:rFonts w:ascii="Times New Roman" w:hAnsi="Times New Roman"/>
          <w:sz w:val="20"/>
        </w:rPr>
        <w:t>”), pursuant to which Autilion agreed to purchase from the Company an aggregate total of 72 million restricted shares of the Company’s common stock (“</w:t>
      </w:r>
      <w:r>
        <w:rPr>
          <w:rFonts w:ascii="Times New Roman" w:hAnsi="Times New Roman"/>
          <w:i/>
          <w:sz w:val="20"/>
        </w:rPr>
        <w:t>Shares</w:t>
      </w:r>
      <w:r>
        <w:rPr>
          <w:rFonts w:ascii="Times New Roman" w:hAnsi="Times New Roman"/>
          <w:sz w:val="20"/>
        </w:rPr>
        <w:t>”) for aggregate consideration of U.S. $36.0 million;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b/>
          <w:sz w:val="20"/>
        </w:rPr>
        <w:t>WHEREAS</w:t>
      </w:r>
      <w:r>
        <w:rPr>
          <w:rFonts w:ascii="Times New Roman" w:hAnsi="Times New Roman"/>
          <w:sz w:val="20"/>
        </w:rPr>
        <w:t>, Autilion assigned the Agreement to Bergamo Singapore on April 12, 2013 pursuant to an Assignment and Assumption Agreement  (the “</w:t>
      </w:r>
      <w:r>
        <w:rPr>
          <w:rFonts w:ascii="Times New Roman" w:hAnsi="Times New Roman"/>
          <w:i/>
          <w:sz w:val="20"/>
        </w:rPr>
        <w:t>Assignment</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b/>
          <w:sz w:val="20"/>
        </w:rPr>
        <w:t>WHEREAS</w:t>
      </w:r>
      <w:r>
        <w:rPr>
          <w:rFonts w:ascii="Times New Roman" w:hAnsi="Times New Roman"/>
          <w:sz w:val="20"/>
        </w:rPr>
        <w:t>, the Company and Bergamo Singapore entered into Amendment No. 1 to Securities Purchase Agreement (“</w:t>
      </w:r>
      <w:r>
        <w:rPr>
          <w:rFonts w:ascii="Times New Roman" w:hAnsi="Times New Roman"/>
          <w:i/>
          <w:sz w:val="20"/>
        </w:rPr>
        <w:t>Amendment No. 1</w:t>
      </w:r>
      <w:r>
        <w:rPr>
          <w:rFonts w:ascii="Times New Roman" w:hAnsi="Times New Roman"/>
          <w:sz w:val="20"/>
        </w:rPr>
        <w:t>”) to amend certain terms of the Agreement; and</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1" w:name="TAB16"/>
      <w:bookmarkEnd w:id="21"/>
      <w:r>
        <w:rPr>
          <w:rFonts w:ascii="Times New Roman" w:hAnsi="Times New Roman"/>
          <w:b/>
          <w:sz w:val="20"/>
        </w:rPr>
        <w:t>WHEREAS</w:t>
      </w:r>
      <w:r>
        <w:rPr>
          <w:rFonts w:ascii="Times New Roman" w:hAnsi="Times New Roman"/>
          <w:sz w:val="20"/>
        </w:rPr>
        <w:t>, the Company, Autilion and Bergamo Singapore now desire to: (i) terminate the Assignment and allow Autilion to assume the rights and obligations of the Purchaser under the Agreement, as amended by Amendment No. 1 and this Amendment No. 2 (collectively, the “</w:t>
      </w:r>
      <w:r>
        <w:rPr>
          <w:rFonts w:ascii="Times New Roman" w:hAnsi="Times New Roman"/>
          <w:i/>
          <w:sz w:val="20"/>
        </w:rPr>
        <w:t>Amended Agreement</w:t>
      </w:r>
      <w:r>
        <w:rPr>
          <w:rFonts w:ascii="Times New Roman" w:hAnsi="Times New Roman"/>
          <w:sz w:val="20"/>
        </w:rPr>
        <w:t>”); and (ii) further amend the Agreement, as more particularly set forth in this Amendment No. 2.</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AGREEMENT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2" w:name="TAB17"/>
      <w:bookmarkEnd w:id="22"/>
      <w:r>
        <w:rPr>
          <w:rFonts w:ascii="Times New Roman" w:hAnsi="Times New Roman"/>
          <w:sz w:val="20"/>
        </w:rPr>
        <w:t>For good and valuable consideration, the receipt and sufficiency of which is hereby acknowledged, the undersigned parties agree as follows:</w:t>
      </w:r>
    </w:p>
    <w:p>
      <w:pPr>
        <w:pStyle w:val="TextBody"/>
        <w:spacing w:before="0" w:after="0"/>
        <w:ind w:left="0" w:right="0" w:hanging="0"/>
        <w:rPr/>
      </w:pPr>
      <w:r>
        <w:rPr/>
      </w:r>
    </w:p>
    <w:p>
      <w:pPr>
        <w:pStyle w:val="Normal"/>
        <w:spacing w:before="0" w:after="0"/>
        <w:rPr>
          <w:sz w:val="4"/>
          <w:szCs w:val="4"/>
        </w:rPr>
      </w:pPr>
      <w:r>
        <w:rPr>
          <w:sz w:val="4"/>
          <w:szCs w:val="4"/>
        </w:rPr>
      </w:r>
      <w:bookmarkStart w:id="23" w:name="list"/>
      <w:bookmarkStart w:id="24" w:name="list"/>
      <w:bookmarkEnd w:id="24"/>
    </w:p>
    <w:tbl>
      <w:tblPr>
        <w:tblW w:w="5000" w:type="pct"/>
        <w:jc w:val="left"/>
        <w:tblInd w:w="0" w:type="dxa"/>
        <w:tblCellMar>
          <w:top w:w="0" w:type="dxa"/>
          <w:left w:w="0" w:type="dxa"/>
          <w:bottom w:w="0" w:type="dxa"/>
          <w:right w:w="0" w:type="dxa"/>
        </w:tblCellMar>
      </w:tblPr>
      <w:tblGrid>
        <w:gridCol w:w="569"/>
        <w:gridCol w:w="9636"/>
      </w:tblGrid>
      <w:tr>
        <w:trPr/>
        <w:tc>
          <w:tcPr>
            <w:tcW w:w="56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6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Termination of Assignment and Assumption by Autilion</w:t>
            </w: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firstLine="1080"/>
        <w:rPr/>
      </w:pPr>
      <w:r>
        <w:rPr>
          <w:rFonts w:ascii="Times New Roman" w:hAnsi="Times New Roman"/>
          <w:sz w:val="20"/>
        </w:rPr>
        <w:t>a.</w:t>
      </w:r>
      <w:bookmarkStart w:id="25" w:name="TAB2"/>
      <w:bookmarkEnd w:id="25"/>
      <w:r>
        <w:rPr>
          <w:color w:val="000000"/>
          <w:spacing w:val="180"/>
        </w:rPr>
        <w:t> </w:t>
      </w:r>
      <w:r>
        <w:rPr>
          <w:rFonts w:ascii="Times New Roman" w:hAnsi="Times New Roman"/>
          <w:sz w:val="20"/>
        </w:rPr>
        <w:t>Autilion and Bergamo Singapore hereby terminate the Assignment and Assumption Agreement entered into on April 12, 2013, such that the Assignment shall be of no further force and effect and Bergamo Singapore shall have no rights or obligations as the Purchaser under the Amended Agreement.</w:t>
      </w:r>
    </w:p>
    <w:p>
      <w:pPr>
        <w:pStyle w:val="TextBody"/>
        <w:spacing w:before="0" w:after="0"/>
        <w:ind w:left="0" w:right="0" w:hanging="0"/>
        <w:rPr/>
      </w:pPr>
      <w:r>
        <w:rPr/>
      </w:r>
    </w:p>
    <w:p>
      <w:pPr>
        <w:pStyle w:val="TextBody"/>
        <w:spacing w:before="0" w:after="0"/>
        <w:ind w:left="0" w:right="0" w:firstLine="1080"/>
        <w:rPr/>
      </w:pPr>
      <w:r>
        <w:rPr>
          <w:rFonts w:ascii="Times New Roman" w:hAnsi="Times New Roman"/>
          <w:sz w:val="20"/>
        </w:rPr>
        <w:t>b.</w:t>
      </w:r>
      <w:bookmarkStart w:id="26" w:name="TAB21"/>
      <w:bookmarkEnd w:id="26"/>
      <w:r>
        <w:rPr>
          <w:color w:val="000000"/>
          <w:spacing w:val="180"/>
        </w:rPr>
        <w:t> </w:t>
      </w:r>
      <w:r>
        <w:rPr>
          <w:rFonts w:ascii="Times New Roman" w:hAnsi="Times New Roman"/>
          <w:sz w:val="20"/>
        </w:rPr>
        <w:t>Autilion hereby assumes all rights and obligations of the Purchaser to the Amended Agreement, and agrees to the terms and conditions therein as if Autilion were originally made a party to the Amended Agreement.</w:t>
      </w:r>
    </w:p>
    <w:p>
      <w:pPr>
        <w:pStyle w:val="TextBody"/>
        <w:spacing w:before="0" w:after="0"/>
        <w:ind w:left="0" w:right="0" w:hanging="0"/>
        <w:rPr/>
      </w:pPr>
      <w:r>
        <w:rPr/>
      </w:r>
    </w:p>
    <w:p>
      <w:pPr>
        <w:pStyle w:val="Normal"/>
        <w:spacing w:before="0" w:after="0"/>
        <w:rPr>
          <w:sz w:val="4"/>
          <w:szCs w:val="4"/>
        </w:rPr>
      </w:pPr>
      <w:r>
        <w:rPr>
          <w:sz w:val="4"/>
          <w:szCs w:val="4"/>
        </w:rPr>
      </w:r>
      <w:bookmarkStart w:id="27" w:name="list1"/>
      <w:bookmarkStart w:id="28" w:name="list1"/>
      <w:bookmarkEnd w:id="28"/>
    </w:p>
    <w:tbl>
      <w:tblPr>
        <w:tblW w:w="5000" w:type="pct"/>
        <w:jc w:val="left"/>
        <w:tblInd w:w="0" w:type="dxa"/>
        <w:tblCellMar>
          <w:top w:w="0" w:type="dxa"/>
          <w:left w:w="0" w:type="dxa"/>
          <w:bottom w:w="0" w:type="dxa"/>
          <w:right w:w="0" w:type="dxa"/>
        </w:tblCellMar>
      </w:tblPr>
      <w:tblGrid>
        <w:gridCol w:w="581"/>
        <w:gridCol w:w="9624"/>
      </w:tblGrid>
      <w:tr>
        <w:trPr/>
        <w:tc>
          <w:tcPr>
            <w:tcW w:w="58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624"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Amendment No. 2 to the Securities Purchase Agreement</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u w:val="single"/>
        </w:rPr>
        <w:t>Section 2.1</w:t>
      </w:r>
      <w:r>
        <w:rPr>
          <w:rFonts w:ascii="Times New Roman" w:hAnsi="Times New Roman"/>
          <w:sz w:val="20"/>
        </w:rPr>
        <w:t xml:space="preserve"> of the Amended Agreement is hereby amended and replaced in its entirety with the following:</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Section 2.1     </w:t>
      </w:r>
      <w:r>
        <w:rPr>
          <w:rFonts w:ascii="Times New Roman" w:hAnsi="Times New Roman"/>
          <w:b/>
          <w:sz w:val="20"/>
          <w:u w:val="single"/>
        </w:rPr>
        <w:t>Closing; Investment Dates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Upon the terms and subject to the conditions set forth herein, the Company agrees to sell, and the Purchaser agrees to purchase for the benefit of the Purchaser or its nominee, Seventy Two Million (72,000,000) Shares of Common Stock of the Company for Thirty Six Million Dollars ($36,000,000), or $0.50 per share, in a series of tranches (each, a “</w:t>
      </w:r>
      <w:r>
        <w:rPr>
          <w:rFonts w:ascii="Times New Roman" w:hAnsi="Times New Roman"/>
          <w:i/>
          <w:sz w:val="20"/>
        </w:rPr>
        <w:t>Closing</w:t>
      </w:r>
      <w:r>
        <w:rPr>
          <w:rFonts w:ascii="Times New Roman" w:hAnsi="Times New Roman"/>
          <w:sz w:val="20"/>
        </w:rPr>
        <w:t>” and the date of each such Closing an “</w:t>
      </w:r>
      <w:r>
        <w:rPr>
          <w:rFonts w:ascii="Times New Roman" w:hAnsi="Times New Roman"/>
          <w:i/>
          <w:sz w:val="20"/>
        </w:rPr>
        <w:t>Investment Date</w:t>
      </w:r>
      <w:r>
        <w:rPr>
          <w:rFonts w:ascii="Times New Roman" w:hAnsi="Times New Roman"/>
          <w:sz w:val="20"/>
        </w:rPr>
        <w:t>”) in accordance with the schedule set forth below:</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 w:name="PGBRK1"/>
      <w:bookmarkStart w:id="30" w:name="PGBRK1"/>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 w:name="FTR1"/>
      <w:bookmarkStart w:id="32" w:name="FTR1"/>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 w:name="GLFTR1"/>
      <w:bookmarkEnd w:id="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4" w:name="PN1"/>
      <w:bookmarkEnd w:id="3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 w:name="HDR1"/>
      <w:bookmarkStart w:id="36" w:name="HDR1"/>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 w:name="GLHDR1"/>
      <w:bookmarkEnd w:id="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pPr>
      <w:r>
        <w:rPr/>
        <w:br/>
        <w:t> </w:t>
      </w:r>
    </w:p>
    <w:tbl>
      <w:tblPr>
        <w:tblW w:w="5000" w:type="pct"/>
        <w:jc w:val="left"/>
        <w:tblInd w:w="0" w:type="dxa"/>
        <w:tblCellMar>
          <w:top w:w="0" w:type="dxa"/>
          <w:left w:w="0" w:type="dxa"/>
          <w:bottom w:w="28" w:type="dxa"/>
          <w:right w:w="0" w:type="dxa"/>
        </w:tblCellMar>
      </w:tblPr>
      <w:tblGrid>
        <w:gridCol w:w="3951"/>
        <w:gridCol w:w="109"/>
        <w:gridCol w:w="125"/>
        <w:gridCol w:w="2883"/>
        <w:gridCol w:w="109"/>
        <w:gridCol w:w="109"/>
        <w:gridCol w:w="109"/>
        <w:gridCol w:w="2694"/>
        <w:gridCol w:w="116"/>
      </w:tblGrid>
      <w:tr>
        <w:trPr/>
        <w:tc>
          <w:tcPr>
            <w:tcW w:w="3951" w:type="dxa"/>
            <w:tcBorders>
              <w:bottom w:val="single" w:sz="12" w:space="0" w:color="000000"/>
            </w:tcBorders>
            <w:shd w:fill="auto" w:val="clear"/>
            <w:vAlign w:val="bottom"/>
          </w:tcPr>
          <w:p>
            <w:pPr>
              <w:pStyle w:val="TableContents"/>
              <w:spacing w:before="0" w:after="0"/>
              <w:ind w:left="0" w:right="0" w:hanging="0"/>
              <w:rPr/>
            </w:pPr>
            <w:r>
              <w:rPr/>
              <w:t> </w:t>
            </w:r>
          </w:p>
          <w:p>
            <w:pPr>
              <w:pStyle w:val="TableContents"/>
              <w:spacing w:before="0" w:after="0"/>
              <w:ind w:left="0" w:right="0" w:hanging="360"/>
              <w:jc w:val="center"/>
              <w:rPr>
                <w:rFonts w:ascii="times new roman" w:hAnsi="times new roman"/>
                <w:b/>
                <w:sz w:val="20"/>
              </w:rPr>
            </w:pPr>
            <w:r>
              <w:rPr>
                <w:rFonts w:ascii="times new roman" w:hAnsi="times new roman"/>
                <w:b/>
                <w:sz w:val="20"/>
              </w:rPr>
              <w:t>Investment Date</w:t>
            </w:r>
          </w:p>
        </w:tc>
        <w:tc>
          <w:tcPr>
            <w:tcW w:w="109" w:type="dxa"/>
            <w:tcBorders/>
            <w:shd w:fill="auto" w:val="clear"/>
            <w:tcMar>
              <w:bottom w:w="0" w:type="dxa"/>
            </w:tcMar>
            <w:vAlign w:val="bottom"/>
          </w:tcPr>
          <w:p>
            <w:pPr>
              <w:pStyle w:val="TableContents"/>
              <w:spacing w:before="0" w:after="283"/>
              <w:rPr/>
            </w:pPr>
            <w:r>
              <w:rPr/>
              <w:t> </w:t>
            </w:r>
          </w:p>
        </w:tc>
        <w:tc>
          <w:tcPr>
            <w:tcW w:w="3008"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 Amount of Investment</w:t>
            </w:r>
          </w:p>
        </w:tc>
        <w:tc>
          <w:tcPr>
            <w:tcW w:w="109" w:type="dxa"/>
            <w:tcBorders/>
            <w:shd w:fill="auto" w:val="clear"/>
            <w:tcMar>
              <w:bottom w:w="0" w:type="dxa"/>
            </w:tcMar>
            <w:vAlign w:val="bottom"/>
          </w:tcPr>
          <w:p>
            <w:pPr>
              <w:pStyle w:val="TableContents"/>
              <w:spacing w:before="0" w:after="283"/>
              <w:jc w:val="left"/>
              <w:rPr/>
            </w:pPr>
            <w:r>
              <w:rPr/>
              <w:t> </w:t>
            </w:r>
          </w:p>
        </w:tc>
        <w:tc>
          <w:tcPr>
            <w:tcW w:w="109" w:type="dxa"/>
            <w:tcBorders/>
            <w:shd w:fill="auto" w:val="clear"/>
            <w:tcMar>
              <w:bottom w:w="0" w:type="dxa"/>
            </w:tcMar>
            <w:vAlign w:val="bottom"/>
          </w:tcPr>
          <w:p>
            <w:pPr>
              <w:pStyle w:val="TableContents"/>
              <w:spacing w:before="0" w:after="283"/>
              <w:rPr/>
            </w:pPr>
            <w:r>
              <w:rPr/>
              <w:t> </w:t>
            </w:r>
          </w:p>
        </w:tc>
        <w:tc>
          <w:tcPr>
            <w:tcW w:w="2803"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 No. of Shares</w:t>
            </w:r>
          </w:p>
        </w:tc>
        <w:tc>
          <w:tcPr>
            <w:tcW w:w="116" w:type="dxa"/>
            <w:tcBorders/>
            <w:shd w:fill="auto" w:val="clear"/>
            <w:tcMar>
              <w:bottom w:w="0" w:type="dxa"/>
            </w:tcMar>
            <w:vAlign w:val="bottom"/>
          </w:tcPr>
          <w:p>
            <w:pPr>
              <w:pStyle w:val="TableContents"/>
              <w:spacing w:before="0" w:after="283"/>
              <w:jc w:val="left"/>
              <w:rPr/>
            </w:pPr>
            <w:r>
              <w:rPr/>
              <w:t> </w:t>
            </w:r>
          </w:p>
        </w:tc>
      </w:tr>
      <w:tr>
        <w:trPr/>
        <w:tc>
          <w:tcPr>
            <w:tcW w:w="3951" w:type="dxa"/>
            <w:tcBorders/>
            <w:shd w:fill="CCEEFF" w:val="clear"/>
            <w:tcMar>
              <w:bottom w:w="0" w:type="dxa"/>
            </w:tcMar>
            <w:vAlign w:val="bottom"/>
          </w:tcPr>
          <w:p>
            <w:pPr>
              <w:pStyle w:val="TableContents"/>
              <w:spacing w:before="0" w:after="0"/>
              <w:ind w:left="0" w:right="0" w:hanging="360"/>
              <w:jc w:val="center"/>
              <w:rPr>
                <w:rFonts w:ascii="times new roman" w:hAnsi="times new roman"/>
                <w:sz w:val="20"/>
              </w:rPr>
            </w:pPr>
            <w:r>
              <w:rPr>
                <w:rFonts w:ascii="times new roman" w:hAnsi="times new roman"/>
                <w:sz w:val="20"/>
              </w:rPr>
              <w:t>On the date of this Amendment</w:t>
            </w:r>
          </w:p>
        </w:tc>
        <w:tc>
          <w:tcPr>
            <w:tcW w:w="109"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88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rPr/>
            </w:pPr>
            <w:r>
              <w:rPr/>
              <w:t> </w:t>
            </w:r>
          </w:p>
        </w:tc>
        <w:tc>
          <w:tcPr>
            <w:tcW w:w="109" w:type="dxa"/>
            <w:tcBorders/>
            <w:shd w:fill="CCEEFF" w:val="clear"/>
            <w:tcMar>
              <w:bottom w:w="0" w:type="dxa"/>
            </w:tcMar>
            <w:vAlign w:val="bottom"/>
          </w:tcPr>
          <w:p>
            <w:pPr>
              <w:pStyle w:val="TableContents"/>
              <w:spacing w:before="0" w:after="283"/>
              <w:jc w:val="left"/>
              <w:rPr/>
            </w:pPr>
            <w:r>
              <w:rPr/>
              <w:t> </w:t>
            </w:r>
          </w:p>
        </w:tc>
        <w:tc>
          <w:tcPr>
            <w:tcW w:w="269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6" w:type="dxa"/>
            <w:tcBorders/>
            <w:shd w:fill="CCEEFF" w:val="clear"/>
            <w:tcMar>
              <w:bottom w:w="0" w:type="dxa"/>
            </w:tcMar>
            <w:vAlign w:val="bottom"/>
          </w:tcPr>
          <w:p>
            <w:pPr>
              <w:pStyle w:val="TableContents"/>
              <w:spacing w:before="0" w:after="283"/>
              <w:jc w:val="left"/>
              <w:rPr/>
            </w:pPr>
            <w:r>
              <w:rPr/>
              <w:t> </w:t>
            </w:r>
          </w:p>
        </w:tc>
      </w:tr>
      <w:tr>
        <w:trPr/>
        <w:tc>
          <w:tcPr>
            <w:tcW w:w="3951"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On or before July 11, 2013</w:t>
            </w:r>
          </w:p>
        </w:tc>
        <w:tc>
          <w:tcPr>
            <w:tcW w:w="109"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88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475,000</w:t>
            </w:r>
          </w:p>
        </w:tc>
        <w:tc>
          <w:tcPr>
            <w:tcW w:w="109"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269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950,000</w:t>
            </w:r>
          </w:p>
        </w:tc>
        <w:tc>
          <w:tcPr>
            <w:tcW w:w="116" w:type="dxa"/>
            <w:tcBorders/>
            <w:shd w:fill="FFFFFF" w:val="clear"/>
            <w:tcMar>
              <w:bottom w:w="0" w:type="dxa"/>
            </w:tcMar>
            <w:vAlign w:val="bottom"/>
          </w:tcPr>
          <w:p>
            <w:pPr>
              <w:pStyle w:val="TableContents"/>
              <w:spacing w:before="0" w:after="283"/>
              <w:jc w:val="left"/>
              <w:rPr/>
            </w:pPr>
            <w:r>
              <w:rPr/>
              <w:t> </w:t>
            </w:r>
          </w:p>
        </w:tc>
      </w:tr>
      <w:tr>
        <w:trPr/>
        <w:tc>
          <w:tcPr>
            <w:tcW w:w="3951"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On or before July 27, 2013</w:t>
            </w:r>
          </w:p>
        </w:tc>
        <w:tc>
          <w:tcPr>
            <w:tcW w:w="109"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88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9,500,000</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rPr/>
            </w:pPr>
            <w:r>
              <w:rPr/>
              <w:t> </w:t>
            </w:r>
          </w:p>
        </w:tc>
        <w:tc>
          <w:tcPr>
            <w:tcW w:w="109" w:type="dxa"/>
            <w:tcBorders/>
            <w:shd w:fill="CCEEFF" w:val="clear"/>
            <w:tcMar>
              <w:bottom w:w="0" w:type="dxa"/>
            </w:tcMar>
            <w:vAlign w:val="bottom"/>
          </w:tcPr>
          <w:p>
            <w:pPr>
              <w:pStyle w:val="TableContents"/>
              <w:spacing w:before="0" w:after="283"/>
              <w:jc w:val="left"/>
              <w:rPr/>
            </w:pPr>
            <w:r>
              <w:rPr/>
              <w:t> </w:t>
            </w:r>
          </w:p>
        </w:tc>
        <w:tc>
          <w:tcPr>
            <w:tcW w:w="269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19,000,000</w:t>
            </w:r>
          </w:p>
        </w:tc>
        <w:tc>
          <w:tcPr>
            <w:tcW w:w="116" w:type="dxa"/>
            <w:tcBorders/>
            <w:shd w:fill="CCEEFF" w:val="clear"/>
            <w:tcMar>
              <w:bottom w:w="0" w:type="dxa"/>
            </w:tcMar>
            <w:vAlign w:val="bottom"/>
          </w:tcPr>
          <w:p>
            <w:pPr>
              <w:pStyle w:val="TableContents"/>
              <w:spacing w:before="0" w:after="283"/>
              <w:jc w:val="left"/>
              <w:rPr/>
            </w:pPr>
            <w:r>
              <w:rPr/>
              <w:t> </w:t>
            </w:r>
          </w:p>
        </w:tc>
      </w:tr>
      <w:tr>
        <w:trPr/>
        <w:tc>
          <w:tcPr>
            <w:tcW w:w="3951" w:type="dxa"/>
            <w:tcBorders/>
            <w:shd w:fill="FFFFFF" w:val="clear"/>
            <w:tcMar>
              <w:bottom w:w="0" w:type="dxa"/>
            </w:tcMar>
            <w:vAlign w:val="bottom"/>
          </w:tcPr>
          <w:p>
            <w:pPr>
              <w:pStyle w:val="TableContents"/>
              <w:spacing w:before="0" w:after="0"/>
              <w:ind w:left="0" w:right="0" w:hanging="360"/>
              <w:jc w:val="center"/>
              <w:rPr>
                <w:rFonts w:ascii="times new roman" w:hAnsi="times new roman"/>
                <w:sz w:val="20"/>
              </w:rPr>
            </w:pPr>
            <w:r>
              <w:rPr>
                <w:rFonts w:ascii="times new roman" w:hAnsi="times new roman"/>
                <w:sz w:val="20"/>
              </w:rPr>
              <w:t>On or before August 30, 2013</w:t>
            </w:r>
          </w:p>
        </w:tc>
        <w:tc>
          <w:tcPr>
            <w:tcW w:w="109"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88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10,000,000</w:t>
            </w:r>
          </w:p>
        </w:tc>
        <w:tc>
          <w:tcPr>
            <w:tcW w:w="109"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269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20,000,000</w:t>
            </w:r>
          </w:p>
        </w:tc>
        <w:tc>
          <w:tcPr>
            <w:tcW w:w="116" w:type="dxa"/>
            <w:tcBorders/>
            <w:shd w:fill="FFFFFF" w:val="clear"/>
            <w:tcMar>
              <w:bottom w:w="0" w:type="dxa"/>
            </w:tcMar>
            <w:vAlign w:val="bottom"/>
          </w:tcPr>
          <w:p>
            <w:pPr>
              <w:pStyle w:val="TableContents"/>
              <w:spacing w:before="0" w:after="283"/>
              <w:jc w:val="left"/>
              <w:rPr/>
            </w:pPr>
            <w:r>
              <w:rPr/>
              <w:t> </w:t>
            </w:r>
          </w:p>
        </w:tc>
      </w:tr>
      <w:tr>
        <w:trPr/>
        <w:tc>
          <w:tcPr>
            <w:tcW w:w="3951" w:type="dxa"/>
            <w:tcBorders/>
            <w:shd w:fill="CCEEFF" w:val="clear"/>
            <w:tcMar>
              <w:bottom w:w="0" w:type="dxa"/>
            </w:tcMar>
            <w:vAlign w:val="bottom"/>
          </w:tcPr>
          <w:p>
            <w:pPr>
              <w:pStyle w:val="TableContents"/>
              <w:spacing w:before="0" w:after="0"/>
              <w:ind w:left="0" w:right="0" w:hanging="360"/>
              <w:jc w:val="center"/>
              <w:rPr>
                <w:rFonts w:ascii="times new roman" w:hAnsi="times new roman"/>
                <w:sz w:val="20"/>
              </w:rPr>
            </w:pPr>
            <w:r>
              <w:rPr>
                <w:rFonts w:ascii="times new roman" w:hAnsi="times new roman"/>
                <w:sz w:val="20"/>
              </w:rPr>
              <w:t>On or before September 30, 2013</w:t>
            </w:r>
          </w:p>
        </w:tc>
        <w:tc>
          <w:tcPr>
            <w:tcW w:w="109"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88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16,000,000</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rPr/>
            </w:pPr>
            <w:r>
              <w:rPr/>
              <w:t> </w:t>
            </w:r>
          </w:p>
        </w:tc>
        <w:tc>
          <w:tcPr>
            <w:tcW w:w="109" w:type="dxa"/>
            <w:tcBorders/>
            <w:shd w:fill="CCEEFF" w:val="clear"/>
            <w:tcMar>
              <w:bottom w:w="0" w:type="dxa"/>
            </w:tcMar>
            <w:vAlign w:val="bottom"/>
          </w:tcPr>
          <w:p>
            <w:pPr>
              <w:pStyle w:val="TableContents"/>
              <w:spacing w:before="0" w:after="283"/>
              <w:jc w:val="left"/>
              <w:rPr/>
            </w:pPr>
            <w:r>
              <w:rPr/>
              <w:t> </w:t>
            </w:r>
          </w:p>
        </w:tc>
        <w:tc>
          <w:tcPr>
            <w:tcW w:w="269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32,000,000</w:t>
            </w:r>
          </w:p>
        </w:tc>
        <w:tc>
          <w:tcPr>
            <w:tcW w:w="116"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On each Investment Date, the Company shall deliver to the Purchaser and/or its nominee, and Purchaser shall deliver to the Company the items set forth in Section 2.3 deliverable at the Closing; </w:t>
      </w:r>
      <w:r>
        <w:rPr>
          <w:rFonts w:ascii="Times New Roman" w:hAnsi="Times New Roman"/>
          <w:i/>
          <w:sz w:val="20"/>
        </w:rPr>
        <w:t>provided, however</w:t>
      </w:r>
      <w:r>
        <w:rPr>
          <w:rFonts w:ascii="Times New Roman" w:hAnsi="Times New Roman"/>
          <w:sz w:val="20"/>
        </w:rPr>
        <w:t>, the opinion of Company Counsel required by Section 2.3(a)(vii) shall only be required to be delivered as a condition to the Closing of the final tranche of $15,975,000. Upon satisfaction of the covenants and conditions set forth in Section 2.3, each Closing shall occur at the offices of Company Counsel or such other location as the parties shall mutually agree.</w:t>
      </w:r>
    </w:p>
    <w:p>
      <w:pPr>
        <w:pStyle w:val="TextBody"/>
        <w:spacing w:before="0" w:after="0"/>
        <w:ind w:left="0" w:right="0" w:hanging="0"/>
        <w:jc w:val="both"/>
        <w:rPr/>
      </w:pPr>
      <w:r>
        <w:rPr/>
        <w:t> </w:t>
      </w:r>
      <w:r>
        <w:rPr/>
        <w:br/>
        <w:t> </w:t>
      </w:r>
    </w:p>
    <w:p>
      <w:pPr>
        <w:pStyle w:val="Normal"/>
        <w:spacing w:before="0" w:after="0"/>
        <w:rPr>
          <w:sz w:val="4"/>
          <w:szCs w:val="4"/>
        </w:rPr>
      </w:pPr>
      <w:r>
        <w:rPr>
          <w:sz w:val="4"/>
          <w:szCs w:val="4"/>
        </w:rPr>
      </w:r>
      <w:bookmarkStart w:id="38" w:name="list2"/>
      <w:bookmarkStart w:id="39" w:name="list2"/>
      <w:bookmarkEnd w:id="39"/>
    </w:p>
    <w:tbl>
      <w:tblPr>
        <w:tblW w:w="5000" w:type="pct"/>
        <w:jc w:val="left"/>
        <w:tblInd w:w="0" w:type="dxa"/>
        <w:tblCellMar>
          <w:top w:w="0" w:type="dxa"/>
          <w:left w:w="0" w:type="dxa"/>
          <w:bottom w:w="0" w:type="dxa"/>
          <w:right w:w="0" w:type="dxa"/>
        </w:tblCellMar>
      </w:tblPr>
      <w:tblGrid>
        <w:gridCol w:w="437"/>
        <w:gridCol w:w="9768"/>
      </w:tblGrid>
      <w:tr>
        <w:trPr/>
        <w:tc>
          <w:tcPr>
            <w:tcW w:w="43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3.  </w:t>
            </w:r>
          </w:p>
        </w:tc>
        <w:tc>
          <w:tcPr>
            <w:tcW w:w="976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Company and Purchaser represent and warrant to each other as follows:</w:t>
            </w:r>
          </w:p>
        </w:tc>
      </w:tr>
    </w:tbl>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(a)                                Each of the Company, Autilion and Bergamo Singapore is a corporation duly organized and validly existing in the jurisdiction of its incorporation indicated in the first paragraph of this Amendment No. 2. The execution, delivery and performance of this Amendment No. 2 are within the power and authority of the Company, Autilion and Bergamo Singapore and are not in contravention of law, Articles of Incorporation, Bylaws or the terms of any other documents, agreements or undertakings to which the Company, Autilion and Bergamo Singapore is a party or by which the Company or Purchaser is bound.  No approval of any person, corporation, governmental body or other entity not provided herewith is a prerequisite to the execution, delivery and performance by the Company, Autilion and Bergamo Singapore of this Amendment No. 2, to ensure the validity or enforceability thereof.</w:t>
      </w:r>
    </w:p>
    <w:p>
      <w:pPr>
        <w:pStyle w:val="TextBody"/>
        <w:spacing w:before="0" w:after="0"/>
        <w:ind w:left="0" w:right="0" w:hanging="0"/>
        <w:rPr/>
      </w:pPr>
      <w:r>
        <w:rPr/>
      </w:r>
    </w:p>
    <w:p>
      <w:pPr>
        <w:pStyle w:val="TextBody"/>
        <w:spacing w:before="0" w:after="0"/>
        <w:ind w:left="900" w:right="0" w:hanging="0"/>
        <w:jc w:val="both"/>
        <w:rPr>
          <w:rFonts w:ascii="Times New Roman" w:hAnsi="Times New Roman"/>
          <w:sz w:val="20"/>
        </w:rPr>
      </w:pPr>
      <w:bookmarkStart w:id="40" w:name="TAB18"/>
      <w:bookmarkEnd w:id="40"/>
      <w:r>
        <w:rPr>
          <w:rFonts w:ascii="Times New Roman" w:hAnsi="Times New Roman"/>
          <w:sz w:val="20"/>
        </w:rPr>
        <w:t>(d)         When executed on behalf of the Company, Autilion and Bergamo Singapore, this Amendment No. 2 will constitute the legally binding obligations of the Company, Autilion and Bergamo Singapore, enforceable in accordance with their terms, subject to the effect of applicable bankruptcy, insolvency, reorganization, moratorium and other similar laws now existing or hereafter enacted relating to or affecting the enforcement of creditors’ rights generally, and the enforceability may be subject to limitations based on general principles of equity (regardless of whether such enforceability is considered a proceeding in equity or at law).</w:t>
      </w:r>
    </w:p>
    <w:p>
      <w:pPr>
        <w:pStyle w:val="TextBody"/>
        <w:spacing w:before="0" w:after="0"/>
        <w:ind w:left="0" w:right="0" w:hanging="0"/>
        <w:rPr/>
      </w:pPr>
      <w:r>
        <w:rPr/>
      </w:r>
    </w:p>
    <w:p>
      <w:pPr>
        <w:pStyle w:val="TextBody"/>
        <w:spacing w:before="0" w:after="0"/>
        <w:ind w:left="0" w:right="0" w:firstLine="360"/>
        <w:rPr/>
      </w:pPr>
      <w:r>
        <w:rPr>
          <w:rFonts w:ascii="Times New Roman" w:hAnsi="Times New Roman"/>
          <w:sz w:val="20"/>
        </w:rPr>
        <w:t>4.</w:t>
      </w:r>
      <w:bookmarkStart w:id="41" w:name="TAB22"/>
      <w:bookmarkEnd w:id="41"/>
      <w:r>
        <w:rPr>
          <w:color w:val="000000"/>
          <w:spacing w:val="180"/>
        </w:rPr>
        <w:t> </w:t>
      </w:r>
      <w:r>
        <w:rPr>
          <w:rFonts w:ascii="Times New Roman" w:hAnsi="Times New Roman"/>
          <w:sz w:val="20"/>
        </w:rPr>
        <w:t>The provisions of the Amended Agreement, as modified in this Amendment No. 2, shall remain in full force and effect in accordance with their terms and are hereby ratified and confirmed.  In the event of any conflict between the terms and conditions of this Amendment No. 2 and the terms and conditions set forth in the Agreement, the terms and conditions set forth herein shall control.  This Amendment No. 2 shall be governed by the laws of the State of Delaware without regard to the conflict of laws provisions thereof.</w:t>
      </w:r>
    </w:p>
    <w:p>
      <w:pPr>
        <w:pStyle w:val="TextBody"/>
        <w:spacing w:before="0" w:after="0"/>
        <w:ind w:left="0" w:right="0" w:hanging="0"/>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 w:name="PGBRK2"/>
      <w:bookmarkStart w:id="43" w:name="PGBRK2"/>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 w:name="FTR2"/>
      <w:bookmarkStart w:id="45" w:name="FTR2"/>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 w:name="GLFTR2"/>
      <w:bookmarkEnd w:id="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7" w:name="PN2"/>
      <w:bookmarkEnd w:id="4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 w:name="HDR2"/>
      <w:bookmarkStart w:id="49" w:name="HDR2"/>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 w:name="GLHDR2"/>
      <w:bookmarkEnd w:id="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b/>
          <w:sz w:val="20"/>
        </w:rPr>
        <w:t>IN WITNESS WHEREOF</w:t>
      </w:r>
      <w:r>
        <w:rPr>
          <w:rFonts w:ascii="Times New Roman" w:hAnsi="Times New Roman"/>
          <w:sz w:val="20"/>
        </w:rPr>
        <w:t>, this Amendment No. 2 is executed as of the day and year first written above.</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60"/>
        <w:gridCol w:w="442"/>
        <w:gridCol w:w="9103"/>
      </w:tblGrid>
      <w:tr>
        <w:trPr/>
        <w:tc>
          <w:tcPr>
            <w:tcW w:w="660" w:type="dxa"/>
            <w:tcBorders/>
            <w:shd w:fill="auto" w:val="clear"/>
          </w:tcPr>
          <w:p>
            <w:pPr>
              <w:pStyle w:val="TableContents"/>
              <w:spacing w:before="0" w:after="283"/>
              <w:rPr/>
            </w:pPr>
            <w:r>
              <w:rPr/>
              <w:t xml:space="preserve">  </w:t>
            </w:r>
          </w:p>
        </w:tc>
        <w:tc>
          <w:tcPr>
            <w:tcW w:w="442" w:type="dxa"/>
            <w:tcBorders/>
            <w:shd w:fill="auto" w:val="clear"/>
          </w:tcPr>
          <w:p>
            <w:pPr>
              <w:pStyle w:val="TableContents"/>
              <w:spacing w:before="0" w:after="283"/>
              <w:rPr/>
            </w:pPr>
            <w:r>
              <w:rPr/>
              <w:t xml:space="preserve">  </w:t>
            </w:r>
          </w:p>
        </w:tc>
        <w:tc>
          <w:tcPr>
            <w:tcW w:w="9103"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VISTAGEN THERAPEUTICS, INC.</w:t>
            </w:r>
          </w:p>
        </w:tc>
      </w:tr>
      <w:tr>
        <w:trPr/>
        <w:tc>
          <w:tcPr>
            <w:tcW w:w="660" w:type="dxa"/>
            <w:tcBorders/>
            <w:shd w:fill="auto" w:val="clear"/>
          </w:tcPr>
          <w:p>
            <w:pPr>
              <w:pStyle w:val="TableContents"/>
              <w:spacing w:before="0" w:after="283"/>
              <w:rPr/>
            </w:pPr>
            <w:r>
              <w:rPr/>
              <w:t xml:space="preserve">  </w:t>
            </w:r>
          </w:p>
        </w:tc>
        <w:tc>
          <w:tcPr>
            <w:tcW w:w="442" w:type="dxa"/>
            <w:tcBorders/>
            <w:shd w:fill="auto" w:val="clear"/>
          </w:tcPr>
          <w:p>
            <w:pPr>
              <w:pStyle w:val="TableContents"/>
              <w:spacing w:before="0" w:after="283"/>
              <w:rPr/>
            </w:pPr>
            <w:r>
              <w:rPr/>
              <w:t xml:space="preserve">  </w:t>
            </w:r>
          </w:p>
        </w:tc>
        <w:tc>
          <w:tcPr>
            <w:tcW w:w="9103" w:type="dxa"/>
            <w:tcBorders/>
            <w:shd w:fill="auto" w:val="clear"/>
          </w:tcPr>
          <w:p>
            <w:pPr>
              <w:pStyle w:val="TableContents"/>
              <w:spacing w:before="0" w:after="283"/>
              <w:rPr/>
            </w:pPr>
            <w:r>
              <w:rPr/>
              <w:t xml:space="preserve">  </w:t>
            </w:r>
          </w:p>
        </w:tc>
      </w:tr>
      <w:tr>
        <w:trPr/>
        <w:tc>
          <w:tcPr>
            <w:tcW w:w="660" w:type="dxa"/>
            <w:tcBorders/>
            <w:shd w:fill="auto" w:val="clear"/>
          </w:tcPr>
          <w:p>
            <w:pPr>
              <w:pStyle w:val="TableContents"/>
              <w:spacing w:before="0" w:after="283"/>
              <w:rPr/>
            </w:pPr>
            <w:r>
              <w:rPr/>
              <w:t xml:space="preserve">  </w:t>
            </w:r>
          </w:p>
        </w:tc>
        <w:tc>
          <w:tcPr>
            <w:tcW w:w="442" w:type="dxa"/>
            <w:tcBorders/>
            <w:shd w:fill="auto" w:val="clear"/>
          </w:tcPr>
          <w:p>
            <w:pPr>
              <w:pStyle w:val="TableContents"/>
              <w:spacing w:before="0" w:after="283"/>
              <w:rPr/>
            </w:pPr>
            <w:r>
              <w:rPr/>
              <w:t xml:space="preserve">  </w:t>
            </w:r>
          </w:p>
        </w:tc>
        <w:tc>
          <w:tcPr>
            <w:tcW w:w="910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Shawn K. Singh</w:t>
            </w:r>
          </w:p>
          <w:p>
            <w:pPr>
              <w:pStyle w:val="TableContents"/>
              <w:spacing w:before="0" w:after="0"/>
              <w:ind w:left="0" w:right="0" w:hanging="0"/>
              <w:jc w:val="left"/>
              <w:rPr>
                <w:rFonts w:ascii="times new roman" w:hAnsi="times new roman"/>
                <w:sz w:val="20"/>
              </w:rPr>
            </w:pPr>
            <w:r>
              <w:rPr>
                <w:rFonts w:ascii="times new roman" w:hAnsi="times new roman"/>
                <w:sz w:val="20"/>
              </w:rPr>
              <w:t>Name:  Shawn K. Singh</w:t>
            </w:r>
          </w:p>
          <w:p>
            <w:pPr>
              <w:pStyle w:val="TableContents"/>
              <w:spacing w:before="0" w:after="0"/>
              <w:ind w:left="0" w:right="0" w:hanging="0"/>
              <w:jc w:val="left"/>
              <w:rPr>
                <w:rFonts w:ascii="times new roman" w:hAnsi="times new roman"/>
                <w:sz w:val="20"/>
              </w:rPr>
            </w:pPr>
            <w:r>
              <w:rPr>
                <w:rFonts w:ascii="times new roman" w:hAnsi="times new roman"/>
                <w:sz w:val="20"/>
              </w:rPr>
              <w:t>Title:    Chief Executive Officer</w:t>
            </w:r>
          </w:p>
        </w:tc>
      </w:tr>
      <w:tr>
        <w:trPr/>
        <w:tc>
          <w:tcPr>
            <w:tcW w:w="660" w:type="dxa"/>
            <w:tcBorders/>
            <w:shd w:fill="auto" w:val="clear"/>
          </w:tcPr>
          <w:p>
            <w:pPr>
              <w:pStyle w:val="TableContents"/>
              <w:spacing w:before="0" w:after="283"/>
              <w:rPr/>
            </w:pPr>
            <w:r>
              <w:rPr/>
              <w:t xml:space="preserve">  </w:t>
            </w:r>
          </w:p>
        </w:tc>
        <w:tc>
          <w:tcPr>
            <w:tcW w:w="442" w:type="dxa"/>
            <w:tcBorders/>
            <w:shd w:fill="auto" w:val="clear"/>
          </w:tcPr>
          <w:p>
            <w:pPr>
              <w:pStyle w:val="TableContents"/>
              <w:spacing w:before="0" w:after="283"/>
              <w:rPr/>
            </w:pPr>
            <w:r>
              <w:rPr/>
              <w:t xml:space="preserve">  </w:t>
            </w:r>
          </w:p>
        </w:tc>
        <w:tc>
          <w:tcPr>
            <w:tcW w:w="9103" w:type="dxa"/>
            <w:tcBorders/>
            <w:shd w:fill="auto" w:val="clear"/>
          </w:tcPr>
          <w:p>
            <w:pPr>
              <w:pStyle w:val="TableContents"/>
              <w:spacing w:before="0" w:after="283"/>
              <w:rPr/>
            </w:pPr>
            <w:r>
              <w:rPr/>
              <w:t xml:space="preserve">  </w:t>
            </w:r>
          </w:p>
        </w:tc>
      </w:tr>
      <w:tr>
        <w:trPr/>
        <w:tc>
          <w:tcPr>
            <w:tcW w:w="660" w:type="dxa"/>
            <w:tcBorders/>
            <w:shd w:fill="auto" w:val="clear"/>
          </w:tcPr>
          <w:p>
            <w:pPr>
              <w:pStyle w:val="TableContents"/>
              <w:spacing w:before="0" w:after="283"/>
              <w:rPr/>
            </w:pPr>
            <w:r>
              <w:rPr/>
              <w:t xml:space="preserve">  </w:t>
            </w:r>
          </w:p>
        </w:tc>
        <w:tc>
          <w:tcPr>
            <w:tcW w:w="442" w:type="dxa"/>
            <w:tcBorders/>
            <w:shd w:fill="auto" w:val="clear"/>
          </w:tcPr>
          <w:p>
            <w:pPr>
              <w:pStyle w:val="TableContents"/>
              <w:spacing w:before="0" w:after="283"/>
              <w:rPr/>
            </w:pPr>
            <w:r>
              <w:rPr/>
              <w:t xml:space="preserve">  </w:t>
            </w:r>
          </w:p>
        </w:tc>
        <w:tc>
          <w:tcPr>
            <w:tcW w:w="9103"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AUTILION AG</w:t>
            </w:r>
          </w:p>
        </w:tc>
      </w:tr>
      <w:tr>
        <w:trPr/>
        <w:tc>
          <w:tcPr>
            <w:tcW w:w="660" w:type="dxa"/>
            <w:tcBorders/>
            <w:shd w:fill="auto" w:val="clear"/>
          </w:tcPr>
          <w:p>
            <w:pPr>
              <w:pStyle w:val="TableContents"/>
              <w:spacing w:before="0" w:after="283"/>
              <w:rPr/>
            </w:pPr>
            <w:r>
              <w:rPr/>
              <w:t xml:space="preserve">  </w:t>
            </w:r>
          </w:p>
        </w:tc>
        <w:tc>
          <w:tcPr>
            <w:tcW w:w="442" w:type="dxa"/>
            <w:tcBorders/>
            <w:shd w:fill="auto" w:val="clear"/>
          </w:tcPr>
          <w:p>
            <w:pPr>
              <w:pStyle w:val="TableContents"/>
              <w:spacing w:before="0" w:after="283"/>
              <w:rPr/>
            </w:pPr>
            <w:r>
              <w:rPr/>
              <w:t xml:space="preserve">  </w:t>
            </w:r>
          </w:p>
        </w:tc>
        <w:tc>
          <w:tcPr>
            <w:tcW w:w="9103" w:type="dxa"/>
            <w:tcBorders/>
            <w:shd w:fill="auto" w:val="clear"/>
          </w:tcPr>
          <w:p>
            <w:pPr>
              <w:pStyle w:val="TableContents"/>
              <w:spacing w:before="0" w:after="283"/>
              <w:rPr/>
            </w:pPr>
            <w:r>
              <w:rPr/>
              <w:t xml:space="preserve">  </w:t>
            </w:r>
          </w:p>
        </w:tc>
      </w:tr>
      <w:tr>
        <w:trPr/>
        <w:tc>
          <w:tcPr>
            <w:tcW w:w="660" w:type="dxa"/>
            <w:tcBorders/>
            <w:shd w:fill="auto" w:val="clear"/>
          </w:tcPr>
          <w:p>
            <w:pPr>
              <w:pStyle w:val="TableContents"/>
              <w:spacing w:before="0" w:after="283"/>
              <w:rPr/>
            </w:pPr>
            <w:r>
              <w:rPr/>
              <w:t xml:space="preserve">  </w:t>
            </w:r>
          </w:p>
        </w:tc>
        <w:tc>
          <w:tcPr>
            <w:tcW w:w="442" w:type="dxa"/>
            <w:tcBorders/>
            <w:shd w:fill="auto" w:val="clear"/>
          </w:tcPr>
          <w:p>
            <w:pPr>
              <w:pStyle w:val="TableContents"/>
              <w:spacing w:before="0" w:after="283"/>
              <w:rPr/>
            </w:pPr>
            <w:r>
              <w:rPr/>
              <w:t xml:space="preserve">  </w:t>
            </w:r>
          </w:p>
        </w:tc>
        <w:tc>
          <w:tcPr>
            <w:tcW w:w="910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Hilard Herzog</w:t>
            </w:r>
          </w:p>
          <w:p>
            <w:pPr>
              <w:pStyle w:val="TableContents"/>
              <w:spacing w:before="0" w:after="0"/>
              <w:ind w:left="0" w:right="0" w:hanging="0"/>
              <w:jc w:val="left"/>
              <w:rPr>
                <w:rFonts w:ascii="times new roman" w:hAnsi="times new roman"/>
                <w:sz w:val="20"/>
              </w:rPr>
            </w:pPr>
            <w:r>
              <w:rPr>
                <w:rFonts w:ascii="times new roman" w:hAnsi="times new roman"/>
                <w:sz w:val="20"/>
              </w:rPr>
              <w:t>Name:  Hilard Herzog</w:t>
            </w:r>
          </w:p>
          <w:p>
            <w:pPr>
              <w:pStyle w:val="TableContents"/>
              <w:spacing w:before="0" w:after="0"/>
              <w:ind w:left="0" w:right="0" w:hanging="0"/>
              <w:jc w:val="left"/>
              <w:rPr>
                <w:rFonts w:ascii="times new roman" w:hAnsi="times new roman"/>
                <w:sz w:val="20"/>
              </w:rPr>
            </w:pPr>
            <w:r>
              <w:rPr>
                <w:rFonts w:ascii="times new roman" w:hAnsi="times new roman"/>
                <w:sz w:val="20"/>
              </w:rPr>
              <w:t>Title:    President</w:t>
            </w:r>
          </w:p>
        </w:tc>
      </w:tr>
      <w:tr>
        <w:trPr/>
        <w:tc>
          <w:tcPr>
            <w:tcW w:w="660" w:type="dxa"/>
            <w:tcBorders/>
            <w:shd w:fill="auto" w:val="clear"/>
          </w:tcPr>
          <w:p>
            <w:pPr>
              <w:pStyle w:val="TableContents"/>
              <w:spacing w:before="0" w:after="283"/>
              <w:rPr/>
            </w:pPr>
            <w:r>
              <w:rPr/>
              <w:t xml:space="preserve">  </w:t>
            </w:r>
          </w:p>
        </w:tc>
        <w:tc>
          <w:tcPr>
            <w:tcW w:w="442" w:type="dxa"/>
            <w:tcBorders/>
            <w:shd w:fill="auto" w:val="clear"/>
          </w:tcPr>
          <w:p>
            <w:pPr>
              <w:pStyle w:val="TableContents"/>
              <w:spacing w:before="0" w:after="283"/>
              <w:rPr/>
            </w:pPr>
            <w:r>
              <w:rPr/>
              <w:t xml:space="preserve">  </w:t>
            </w:r>
          </w:p>
        </w:tc>
        <w:tc>
          <w:tcPr>
            <w:tcW w:w="9103" w:type="dxa"/>
            <w:tcBorders/>
            <w:shd w:fill="auto" w:val="clear"/>
          </w:tcPr>
          <w:p>
            <w:pPr>
              <w:pStyle w:val="TableContents"/>
              <w:spacing w:before="0" w:after="283"/>
              <w:rPr/>
            </w:pPr>
            <w:r>
              <w:rPr/>
              <w:t xml:space="preserve">  </w:t>
            </w:r>
          </w:p>
        </w:tc>
      </w:tr>
      <w:tr>
        <w:trPr/>
        <w:tc>
          <w:tcPr>
            <w:tcW w:w="660" w:type="dxa"/>
            <w:tcBorders/>
            <w:shd w:fill="auto" w:val="clear"/>
          </w:tcPr>
          <w:p>
            <w:pPr>
              <w:pStyle w:val="TableContents"/>
              <w:spacing w:before="0" w:after="283"/>
              <w:rPr/>
            </w:pPr>
            <w:r>
              <w:rPr/>
              <w:t xml:space="preserve">  </w:t>
            </w:r>
          </w:p>
        </w:tc>
        <w:tc>
          <w:tcPr>
            <w:tcW w:w="442" w:type="dxa"/>
            <w:tcBorders/>
            <w:shd w:fill="auto" w:val="clear"/>
          </w:tcPr>
          <w:p>
            <w:pPr>
              <w:pStyle w:val="TableContents"/>
              <w:spacing w:before="0" w:after="283"/>
              <w:rPr/>
            </w:pPr>
            <w:r>
              <w:rPr/>
              <w:t xml:space="preserve">  </w:t>
            </w:r>
          </w:p>
        </w:tc>
        <w:tc>
          <w:tcPr>
            <w:tcW w:w="9103"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BERGAMO ACQUISITION CORP PTE, LTD</w:t>
            </w:r>
          </w:p>
        </w:tc>
      </w:tr>
      <w:tr>
        <w:trPr/>
        <w:tc>
          <w:tcPr>
            <w:tcW w:w="660" w:type="dxa"/>
            <w:tcBorders/>
            <w:shd w:fill="auto" w:val="clear"/>
          </w:tcPr>
          <w:p>
            <w:pPr>
              <w:pStyle w:val="TableContents"/>
              <w:spacing w:before="0" w:after="283"/>
              <w:rPr/>
            </w:pPr>
            <w:r>
              <w:rPr/>
              <w:t xml:space="preserve">  </w:t>
            </w:r>
          </w:p>
        </w:tc>
        <w:tc>
          <w:tcPr>
            <w:tcW w:w="442" w:type="dxa"/>
            <w:tcBorders/>
            <w:shd w:fill="auto" w:val="clear"/>
          </w:tcPr>
          <w:p>
            <w:pPr>
              <w:pStyle w:val="TableContents"/>
              <w:spacing w:before="0" w:after="283"/>
              <w:rPr/>
            </w:pPr>
            <w:r>
              <w:rPr/>
              <w:t xml:space="preserve">  </w:t>
            </w:r>
          </w:p>
        </w:tc>
        <w:tc>
          <w:tcPr>
            <w:tcW w:w="9103" w:type="dxa"/>
            <w:tcBorders/>
            <w:shd w:fill="auto" w:val="clear"/>
          </w:tcPr>
          <w:p>
            <w:pPr>
              <w:pStyle w:val="TableContents"/>
              <w:spacing w:before="0" w:after="283"/>
              <w:rPr/>
            </w:pPr>
            <w:r>
              <w:rPr/>
              <w:t xml:space="preserve">  </w:t>
            </w:r>
          </w:p>
        </w:tc>
      </w:tr>
      <w:tr>
        <w:trPr/>
        <w:tc>
          <w:tcPr>
            <w:tcW w:w="660" w:type="dxa"/>
            <w:tcBorders/>
            <w:shd w:fill="auto" w:val="clear"/>
          </w:tcPr>
          <w:p>
            <w:pPr>
              <w:pStyle w:val="TableContents"/>
              <w:spacing w:before="0" w:after="283"/>
              <w:rPr/>
            </w:pPr>
            <w:r>
              <w:rPr/>
              <w:t xml:space="preserve">  </w:t>
            </w:r>
          </w:p>
        </w:tc>
        <w:tc>
          <w:tcPr>
            <w:tcW w:w="442" w:type="dxa"/>
            <w:tcBorders/>
            <w:shd w:fill="auto" w:val="clear"/>
          </w:tcPr>
          <w:p>
            <w:pPr>
              <w:pStyle w:val="TableContents"/>
              <w:spacing w:before="0" w:after="283"/>
              <w:rPr/>
            </w:pPr>
            <w:r>
              <w:rPr/>
              <w:t xml:space="preserve">  </w:t>
            </w:r>
          </w:p>
        </w:tc>
        <w:tc>
          <w:tcPr>
            <w:tcW w:w="910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Hilard Herzog</w:t>
            </w:r>
          </w:p>
          <w:p>
            <w:pPr>
              <w:pStyle w:val="TableContents"/>
              <w:spacing w:before="0" w:after="0"/>
              <w:ind w:left="0" w:right="0" w:hanging="0"/>
              <w:jc w:val="left"/>
              <w:rPr>
                <w:rFonts w:ascii="times new roman" w:hAnsi="times new roman"/>
                <w:sz w:val="20"/>
              </w:rPr>
            </w:pPr>
            <w:r>
              <w:rPr>
                <w:rFonts w:ascii="times new roman" w:hAnsi="times new roman"/>
                <w:sz w:val="20"/>
              </w:rPr>
              <w:t>Name:  Hilard Herzog</w:t>
            </w:r>
          </w:p>
          <w:p>
            <w:pPr>
              <w:pStyle w:val="TableContents"/>
              <w:spacing w:before="0" w:after="0"/>
              <w:ind w:left="0" w:right="0" w:hanging="0"/>
              <w:jc w:val="left"/>
              <w:rPr>
                <w:rFonts w:ascii="times new roman" w:hAnsi="times new roman"/>
                <w:sz w:val="20"/>
              </w:rPr>
            </w:pPr>
            <w:r>
              <w:rPr>
                <w:rFonts w:ascii="times new roman" w:hAnsi="times new roman"/>
                <w:sz w:val="20"/>
              </w:rPr>
              <w:t>Title:    President</w:t>
            </w:r>
          </w:p>
        </w:tc>
      </w:tr>
      <w:tr>
        <w:trPr/>
        <w:tc>
          <w:tcPr>
            <w:tcW w:w="660" w:type="dxa"/>
            <w:tcBorders/>
            <w:shd w:fill="auto" w:val="clear"/>
          </w:tcPr>
          <w:p>
            <w:pPr>
              <w:pStyle w:val="TableContents"/>
              <w:spacing w:before="0" w:after="283"/>
              <w:rPr/>
            </w:pPr>
            <w:r>
              <w:rPr/>
              <w:t xml:space="preserve">  </w:t>
            </w:r>
          </w:p>
        </w:tc>
        <w:tc>
          <w:tcPr>
            <w:tcW w:w="442" w:type="dxa"/>
            <w:tcBorders/>
            <w:shd w:fill="auto" w:val="clear"/>
          </w:tcPr>
          <w:p>
            <w:pPr>
              <w:pStyle w:val="TableContents"/>
              <w:spacing w:before="0" w:after="283"/>
              <w:rPr/>
            </w:pPr>
            <w:r>
              <w:rPr/>
              <w:t xml:space="preserve">  </w:t>
            </w:r>
          </w:p>
        </w:tc>
        <w:tc>
          <w:tcPr>
            <w:tcW w:w="9103" w:type="dxa"/>
            <w:tcBorders/>
            <w:shd w:fill="auto" w:val="clear"/>
          </w:tcPr>
          <w:p>
            <w:pPr>
              <w:pStyle w:val="TableContents"/>
              <w:spacing w:before="0" w:after="283"/>
              <w:rPr/>
            </w:pPr>
            <w:r>
              <w:rPr/>
              <w:t xml:space="preserve">  </w:t>
            </w:r>
          </w:p>
        </w:tc>
      </w:tr>
    </w:tbl>
    <w:p>
      <w:pPr>
        <w:pStyle w:val="TextBody"/>
        <w:ind w:left="0" w:right="0" w:hanging="0"/>
        <w:rPr/>
      </w:pPr>
      <w:r>
        <w:rPr/>
      </w:r>
      <w:r>
        <w:br w:type="page"/>
      </w:r>
    </w:p>
    <w:p>
      <w:pPr>
        <w:pStyle w:val="TextBody"/>
        <w:spacing w:before="0" w:after="0"/>
        <w:ind w:left="0" w:right="0" w:hanging="0"/>
        <w:jc w:val="right"/>
        <w:rPr>
          <w:b/>
        </w:rPr>
      </w:pPr>
      <w:bookmarkStart w:id="51" w:name="ex99-1.htm"/>
      <w:bookmarkStart w:id="52" w:name="ksex991"/>
      <w:bookmarkEnd w:id="51"/>
      <w:bookmarkEnd w:id="52"/>
      <w:r>
        <w:rPr>
          <w:b/>
        </w:rPr>
        <w:t>Exhibit 99.1</w:t>
      </w:r>
    </w:p>
    <w:p>
      <w:pPr>
        <w:pStyle w:val="TextBody"/>
        <w:spacing w:before="0" w:after="0"/>
        <w:ind w:left="0" w:right="0" w:hanging="0"/>
        <w:jc w:val="center"/>
        <w:rPr/>
      </w:pPr>
      <w:r>
        <w:rPr/>
        <w:drawing>
          <wp:inline distT="0" distB="0" distL="0" distR="0">
            <wp:extent cx="1828800" cy="8610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861060"/>
                    </a:xfrm>
                    <a:prstGeom prst="rect">
                      <a:avLst/>
                    </a:prstGeom>
                  </pic:spPr>
                </pic:pic>
              </a:graphicData>
            </a:graphic>
          </wp:inline>
        </w:drawing>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VistaGen Provides Update on $36 Million Strategic Financing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SOUTH SAN FRANCISCO, CA – June 28, 2013 (MARKETWIRE via COMTEX) – VistaGen Therapeutics, Inc. (OTCQB: VSTA), a biotechnology company applying pluripotent stem cell technology for drug rescue, predictive toxicology and drug metabolism assays, today announced an update on the status of its strategic financing agreement with Autilion AG.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Under the terms of the parties’ April 2013 agreement, as amended, Autilion AG has committed to invest $36 million in VistaGen in consideration for 72 million shares of restricted VistaGen common stock, at a price of $0.50 per share, in a series of closings ending on or before September 30, 2013.  The parties have amended their agreement, completed a first closing and scheduled additional closings to occur in July, August and September 2013.  As noted previously, the self-placed strategic financing does not include warrants or investment banking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Shawn K. Singh, VistaGen's Chief Executive Officer, stated, “I met with Autilion’s team earlier this week, and we have been working closely with them since signing our agreement in April.  We are confident and excited about completing this transformative financing.  Building on the positive developments in our labs presented during the Annual Meetings of the Society of Toxicology and International Society of Stem Cell Research in March and this month, respectively, we look forward to accelerating our lead programs towards valuable outcomes for our shareholders.”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About VistaGen Therapeutics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VistaGen is a biotechnology company applying human pluripotent stem cell technology for drug rescue, predictive toxicology and drug metabolism screening. VistaGen's drug rescue activities combine its human pluripotent stem cell technology platform, </w:t>
      </w:r>
      <w:r>
        <w:rPr>
          <w:rFonts w:ascii="Times New Roman" w:hAnsi="Times New Roman"/>
          <w:i/>
          <w:sz w:val="20"/>
        </w:rPr>
        <w:t>Human Clinical Trials in a Test Tube</w:t>
      </w:r>
      <w:r>
        <w:rPr>
          <w:rFonts w:ascii="Times New Roman" w:hAnsi="Times New Roman"/>
          <w:sz w:val="20"/>
        </w:rPr>
        <w:t>™, with modern medicinal chemistry to generate novel, safer chemical variants (Drug Rescue Variants) of once-promising small molecule drug candidates. These are drug candidates discontinued by pharmaceutical or biotechnology companies, the U.S. National Institutes of Health (NIH) or university laboratories, after substantial investment in discovery and development, due to unexpected safety issues relating to the heart or liver or adverse drug-drug interactions. VistaGen uses its pluripotent stem cell technology to generate early indications, or predictions, of how humans will ultimately respond to new drug candidates before they are ever tested in humans, bringing human biology to the front end of the drug development process.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VistaGen's small molecule prodrug candidate, AV-101, has successfully completed Phase 1 development for treatment of neuropathic pain. Neuropathic pain, a serious and chronic condition causing pain after an injury or disease of the peripheral or central nervous system, affects millions of people worldwide.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Visit VistaGen at </w:t>
      </w:r>
      <w:r>
        <w:rPr>
          <w:rFonts w:ascii="Times New Roman" w:hAnsi="Times New Roman"/>
          <w:sz w:val="20"/>
          <w:u w:val="single"/>
        </w:rPr>
        <w:t>http://www.VistaGen.com</w:t>
      </w:r>
      <w:r>
        <w:rPr>
          <w:rFonts w:ascii="Times New Roman" w:hAnsi="Times New Roman"/>
          <w:sz w:val="20"/>
        </w:rPr>
        <w:t xml:space="preserve">, follow VistaGen at </w:t>
      </w:r>
      <w:r>
        <w:rPr>
          <w:rFonts w:ascii="Times New Roman" w:hAnsi="Times New Roman"/>
          <w:sz w:val="20"/>
          <w:u w:val="single"/>
        </w:rPr>
        <w:t>http://www.twitter.com/VistaGen</w:t>
      </w:r>
      <w:r>
        <w:rPr>
          <w:rFonts w:ascii="Times New Roman" w:hAnsi="Times New Roman"/>
          <w:sz w:val="20"/>
        </w:rPr>
        <w:t xml:space="preserve"> or view VistaGen's Facebook page at </w:t>
      </w:r>
      <w:r>
        <w:rPr>
          <w:rFonts w:ascii="Times New Roman" w:hAnsi="Times New Roman"/>
          <w:sz w:val="20"/>
          <w:u w:val="single"/>
        </w:rPr>
        <w:t>http://www.facebook.com/VistaGen</w:t>
      </w:r>
      <w:r>
        <w:rPr>
          <w:rFonts w:ascii="Times New Roman" w:hAnsi="Times New Roman"/>
          <w:sz w:val="20"/>
        </w:rPr>
        <w: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 w:name="PGBRK3"/>
      <w:bookmarkStart w:id="54" w:name="PGBRK3"/>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 w:name="FTR3"/>
      <w:bookmarkStart w:id="56" w:name="FTR3"/>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7" w:name="GLFTR3"/>
      <w:bookmarkEnd w:id="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8" w:name="PN3"/>
      <w:bookmarkEnd w:id="5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 w:name="HDR3"/>
      <w:bookmarkStart w:id="60" w:name="HDR3"/>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1" w:name="GLHDR3"/>
      <w:bookmarkEnd w:id="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Cautionary Statement Regarding Forward-Looking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satisfaction of certain conditions to closing the strategic financing referred to in this press release, the success of VistaGen's stem cell technology-based drug rescue, predictive toxicology and metabolism screening activities, further development of stem cell-based bioassay systems and cell therapies, clinical development and commercialization of AV-101 for neuropathic pain or any other disease or condition, its ability to enter into strategic predictive toxicology, metabolism screening, drug rescue and/or drug discovery, development and commercialization collaborations and/or licensing arrangements with respect to one or more drug rescue variants, regenerative cell therapies or AV-101, risks and uncertainties relating to the availability of substantial additional capital to support its research, drug rescue, development and commercialization activities, and the success of its research and development plans and strategies, including those plans and strategies related to any drug rescue variant or regenerative cell therapy identified and developed by VistaGen, or AV-101. These and other risks and uncertainties are identified and described in more detail in VistaGen's filings with the Securities and Exchange Commission (SEC). These filings are available on the SEC's website at </w:t>
      </w:r>
      <w:r>
        <w:rPr>
          <w:rFonts w:ascii="Times New Roman" w:hAnsi="Times New Roman"/>
          <w:sz w:val="20"/>
          <w:u w:val="single"/>
        </w:rPr>
        <w:t>www.sec.gov</w:t>
      </w:r>
      <w:r>
        <w:rPr>
          <w:rFonts w:ascii="Times New Roman" w:hAnsi="Times New Roman"/>
          <w:sz w:val="20"/>
        </w:rPr>
        <w:t>. VistaGen undertakes no obligation to publicly update or revise any forward-looking statements.</w:t>
      </w:r>
    </w:p>
    <w:p>
      <w:pPr>
        <w:pStyle w:val="TextBody"/>
        <w:spacing w:before="0" w:after="0"/>
        <w:ind w:left="0" w:right="0" w:hanging="0"/>
        <w:jc w:val="both"/>
        <w:rPr/>
      </w:pPr>
      <w:r>
        <w:rPr/>
        <w:t> </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For more information: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Shawn K. Singh, J.D.</w:t>
      </w:r>
    </w:p>
    <w:p>
      <w:pPr>
        <w:pStyle w:val="TextBody"/>
        <w:spacing w:before="0" w:after="0"/>
        <w:ind w:left="0" w:right="0" w:hanging="0"/>
        <w:jc w:val="left"/>
        <w:rPr>
          <w:rFonts w:ascii="Times New Roman" w:hAnsi="Times New Roman"/>
          <w:sz w:val="20"/>
        </w:rPr>
      </w:pPr>
      <w:r>
        <w:rPr>
          <w:rFonts w:ascii="Times New Roman" w:hAnsi="Times New Roman"/>
          <w:sz w:val="20"/>
        </w:rPr>
        <w:t>Chief Executive Officer</w:t>
      </w:r>
    </w:p>
    <w:p>
      <w:pPr>
        <w:pStyle w:val="TextBody"/>
        <w:spacing w:before="0" w:after="0"/>
        <w:ind w:left="0" w:right="0" w:hanging="0"/>
        <w:jc w:val="left"/>
        <w:rPr>
          <w:rFonts w:ascii="Times New Roman" w:hAnsi="Times New Roman"/>
          <w:sz w:val="20"/>
        </w:rPr>
      </w:pPr>
      <w:r>
        <w:rPr>
          <w:rFonts w:ascii="Times New Roman" w:hAnsi="Times New Roman"/>
          <w:sz w:val="20"/>
        </w:rPr>
        <w:t>VistaGen Therapeutics, Inc.</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www.VistaGen.com</w:t>
      </w:r>
    </w:p>
    <w:p>
      <w:pPr>
        <w:pStyle w:val="TextBody"/>
        <w:spacing w:before="0" w:after="0"/>
        <w:ind w:left="0" w:right="0" w:hanging="0"/>
        <w:jc w:val="left"/>
        <w:rPr>
          <w:rFonts w:ascii="Times New Roman" w:hAnsi="Times New Roman"/>
          <w:sz w:val="20"/>
        </w:rPr>
      </w:pPr>
      <w:r>
        <w:rPr>
          <w:rFonts w:ascii="Times New Roman" w:hAnsi="Times New Roman"/>
          <w:sz w:val="20"/>
        </w:rPr>
        <w:t>650-244-9990 x224</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Investor.Relations@VistaGen.com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Mission Investor Relations</w:t>
      </w:r>
    </w:p>
    <w:p>
      <w:pPr>
        <w:pStyle w:val="TextBody"/>
        <w:spacing w:before="0" w:after="0"/>
        <w:ind w:left="0" w:right="0" w:hanging="0"/>
        <w:jc w:val="left"/>
        <w:rPr>
          <w:rFonts w:ascii="Times New Roman" w:hAnsi="Times New Roman"/>
          <w:sz w:val="20"/>
        </w:rPr>
      </w:pPr>
      <w:r>
        <w:rPr>
          <w:rFonts w:ascii="Times New Roman" w:hAnsi="Times New Roman"/>
          <w:sz w:val="20"/>
        </w:rPr>
        <w:t>IR Communications</w:t>
      </w:r>
    </w:p>
    <w:p>
      <w:pPr>
        <w:pStyle w:val="TextBody"/>
        <w:spacing w:before="0" w:after="0"/>
        <w:ind w:left="0" w:right="0" w:hanging="0"/>
        <w:jc w:val="left"/>
        <w:rPr>
          <w:rFonts w:ascii="Times New Roman" w:hAnsi="Times New Roman"/>
          <w:sz w:val="20"/>
        </w:rPr>
      </w:pPr>
      <w:r>
        <w:rPr>
          <w:rFonts w:ascii="Times New Roman" w:hAnsi="Times New Roman"/>
          <w:sz w:val="20"/>
        </w:rPr>
        <w:t>Atlanta, Georgia</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www.MissionIR.com</w:t>
      </w:r>
    </w:p>
    <w:p>
      <w:pPr>
        <w:pStyle w:val="TextBody"/>
        <w:spacing w:before="0" w:after="0"/>
        <w:ind w:left="0" w:right="0" w:hanging="0"/>
        <w:jc w:val="left"/>
        <w:rPr>
          <w:rFonts w:ascii="Times New Roman" w:hAnsi="Times New Roman"/>
          <w:sz w:val="20"/>
        </w:rPr>
      </w:pPr>
      <w:r>
        <w:rPr>
          <w:rFonts w:ascii="Times New Roman" w:hAnsi="Times New Roman"/>
          <w:sz w:val="20"/>
        </w:rPr>
        <w:t>404-941-8975</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Investors@MissionIR.com</w:t>
      </w:r>
    </w:p>
    <w:p>
      <w:pPr>
        <w:pStyle w:val="TextBody"/>
        <w:spacing w:before="0" w:after="283"/>
        <w:ind w:left="0" w:right="0" w:hanging="0"/>
        <w:jc w:val="both"/>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2531</Words>
  <CharactersWithSpaces>16971</CharactersWithSpaces>
  <Paragraphs>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