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August 2, 2020</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949" w:right="3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0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3960" w:space="720"/>
            <w:col w:w="2640" w:space="720"/>
            <w:col w:w="3200"/>
          </w:cols>
          <w:pgMar w:left="320" w:top="949" w:right="339" w:bottom="1440" w:gutter="0" w:footer="0" w:header="0"/>
          <w:type w:val="continuous"/>
        </w:sectPr>
      </w:pPr>
    </w:p>
    <w:p>
      <w:pPr>
        <w:spacing w:after="0" w:line="3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240"/>
          </w:cols>
          <w:pgMar w:left="320" w:top="949" w:right="3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393"/>
        </w:trPr>
        <w:tc>
          <w:tcPr>
            <w:tcW w:w="134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174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Trading Symbol(s)</w:t>
            </w:r>
          </w:p>
        </w:tc>
        <w:tc>
          <w:tcPr>
            <w:tcW w:w="142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35"/>
        </w:trPr>
        <w:tc>
          <w:tcPr>
            <w:tcW w:w="436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Common Stock, par value $0.001 per share</w:t>
            </w:r>
          </w:p>
        </w:tc>
        <w:tc>
          <w:tcPr>
            <w:tcW w:w="2740" w:type="dxa"/>
            <w:vAlign w:val="bottom"/>
            <w:gridSpan w:val="2"/>
          </w:tcPr>
          <w:p>
            <w:pPr>
              <w:jc w:val="center"/>
              <w:ind w:right="1420"/>
              <w:spacing w:after="0"/>
              <w:rPr>
                <w:sz w:val="20"/>
                <w:szCs w:val="20"/>
                <w:color w:val="auto"/>
              </w:rPr>
            </w:pPr>
            <w:r>
              <w:rPr>
                <w:rFonts w:ascii="Arial" w:cs="Arial" w:eastAsia="Arial" w:hAnsi="Arial"/>
                <w:sz w:val="18"/>
                <w:szCs w:val="18"/>
                <w:color w:val="auto"/>
                <w:w w:val="95"/>
              </w:rPr>
              <w:t>VTGN</w:t>
            </w: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Nasdaq Capital Market</w:t>
            </w:r>
          </w:p>
        </w:tc>
      </w:tr>
    </w:tbl>
    <w:p>
      <w:pPr>
        <w:spacing w:after="0" w:line="210"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August 2, 2020,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entered into an underwriting agreement (the “</w:t>
      </w:r>
      <w:r>
        <w:rPr>
          <w:rFonts w:ascii="Arial" w:cs="Arial" w:eastAsia="Arial" w:hAnsi="Arial"/>
          <w:sz w:val="16"/>
          <w:szCs w:val="16"/>
          <w:i w:val="1"/>
          <w:iCs w:val="1"/>
          <w:color w:val="auto"/>
        </w:rPr>
        <w:t>Underwriting Agreement</w:t>
      </w:r>
      <w:r>
        <w:rPr>
          <w:rFonts w:ascii="Arial" w:cs="Arial" w:eastAsia="Arial" w:hAnsi="Arial"/>
          <w:sz w:val="16"/>
          <w:szCs w:val="16"/>
          <w:color w:val="auto"/>
        </w:rPr>
        <w:t>”) with Maxim Group, LLC as representative of the underwriters named therein (“the “</w:t>
      </w:r>
      <w:r>
        <w:rPr>
          <w:rFonts w:ascii="Arial" w:cs="Arial" w:eastAsia="Arial" w:hAnsi="Arial"/>
          <w:sz w:val="16"/>
          <w:szCs w:val="16"/>
          <w:i w:val="1"/>
          <w:iCs w:val="1"/>
          <w:color w:val="auto"/>
        </w:rPr>
        <w:t>Underwriter</w:t>
      </w:r>
      <w:r>
        <w:rPr>
          <w:rFonts w:ascii="Arial" w:cs="Arial" w:eastAsia="Arial" w:hAnsi="Arial"/>
          <w:sz w:val="16"/>
          <w:szCs w:val="16"/>
          <w:color w:val="auto"/>
        </w:rPr>
        <w:t>”), pursuant to which the Company agreed to issue and sell to the Underwriter, in an underwritten public offering (the “</w:t>
      </w:r>
      <w:r>
        <w:rPr>
          <w:rFonts w:ascii="Arial" w:cs="Arial" w:eastAsia="Arial" w:hAnsi="Arial"/>
          <w:sz w:val="16"/>
          <w:szCs w:val="16"/>
          <w:i w:val="1"/>
          <w:iCs w:val="1"/>
          <w:color w:val="auto"/>
        </w:rPr>
        <w:t>Public Offering</w:t>
      </w:r>
      <w:r>
        <w:rPr>
          <w:rFonts w:ascii="Arial" w:cs="Arial" w:eastAsia="Arial" w:hAnsi="Arial"/>
          <w:sz w:val="16"/>
          <w:szCs w:val="16"/>
          <w:color w:val="auto"/>
        </w:rPr>
        <w:t>”), an aggregate of 15,625,000 shares (the “</w:t>
      </w:r>
      <w:r>
        <w:rPr>
          <w:rFonts w:ascii="Arial" w:cs="Arial" w:eastAsia="Arial" w:hAnsi="Arial"/>
          <w:sz w:val="16"/>
          <w:szCs w:val="16"/>
          <w:i w:val="1"/>
          <w:iCs w:val="1"/>
          <w:color w:val="auto"/>
        </w:rPr>
        <w:t>Shares</w:t>
      </w:r>
      <w:r>
        <w:rPr>
          <w:rFonts w:ascii="Arial" w:cs="Arial" w:eastAsia="Arial" w:hAnsi="Arial"/>
          <w:sz w:val="16"/>
          <w:szCs w:val="16"/>
          <w:color w:val="auto"/>
        </w:rPr>
        <w:t>”) of the Company’s common stock, par value $0.001 per share (“</w:t>
      </w:r>
      <w:r>
        <w:rPr>
          <w:rFonts w:ascii="Arial" w:cs="Arial" w:eastAsia="Arial" w:hAnsi="Arial"/>
          <w:sz w:val="16"/>
          <w:szCs w:val="16"/>
          <w:i w:val="1"/>
          <w:iCs w:val="1"/>
          <w:color w:val="auto"/>
        </w:rPr>
        <w:t>Common Stock</w:t>
      </w:r>
      <w:r>
        <w:rPr>
          <w:rFonts w:ascii="Arial" w:cs="Arial" w:eastAsia="Arial" w:hAnsi="Arial"/>
          <w:sz w:val="16"/>
          <w:szCs w:val="16"/>
          <w:color w:val="auto"/>
        </w:rPr>
        <w:t>”) for a public offering price of $0.80 per Share, resulting in gross proceeds to the Company of $12,500,000. The Public Offering closed on August 5, 2020 at which time the Shares were offered and sold to the Underwriter. Copies of the press releases announcing the pricing of the Public Offering and the closing of the Public Offering are attached to this Current Report on Form 8-K as Exhibits 99.1 and 99.2, respectively.</w:t>
      </w:r>
    </w:p>
    <w:p>
      <w:pPr>
        <w:spacing w:after="0" w:line="1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Company expects to use the net proceeds from the Public Offering of approximately $11,260,000, after deducting underwriting discounts and commissions and offering expenses payable by the Company but before any exercise of the Over-Allotment Option (defined below), for the continued development of its CNS pipeline programs, and for general research and development, working capital and general corporate purposes.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terms of the Underwriting Agreement, the Company granted to the Underwriter a 45-day over-allotment option (the “</w:t>
      </w:r>
      <w:r>
        <w:rPr>
          <w:rFonts w:ascii="Arial" w:cs="Arial" w:eastAsia="Arial" w:hAnsi="Arial"/>
          <w:sz w:val="18"/>
          <w:szCs w:val="18"/>
          <w:i w:val="1"/>
          <w:iCs w:val="1"/>
          <w:color w:val="auto"/>
        </w:rPr>
        <w:t>Over-Allotment</w:t>
      </w:r>
      <w:r>
        <w:rPr>
          <w:rFonts w:ascii="Arial" w:cs="Arial" w:eastAsia="Arial" w:hAnsi="Arial"/>
          <w:sz w:val="18"/>
          <w:szCs w:val="18"/>
          <w:color w:val="auto"/>
        </w:rPr>
        <w:t xml:space="preserve"> </w:t>
      </w:r>
      <w:r>
        <w:rPr>
          <w:rFonts w:ascii="Arial" w:cs="Arial" w:eastAsia="Arial" w:hAnsi="Arial"/>
          <w:sz w:val="18"/>
          <w:szCs w:val="18"/>
          <w:i w:val="1"/>
          <w:iCs w:val="1"/>
          <w:color w:val="auto"/>
        </w:rPr>
        <w:t>Option</w:t>
      </w:r>
      <w:r>
        <w:rPr>
          <w:rFonts w:ascii="Arial" w:cs="Arial" w:eastAsia="Arial" w:hAnsi="Arial"/>
          <w:sz w:val="18"/>
          <w:szCs w:val="18"/>
          <w:color w:val="auto"/>
        </w:rPr>
        <w:t>”) to purchase up to an additional 2,343,750 Shares (the “</w:t>
      </w:r>
      <w:r>
        <w:rPr>
          <w:rFonts w:ascii="Arial" w:cs="Arial" w:eastAsia="Arial" w:hAnsi="Arial"/>
          <w:sz w:val="18"/>
          <w:szCs w:val="18"/>
          <w:i w:val="1"/>
          <w:iCs w:val="1"/>
          <w:color w:val="auto"/>
        </w:rPr>
        <w:t>Option Shares</w:t>
      </w:r>
      <w:r>
        <w:rPr>
          <w:rFonts w:ascii="Arial" w:cs="Arial" w:eastAsia="Arial" w:hAnsi="Arial"/>
          <w:sz w:val="18"/>
          <w:szCs w:val="18"/>
          <w:color w:val="auto"/>
        </w:rPr>
        <w:t>”) at a public offering price of $0.80 per share, less discounts and commissions.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On August 5, 2020, the Underwriter delivered notice to the Company that it has elected to partially exercise the Over-Allotment Option with respect to an aggregate of 2,243,250 Option Shares, which, if completed, will result in additional gross proceeds to the Company of $1,794,600. The closing of the Option Shares is expected to occur on or about August 7, 2020.</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Shares were, and the Option Shares are, being sold pursuant to the Company’s effective shelf registration statement filed with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on September 30, 2019, and declared effective on October 7, 2019 (File No. 333-234025). A prospectus supplement relating to the Public Offering, including the Over-Allotment Option, was filed with the SEC on August 5, 2020.</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Underwriting Agreement contains customary representations, warranties and agreements by the Company, customary conditions to closing, indemnification obligations of the Company and the Underwriter, including for liabilities under the Securities Act of 1933, as amended, other obligations of the parties, and termination provisions. The representations, warranties and covenants contained in the Underwriting Agreement were made solely for the benefit of the parties thereto and may be subject to limitations agreed upon by the contracting parties. Accordingly, the Underwriting Agreement is incorporated herein by reference only to provide investors with information regarding the terms of the Underwriting Agreement and not to provide investors with any other factual information regarding the Company or its business, and should be read in conjunction with the disclosures in the Company’s periodic reports and other filings with the SEC.</w:t>
      </w:r>
    </w:p>
    <w:p>
      <w:pPr>
        <w:spacing w:after="0" w:line="201" w:lineRule="exact"/>
        <w:rPr>
          <w:sz w:val="20"/>
          <w:szCs w:val="20"/>
          <w:color w:val="auto"/>
        </w:rPr>
      </w:pPr>
    </w:p>
    <w:p>
      <w:pPr>
        <w:jc w:val="both"/>
        <w:ind w:right="20" w:firstLine="648"/>
        <w:spacing w:after="0" w:line="331" w:lineRule="auto"/>
        <w:rPr>
          <w:sz w:val="20"/>
          <w:szCs w:val="20"/>
          <w:color w:val="auto"/>
        </w:rPr>
      </w:pPr>
      <w:r>
        <w:rPr>
          <w:rFonts w:ascii="Arial" w:cs="Arial" w:eastAsia="Arial" w:hAnsi="Arial"/>
          <w:sz w:val="16"/>
          <w:szCs w:val="16"/>
          <w:color w:val="auto"/>
        </w:rPr>
        <w:t>A copy of the Underwriting Agreement is attached hereto as Exhibit 1.1 and is incorporated herein by reference. The foregoing description of the material terms of the Underwriting Agreement does not purport to be complete and is qualified in its entirety by reference to such exhibit.</w:t>
      </w:r>
    </w:p>
    <w:p>
      <w:pPr>
        <w:spacing w:after="0" w:line="14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A copy of the legal opinion and consent of Disclosure Law Group, a Professional Corporation, relating to the Shares and the Option Shares is attached hereto as Exhibit 5.1.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Receipt of $5,000,000 Upfront License Payment from EverInsight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August 3, 2020, the Company received a $5,000,000 non-dilutive upfront license payment from EverInsight Therapeutics Inc. (“</w:t>
      </w:r>
      <w:r>
        <w:rPr>
          <w:rFonts w:ascii="Arial" w:cs="Arial" w:eastAsia="Arial" w:hAnsi="Arial"/>
          <w:sz w:val="16"/>
          <w:szCs w:val="16"/>
          <w:i w:val="1"/>
          <w:iCs w:val="1"/>
          <w:color w:val="auto"/>
        </w:rPr>
        <w:t>EverInsight</w:t>
      </w:r>
      <w:r>
        <w:rPr>
          <w:rFonts w:ascii="Arial" w:cs="Arial" w:eastAsia="Arial" w:hAnsi="Arial"/>
          <w:sz w:val="16"/>
          <w:szCs w:val="16"/>
          <w:color w:val="auto"/>
        </w:rPr>
        <w:t>”), the Company's strategic partner focusing on development and commercialization of PH94B, the Company's investigative rapid-onset neurosteroid nasal spray for treatment of anxiety-related disorders, in multiple key markets in Asia, pursuant to the terms and conditions of the Company’s license and collaboration agreement with EverInsight, entered into on June 24, 2020 (the “</w:t>
      </w:r>
      <w:r>
        <w:rPr>
          <w:rFonts w:ascii="Arial" w:cs="Arial" w:eastAsia="Arial" w:hAnsi="Arial"/>
          <w:sz w:val="16"/>
          <w:szCs w:val="16"/>
          <w:i w:val="1"/>
          <w:iCs w:val="1"/>
          <w:color w:val="auto"/>
        </w:rPr>
        <w:t>EverInsight Agreement</w:t>
      </w:r>
      <w:r>
        <w:rPr>
          <w:rFonts w:ascii="Arial" w:cs="Arial" w:eastAsia="Arial" w:hAnsi="Arial"/>
          <w:sz w:val="16"/>
          <w:szCs w:val="16"/>
          <w:color w:val="auto"/>
        </w:rPr>
        <w:t>”). Additional disclosure regarding the EverInsight Agreement is available in the Company’s Current Report on Form 8-K filed with the SEC on June 26, 2020. A copy of the Company’s press release regarding receipt of the upfront license payment from EverInsight is attached to this Current Report on Form 8-K as 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Compliance with Nasdaq Continued Listing Requirements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3, 2020, the Company received a letter from the Listing Qualifications Staff (the “</w:t>
      </w:r>
      <w:r>
        <w:rPr>
          <w:rFonts w:ascii="Arial" w:cs="Arial" w:eastAsia="Arial" w:hAnsi="Arial"/>
          <w:sz w:val="18"/>
          <w:szCs w:val="18"/>
          <w:i w:val="1"/>
          <w:iCs w:val="1"/>
          <w:color w:val="auto"/>
        </w:rPr>
        <w:t>Staff</w:t>
      </w:r>
      <w:r>
        <w:rPr>
          <w:rFonts w:ascii="Arial" w:cs="Arial" w:eastAsia="Arial" w:hAnsi="Arial"/>
          <w:sz w:val="18"/>
          <w:szCs w:val="18"/>
          <w:color w:val="auto"/>
        </w:rPr>
        <w:t>”) of The Nasdaq Stock Market, LLC (“</w:t>
      </w:r>
      <w:r>
        <w:rPr>
          <w:rFonts w:ascii="Arial" w:cs="Arial" w:eastAsia="Arial" w:hAnsi="Arial"/>
          <w:sz w:val="18"/>
          <w:szCs w:val="18"/>
          <w:i w:val="1"/>
          <w:iCs w:val="1"/>
          <w:color w:val="auto"/>
        </w:rPr>
        <w:t>Nasdaq</w:t>
      </w:r>
      <w:r>
        <w:rPr>
          <w:rFonts w:ascii="Arial" w:cs="Arial" w:eastAsia="Arial" w:hAnsi="Arial"/>
          <w:sz w:val="18"/>
          <w:szCs w:val="18"/>
          <w:color w:val="auto"/>
        </w:rPr>
        <w:t>”) indicating that the Staff has determined that the Company is now in compliance with the market value of listed securities standard set forth in Nasdaq Listing Rule 5550(b)(2).</w:t>
      </w:r>
    </w:p>
    <w:p>
      <w:pPr>
        <w:spacing w:after="0" w:line="19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must satisfy the minimum bid price requirement set forth in Nasdaq Listing Rule 5550(a)(2), pursuant to which the closing bid price of the Company’s Common Stock must be at least $1.00 per share or greater for at least 10 consecutive trading days (the “</w:t>
      </w:r>
      <w:r>
        <w:rPr>
          <w:rFonts w:ascii="Arial" w:cs="Arial" w:eastAsia="Arial" w:hAnsi="Arial"/>
          <w:sz w:val="16"/>
          <w:szCs w:val="16"/>
          <w:i w:val="1"/>
          <w:iCs w:val="1"/>
          <w:color w:val="auto"/>
        </w:rPr>
        <w:t>Bid Price Rule</w:t>
      </w:r>
      <w:r>
        <w:rPr>
          <w:rFonts w:ascii="Arial" w:cs="Arial" w:eastAsia="Arial" w:hAnsi="Arial"/>
          <w:sz w:val="16"/>
          <w:szCs w:val="16"/>
          <w:color w:val="auto"/>
        </w:rPr>
        <w:t>”), by October 12, 2020 to regain full compliance with Nasdaq’s continued listing standards. If the Company does not regain compliance with the Bid Price Rule by October 12, 2020, Nasdaq may grant an additional 180 day period to regain compliance, so long as the Company meets the remaining Nasdaq Capital Market continued listing requirements and notifies Nasdaq in writing of its intention to cure the deficiency during the second compliance period. However, there can be no assurance that, if necessary on October 12, 2020, Nasdaq will grant us the second 180-day compliance period to regain. If we do not qualify for the second 180-day compliance period, or, if granted, we fail to regain compliance during the second 180-day period, then Nasdaq will notify us of its determination to delist our common stock, at which point we would then have an opportunity to appeal the delisting determination to a hearings panel.</w:t>
      </w:r>
    </w:p>
    <w:p>
      <w:pPr>
        <w:spacing w:after="0" w:line="17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No assurance can be given that the Company will meet applicable Nasdaq continued listing standards. Failure to meet applicable Nasdaq continued listing standards could result in a delisting of the Company’s common stock, which could materially reduce the liquidity of its common stock and result in a corresponding material reduction in the price of its common stock. In addition, delisting could harm the Company’s ability to raise capital through alternative financing sources on terms acceptable to it, or at all, and may result in the inability to advance its drug development programs, potential loss of confidence by investors and employees, and fewer business development opportunities.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This Current Report on Form 8-K contains forward-looking statements that involve risks and uncertainties, such as statements related to the anticipated closing of the partial exercise of the Over-Allotment Option and the amount of proceeds expected from such exercise. The risks and uncertainties involved include the Company’s ability to satisfy certain conditions to closing of the partial exercise of the Over-Allotment Option on a timely basis or at all, as well as other risks detailed from time to time in the Company’s filings with the SEC. You are cautioned not to place undue reliance on forward-looking statements, which are based on the Company’s current expectations and assumptions and speak only as of the date of this report. The Company does not intend to revise or update any forward-looking statement in this report to reflect events or circumstances arising after the date hereof, except as may be required by law.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0"/>
                <w:szCs w:val="20"/>
                <w:color w:val="auto"/>
              </w:rPr>
            </w:pPr>
          </w:p>
        </w:tc>
        <w:tc>
          <w:tcPr>
            <w:tcW w:w="9760" w:type="dxa"/>
            <w:vAlign w:val="bottom"/>
            <w:tcBorders>
              <w:bottom w:val="single" w:sz="8" w:color="auto"/>
            </w:tcBorders>
          </w:tcPr>
          <w:p>
            <w:pPr>
              <w:ind w:left="444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1.1</w:t>
              </w:r>
            </w:hyperlink>
          </w:p>
        </w:tc>
        <w:tc>
          <w:tcPr>
            <w:tcW w:w="10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Underwriting Agreement, dated August 2, 2020, by and between VistaGen Therapeutics, Inc. and Maxim Group LLC</w:t>
            </w:r>
          </w:p>
        </w:tc>
      </w:tr>
      <w:tr>
        <w:trPr>
          <w:trHeight w:val="216"/>
        </w:trPr>
        <w:tc>
          <w:tcPr>
            <w:tcW w:w="124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5.1</w:t>
              </w:r>
            </w:hyperlink>
          </w:p>
        </w:tc>
        <w:tc>
          <w:tcPr>
            <w:tcW w:w="10000" w:type="dxa"/>
            <w:vAlign w:val="bottom"/>
            <w:gridSpan w:val="2"/>
          </w:tcPr>
          <w:p>
            <w:pPr>
              <w:ind w:left="240"/>
              <w:spacing w:after="0"/>
              <w:rPr>
                <w:sz w:val="20"/>
                <w:szCs w:val="20"/>
                <w:color w:val="auto"/>
              </w:rPr>
            </w:pPr>
            <w:r>
              <w:rPr>
                <w:rFonts w:ascii="Arial" w:cs="Arial" w:eastAsia="Arial" w:hAnsi="Arial"/>
                <w:sz w:val="18"/>
                <w:szCs w:val="18"/>
                <w:color w:val="auto"/>
              </w:rPr>
              <w:t>Opinion of Disclosure Law Group, a Professional Corporation</w:t>
            </w:r>
          </w:p>
        </w:tc>
      </w:tr>
      <w:tr>
        <w:trPr>
          <w:trHeight w:val="216"/>
        </w:trPr>
        <w:tc>
          <w:tcPr>
            <w:tcW w:w="1240" w:type="dxa"/>
            <w:vAlign w:val="bottom"/>
            <w:shd w:val="clear" w:color="auto" w:fill="CCEEFF"/>
          </w:tcPr>
          <w:p>
            <w:pPr>
              <w:spacing w:after="0" w:line="202" w:lineRule="exact"/>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23.1</w:t>
              </w:r>
            </w:hyperlink>
          </w:p>
        </w:tc>
        <w:tc>
          <w:tcPr>
            <w:tcW w:w="240" w:type="dxa"/>
            <w:vAlign w:val="bottom"/>
            <w:shd w:val="clear" w:color="auto" w:fill="CCEEFF"/>
          </w:tcPr>
          <w:p>
            <w:pPr>
              <w:spacing w:after="0"/>
              <w:rPr>
                <w:sz w:val="18"/>
                <w:szCs w:val="18"/>
                <w:color w:val="auto"/>
              </w:rPr>
            </w:pPr>
          </w:p>
        </w:tc>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Consent of Disclosure Law Group, a Professional Corporation (included in Exhibit 5.1)</w:t>
            </w:r>
          </w:p>
        </w:tc>
      </w:tr>
      <w:tr>
        <w:trPr>
          <w:trHeight w:val="216"/>
        </w:trPr>
        <w:tc>
          <w:tcPr>
            <w:tcW w:w="124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99.1</w:t>
              </w:r>
            </w:hyperlink>
          </w:p>
        </w:tc>
        <w:tc>
          <w:tcPr>
            <w:tcW w:w="10000" w:type="dxa"/>
            <w:vAlign w:val="bottom"/>
            <w:gridSpan w:val="2"/>
          </w:tcPr>
          <w:p>
            <w:pPr>
              <w:ind w:left="240"/>
              <w:spacing w:after="0"/>
              <w:rPr>
                <w:sz w:val="20"/>
                <w:szCs w:val="20"/>
                <w:color w:val="auto"/>
              </w:rPr>
            </w:pPr>
            <w:r>
              <w:rPr>
                <w:rFonts w:ascii="Arial" w:cs="Arial" w:eastAsia="Arial" w:hAnsi="Arial"/>
                <w:sz w:val="18"/>
                <w:szCs w:val="18"/>
                <w:color w:val="auto"/>
              </w:rPr>
              <w:t>Press Release issued by VistaGen Therapeutics, Inc. to announce pricing of the Public Offering, dated August 2, 2020.</w:t>
            </w:r>
          </w:p>
        </w:tc>
      </w:tr>
      <w:tr>
        <w:trPr>
          <w:trHeight w:val="216"/>
        </w:trPr>
        <w:tc>
          <w:tcPr>
            <w:tcW w:w="1240" w:type="dxa"/>
            <w:vAlign w:val="bottom"/>
            <w:shd w:val="clear" w:color="auto" w:fill="CCEEFF"/>
          </w:tcPr>
          <w:p>
            <w:pPr>
              <w:spacing w:after="0" w:line="202" w:lineRule="exact"/>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99.2</w:t>
              </w:r>
            </w:hyperlink>
          </w:p>
        </w:tc>
        <w:tc>
          <w:tcPr>
            <w:tcW w:w="240" w:type="dxa"/>
            <w:vAlign w:val="bottom"/>
            <w:shd w:val="clear" w:color="auto" w:fill="CCEEFF"/>
          </w:tcPr>
          <w:p>
            <w:pPr>
              <w:spacing w:after="0"/>
              <w:rPr>
                <w:sz w:val="18"/>
                <w:szCs w:val="18"/>
                <w:color w:val="auto"/>
              </w:rPr>
            </w:pPr>
          </w:p>
        </w:tc>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shd w:val="clear" w:color="auto" w:fill="CCEEFF"/>
              </w:rPr>
              <w:t>Press Release issued by VistaGen Therapeutics, Inc. to announce the closing of the Public Offering, dated August 5, 2020.</w:t>
            </w:r>
          </w:p>
        </w:tc>
      </w:tr>
      <w:tr>
        <w:trPr>
          <w:trHeight w:val="208"/>
        </w:trPr>
        <w:tc>
          <w:tcPr>
            <w:tcW w:w="124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99.3</w:t>
              </w:r>
            </w:hyperlink>
          </w:p>
        </w:tc>
        <w:tc>
          <w:tcPr>
            <w:tcW w:w="10000" w:type="dxa"/>
            <w:vAlign w:val="bottom"/>
            <w:gridSpan w:val="2"/>
          </w:tcPr>
          <w:p>
            <w:pPr>
              <w:ind w:left="240"/>
              <w:spacing w:after="0"/>
              <w:rPr>
                <w:sz w:val="20"/>
                <w:szCs w:val="20"/>
                <w:color w:val="auto"/>
              </w:rPr>
            </w:pPr>
            <w:r>
              <w:rPr>
                <w:rFonts w:ascii="Arial" w:cs="Arial" w:eastAsia="Arial" w:hAnsi="Arial"/>
                <w:sz w:val="18"/>
                <w:szCs w:val="18"/>
                <w:color w:val="auto"/>
                <w:w w:val="89"/>
              </w:rPr>
              <w:t>Press Release issued by VistaGen Therapeutics, Inc. to announce receipt of the upfront license payment from EverInsight Therapeutics,</w:t>
            </w:r>
          </w:p>
        </w:tc>
      </w:tr>
      <w:tr>
        <w:trPr>
          <w:trHeight w:val="222"/>
        </w:trPr>
        <w:tc>
          <w:tcPr>
            <w:tcW w:w="1240" w:type="dxa"/>
            <w:vAlign w:val="bottom"/>
          </w:tcPr>
          <w:p>
            <w:pPr>
              <w:spacing w:after="0"/>
              <w:rPr>
                <w:sz w:val="19"/>
                <w:szCs w:val="19"/>
                <w:color w:val="auto"/>
              </w:rPr>
            </w:pPr>
          </w:p>
        </w:tc>
        <w:tc>
          <w:tcPr>
            <w:tcW w:w="10000" w:type="dxa"/>
            <w:vAlign w:val="bottom"/>
            <w:gridSpan w:val="2"/>
          </w:tcPr>
          <w:p>
            <w:pPr>
              <w:ind w:left="240"/>
              <w:spacing w:after="0"/>
              <w:rPr>
                <w:sz w:val="20"/>
                <w:szCs w:val="20"/>
                <w:color w:val="auto"/>
              </w:rPr>
            </w:pPr>
            <w:r>
              <w:rPr>
                <w:rFonts w:ascii="Arial" w:cs="Arial" w:eastAsia="Arial" w:hAnsi="Arial"/>
                <w:sz w:val="18"/>
                <w:szCs w:val="18"/>
                <w:color w:val="auto"/>
              </w:rPr>
              <w:t>Inc., dated August 3, 2020.</w:t>
            </w:r>
          </w:p>
        </w:tc>
      </w:tr>
      <w:tr>
        <w:trPr>
          <w:trHeight w:val="1089"/>
        </w:trPr>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3" w:right="339" w:bottom="1440" w:gutter="0" w:footer="0" w:header="0"/>
        </w:sectPr>
      </w:pPr>
    </w:p>
    <w:bookmarkStart w:id="3" w:name="page4"/>
    <w:bookmarkEnd w:id="3"/>
    <w:p>
      <w:pPr>
        <w:ind w:left="55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380" w:val="left"/>
          <w:tab w:leader="none" w:pos="594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773" w:right="8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15,625,000 SHARES OF COMMON STOCK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VISTAGEN THERAPEUTICS, INC.</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UNDERWRITING AGREEMENT</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2, 2020</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Maxim Group LLC</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the Representative of the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Several underwriters, if any,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 Maxim Group LLC</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405 Lexington Avenue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NY 10174</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left="60" w:firstLine="648"/>
        <w:spacing w:after="0" w:line="291" w:lineRule="auto"/>
        <w:rPr>
          <w:sz w:val="20"/>
          <w:szCs w:val="20"/>
          <w:color w:val="auto"/>
        </w:rPr>
      </w:pPr>
      <w:r>
        <w:rPr>
          <w:rFonts w:ascii="Arial" w:cs="Arial" w:eastAsia="Arial" w:hAnsi="Arial"/>
          <w:sz w:val="16"/>
          <w:szCs w:val="16"/>
          <w:color w:val="auto"/>
        </w:rPr>
        <w:t>The undersigned, VistaGen Therapeutics, Inc., a company incorporated under the laws of Nevada (collectively with its subsidiaries and affiliates, including, without limitation, all entities disclosed or described in the Registration Statement as being subsidiaries or affiliates of VistaGen Therapeutics, Inc., the “</w:t>
      </w:r>
      <w:r>
        <w:rPr>
          <w:rFonts w:ascii="Arial" w:cs="Arial" w:eastAsia="Arial" w:hAnsi="Arial"/>
          <w:sz w:val="16"/>
          <w:szCs w:val="16"/>
          <w:u w:val="single" w:color="auto"/>
          <w:color w:val="auto"/>
        </w:rPr>
        <w:t>Company</w:t>
      </w:r>
      <w:r>
        <w:rPr>
          <w:rFonts w:ascii="Arial" w:cs="Arial" w:eastAsia="Arial" w:hAnsi="Arial"/>
          <w:sz w:val="16"/>
          <w:szCs w:val="16"/>
          <w:color w:val="auto"/>
        </w:rPr>
        <w:t>”), hereby confirms its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with the several underwriters (such underwriters, including the Representative (as defined below), the “</w:t>
      </w:r>
      <w:r>
        <w:rPr>
          <w:rFonts w:ascii="Arial" w:cs="Arial" w:eastAsia="Arial" w:hAnsi="Arial"/>
          <w:sz w:val="16"/>
          <w:szCs w:val="16"/>
          <w:u w:val="single" w:color="auto"/>
          <w:color w:val="auto"/>
        </w:rPr>
        <w:t>Underwriters</w:t>
      </w:r>
      <w:r>
        <w:rPr>
          <w:rFonts w:ascii="Arial" w:cs="Arial" w:eastAsia="Arial" w:hAnsi="Arial"/>
          <w:sz w:val="16"/>
          <w:szCs w:val="16"/>
          <w:color w:val="auto"/>
        </w:rPr>
        <w:t>” and each an “</w:t>
      </w:r>
      <w:r>
        <w:rPr>
          <w:rFonts w:ascii="Arial" w:cs="Arial" w:eastAsia="Arial" w:hAnsi="Arial"/>
          <w:sz w:val="16"/>
          <w:szCs w:val="16"/>
          <w:u w:val="single" w:color="auto"/>
          <w:color w:val="auto"/>
        </w:rPr>
        <w:t>Underwriter</w:t>
      </w:r>
      <w:r>
        <w:rPr>
          <w:rFonts w:ascii="Arial" w:cs="Arial" w:eastAsia="Arial" w:hAnsi="Arial"/>
          <w:sz w:val="16"/>
          <w:szCs w:val="16"/>
          <w:color w:val="auto"/>
        </w:rPr>
        <w:t xml:space="preserve">”) named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for which Maxim Group LLC is acting as representative to the several Underwriters (the “</w:t>
      </w:r>
      <w:r>
        <w:rPr>
          <w:rFonts w:ascii="Arial" w:cs="Arial" w:eastAsia="Arial" w:hAnsi="Arial"/>
          <w:sz w:val="16"/>
          <w:szCs w:val="16"/>
          <w:u w:val="single" w:color="auto"/>
          <w:color w:val="auto"/>
        </w:rPr>
        <w:t>Representative</w:t>
      </w:r>
      <w:r>
        <w:rPr>
          <w:rFonts w:ascii="Arial" w:cs="Arial" w:eastAsia="Arial" w:hAnsi="Arial"/>
          <w:sz w:val="16"/>
          <w:szCs w:val="16"/>
          <w:color w:val="auto"/>
        </w:rPr>
        <w:t>” and if there are no Underwriters other than the Representative, references to multiple Underwriters shall be disregarded and the term Representative as used herein shall have the same meaning as Underwriter) on the terms and conditions set forth herein.</w:t>
      </w:r>
    </w:p>
    <w:p>
      <w:pPr>
        <w:spacing w:after="0" w:line="174" w:lineRule="exact"/>
        <w:rPr>
          <w:sz w:val="20"/>
          <w:szCs w:val="20"/>
          <w:color w:val="auto"/>
        </w:rPr>
      </w:pPr>
    </w:p>
    <w:p>
      <w:pPr>
        <w:jc w:val="both"/>
        <w:ind w:left="60" w:firstLine="648"/>
        <w:spacing w:after="0" w:line="259" w:lineRule="auto"/>
        <w:rPr>
          <w:sz w:val="20"/>
          <w:szCs w:val="20"/>
          <w:color w:val="auto"/>
        </w:rPr>
      </w:pPr>
      <w:r>
        <w:rPr>
          <w:rFonts w:ascii="Arial" w:cs="Arial" w:eastAsia="Arial" w:hAnsi="Arial"/>
          <w:sz w:val="18"/>
          <w:szCs w:val="18"/>
          <w:color w:val="auto"/>
        </w:rPr>
        <w:t>It is understood that the several Underwriters are to make a public offering of the Public Shares (as defined below) as soon as the Representative deems it advisable to do so. The Public Shares are to be initially offered to the public at the initial public offering price set forth in the Prospectus Supplement (as defined below).</w:t>
      </w:r>
    </w:p>
    <w:p>
      <w:pPr>
        <w:spacing w:after="0" w:line="126" w:lineRule="exact"/>
        <w:rPr>
          <w:sz w:val="20"/>
          <w:szCs w:val="20"/>
          <w:color w:val="auto"/>
        </w:rPr>
      </w:pPr>
    </w:p>
    <w:p>
      <w:pPr>
        <w:jc w:val="both"/>
        <w:ind w:left="60" w:firstLine="648"/>
        <w:spacing w:after="0" w:line="268" w:lineRule="auto"/>
        <w:rPr>
          <w:sz w:val="20"/>
          <w:szCs w:val="20"/>
          <w:color w:val="auto"/>
        </w:rPr>
      </w:pPr>
      <w:r>
        <w:rPr>
          <w:rFonts w:ascii="Arial" w:cs="Arial" w:eastAsia="Arial" w:hAnsi="Arial"/>
          <w:sz w:val="18"/>
          <w:szCs w:val="18"/>
          <w:color w:val="auto"/>
        </w:rPr>
        <w:t>It is further understood that you will act as the Representative for the Underwriters in the offering and sale of the Closing Shares (as defined below) and, if any, the Option Shares (as defined below) in accordance with this Agreement.</w:t>
      </w: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w:t>
      </w:r>
    </w:p>
    <w:p>
      <w:pPr>
        <w:spacing w:after="0" w:line="178" w:lineRule="exact"/>
        <w:rPr>
          <w:sz w:val="20"/>
          <w:szCs w:val="20"/>
          <w:color w:val="auto"/>
        </w:rPr>
      </w:pPr>
    </w:p>
    <w:p>
      <w:pPr>
        <w:ind w:right="500" w:firstLine="648"/>
        <w:spacing w:after="0" w:line="26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11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3.1(l).</w:t>
      </w:r>
    </w:p>
    <w:p>
      <w:pPr>
        <w:spacing w:after="0" w:line="158" w:lineRule="exact"/>
        <w:rPr>
          <w:sz w:val="20"/>
          <w:szCs w:val="20"/>
          <w:color w:val="auto"/>
        </w:rPr>
      </w:pPr>
    </w:p>
    <w:p>
      <w:pPr>
        <w:ind w:left="720" w:firstLine="648"/>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that, directly or indirectly through one or more intermediaries, controls or is controlled by or is under common control with such Person as such terms are used in and construed under Rule 405 under the Securities Act.</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490" w:right="339" w:bottom="1440" w:gutter="0" w:footer="0" w:header="0"/>
        </w:sectPr>
      </w:pPr>
    </w:p>
    <w:bookmarkStart w:id="5" w:name="page6"/>
    <w:bookmarkEnd w:id="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158" w:lineRule="exact"/>
        <w:rPr>
          <w:sz w:val="20"/>
          <w:szCs w:val="20"/>
          <w:color w:val="auto"/>
        </w:rPr>
      </w:pPr>
    </w:p>
    <w:p>
      <w:pPr>
        <w:jc w:val="both"/>
        <w:ind w:left="660"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day other than Saturday, Sunday or other day on which commercial banks in The City of New York are authorized or required by law to remain closed;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are open for use by customers on such day.</w:t>
      </w:r>
    </w:p>
    <w:p>
      <w:pPr>
        <w:spacing w:after="0" w:line="1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Closing Shares pursuant to Section 2.1.</w:t>
      </w:r>
    </w:p>
    <w:p>
      <w:pPr>
        <w:spacing w:after="0" w:line="158" w:lineRule="exact"/>
        <w:rPr>
          <w:sz w:val="20"/>
          <w:szCs w:val="20"/>
          <w:color w:val="auto"/>
        </w:rPr>
      </w:pPr>
    </w:p>
    <w:p>
      <w:pPr>
        <w:jc w:val="both"/>
        <w:ind w:left="66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hour and the date on the Trading Day on which all conditions precedent to (i) the Underwriters’ obligations to pay the Closing Purchase Price and (ii) the Company’s obligations to deliver the Closing Shares, in each case, have been satisfied or waived, but in no event later than 10:00 a.m. (New York City time) on August 5, 2020, or at such earlier time as shall be agreed upon by the Representative and the Company.</w:t>
      </w:r>
    </w:p>
    <w:p>
      <w:pPr>
        <w:spacing w:after="0" w:line="129" w:lineRule="exact"/>
        <w:rPr>
          <w:sz w:val="20"/>
          <w:szCs w:val="20"/>
          <w:color w:val="auto"/>
        </w:rPr>
      </w:pPr>
    </w:p>
    <w:p>
      <w:pPr>
        <w:jc w:val="both"/>
        <w:ind w:left="66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Purchase Price</w:t>
      </w:r>
      <w:r>
        <w:rPr>
          <w:rFonts w:ascii="Arial" w:cs="Arial" w:eastAsia="Arial" w:hAnsi="Arial"/>
          <w:sz w:val="18"/>
          <w:szCs w:val="18"/>
          <w:color w:val="auto"/>
        </w:rPr>
        <w:t>” shall have the meaning ascribed to such term in Section 2.1(b), which aggregate purchase price shall be net of the underwriting discounts and commissions.</w:t>
      </w:r>
    </w:p>
    <w:p>
      <w:pPr>
        <w:spacing w:after="0" w:line="11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Shares</w:t>
      </w:r>
      <w:r>
        <w:rPr>
          <w:rFonts w:ascii="Arial" w:cs="Arial" w:eastAsia="Arial" w:hAnsi="Arial"/>
          <w:sz w:val="18"/>
          <w:szCs w:val="18"/>
          <w:color w:val="auto"/>
        </w:rPr>
        <w:t>” shall have the meaning ascribed to such term in Section 2.1(a).</w:t>
      </w:r>
    </w:p>
    <w:p>
      <w:pPr>
        <w:spacing w:after="0" w:line="15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158" w:lineRule="exact"/>
        <w:rPr>
          <w:sz w:val="20"/>
          <w:szCs w:val="20"/>
          <w:color w:val="auto"/>
        </w:rPr>
      </w:pPr>
    </w:p>
    <w:p>
      <w:pPr>
        <w:jc w:val="both"/>
        <w:ind w:left="66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$0.001 per share, and any other class of securities into which such securities may hereafter be reclassified or changed.</w:t>
      </w:r>
    </w:p>
    <w:p>
      <w:pPr>
        <w:spacing w:after="0" w:line="118" w:lineRule="exact"/>
        <w:rPr>
          <w:sz w:val="20"/>
          <w:szCs w:val="20"/>
          <w:color w:val="auto"/>
        </w:rPr>
      </w:pPr>
    </w:p>
    <w:p>
      <w:pPr>
        <w:jc w:val="both"/>
        <w:ind w:left="660" w:firstLine="64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 Equivalents</w:t>
      </w:r>
      <w:r>
        <w:rPr>
          <w:rFonts w:ascii="Arial" w:cs="Arial" w:eastAsia="Arial" w:hAnsi="Arial"/>
          <w:sz w:val="16"/>
          <w:szCs w:val="16"/>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9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Auditor</w:t>
      </w:r>
      <w:r>
        <w:rPr>
          <w:rFonts w:ascii="Arial" w:cs="Arial" w:eastAsia="Arial" w:hAnsi="Arial"/>
          <w:sz w:val="16"/>
          <w:szCs w:val="16"/>
          <w:color w:val="auto"/>
        </w:rPr>
        <w:t>” means OUM &amp; CO. LLP with offices located at 601 California Street, Suite 1800, San Francisco, CA 94108.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both"/>
        <w:ind w:left="66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Counsel</w:t>
      </w:r>
      <w:r>
        <w:rPr>
          <w:rFonts w:ascii="Arial" w:cs="Arial" w:eastAsia="Arial" w:hAnsi="Arial"/>
          <w:sz w:val="18"/>
          <w:szCs w:val="18"/>
          <w:color w:val="auto"/>
        </w:rPr>
        <w:t>” means Disclosure Law Group, a Professional Corporation, with offices located at 655 West Broadway, Suite 870, San Diego, California 92101.</w:t>
      </w:r>
    </w:p>
    <w:p>
      <w:pPr>
        <w:spacing w:after="0" w:line="11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have the meaning ascribed to such term in Section 3.1(f).</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EGS</w:t>
      </w:r>
      <w:r>
        <w:rPr>
          <w:rFonts w:ascii="Arial" w:cs="Arial" w:eastAsia="Arial" w:hAnsi="Arial"/>
          <w:sz w:val="16"/>
          <w:szCs w:val="16"/>
          <w:color w:val="auto"/>
        </w:rPr>
        <w:t>” means Ellenoff Grossman &amp; Schole LLP, with offices located at 1345 Avenue of the Americas, New York, New York 10105.</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6" w:name="page7"/>
    <w:bookmarkEnd w:id="6"/>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Execution Date</w:t>
      </w:r>
      <w:r>
        <w:rPr>
          <w:rFonts w:ascii="Arial" w:cs="Arial" w:eastAsia="Arial" w:hAnsi="Arial"/>
          <w:sz w:val="18"/>
          <w:szCs w:val="18"/>
          <w:color w:val="auto"/>
        </w:rPr>
        <w:t>” shall mean the date on which the parties execute and enter into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Issuance</w:t>
      </w:r>
      <w:r>
        <w:rPr>
          <w:rFonts w:ascii="Arial" w:cs="Arial" w:eastAsia="Arial" w:hAnsi="Arial"/>
          <w:sz w:val="16"/>
          <w:szCs w:val="16"/>
          <w:color w:val="auto"/>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(b) securities upon the exercise or exchange of or conversion of any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following the Closing Date, and provided that any such issuance shall only be to a Person (or to the equity 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3.1(i).</w:t>
      </w:r>
    </w:p>
    <w:p>
      <w:pPr>
        <w:spacing w:after="0" w:line="15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(a) any liabilities for borrowed money or amounts owed in excess of $50,000 (other than accounts payable incurred in the ordinary course of business), (b)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(c) the present value of any lease payments in excess of $50,000 due under leases required to be capitalized in accordance with GAAP.</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Liens</w:t>
      </w:r>
      <w:r>
        <w:rPr>
          <w:rFonts w:ascii="Arial" w:cs="Arial" w:eastAsia="Arial" w:hAnsi="Arial"/>
          <w:sz w:val="16"/>
          <w:szCs w:val="16"/>
          <w:color w:val="auto"/>
        </w:rPr>
        <w:t>” means a lien, charge, pledge, security interest, encumbrance, right of first refusal, preemptive right or other restriction.</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Agreements</w:t>
      </w:r>
      <w:r>
        <w:rPr>
          <w:rFonts w:ascii="Arial" w:cs="Arial" w:eastAsia="Arial" w:hAnsi="Arial"/>
          <w:sz w:val="18"/>
          <w:szCs w:val="18"/>
          <w:color w:val="auto"/>
        </w:rPr>
        <w:t>” means the lock-up agreements that are delivered on the date hereof by each of the Company’s officers and directors, in form and substance satisfactory in all respects to the Representative.</w:t>
      </w:r>
    </w:p>
    <w:p>
      <w:pPr>
        <w:spacing w:after="0" w:line="11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w:t>
      </w:r>
    </w:p>
    <w:p>
      <w:pPr>
        <w:spacing w:after="0" w:line="34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63" w:right="339" w:bottom="1440" w:gutter="0" w:footer="0" w:header="0"/>
        </w:sectPr>
      </w:pPr>
    </w:p>
    <w:bookmarkStart w:id="7" w:name="page8"/>
    <w:bookmarkEnd w:id="7"/>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w:t>
      </w:r>
      <w:r>
        <w:rPr>
          <w:rFonts w:ascii="Arial" w:cs="Arial" w:eastAsia="Arial" w:hAnsi="Arial"/>
          <w:sz w:val="18"/>
          <w:szCs w:val="18"/>
          <w:color w:val="auto"/>
        </w:rPr>
        <w:t>” shall have the meaning ascribed to such term in Section 2.1(c).</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Closing Date</w:t>
      </w:r>
      <w:r>
        <w:rPr>
          <w:rFonts w:ascii="Arial" w:cs="Arial" w:eastAsia="Arial" w:hAnsi="Arial"/>
          <w:sz w:val="18"/>
          <w:szCs w:val="18"/>
          <w:color w:val="auto"/>
        </w:rPr>
        <w:t>” shall have the meaning ascribed to such term in Section 2.2(c).</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Closing Purchase Price</w:t>
      </w:r>
      <w:r>
        <w:rPr>
          <w:rFonts w:ascii="Arial" w:cs="Arial" w:eastAsia="Arial" w:hAnsi="Arial"/>
          <w:sz w:val="18"/>
          <w:szCs w:val="18"/>
          <w:color w:val="auto"/>
        </w:rPr>
        <w:t>” shall have the meaning ascribed to such term in Section 2.2(b), which aggregate purchase price shall be net of the underwriting discounts and commissions.</w:t>
      </w:r>
    </w:p>
    <w:p>
      <w:pPr>
        <w:spacing w:after="0" w:line="11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Shares</w:t>
      </w:r>
      <w:r>
        <w:rPr>
          <w:rFonts w:ascii="Arial" w:cs="Arial" w:eastAsia="Arial" w:hAnsi="Arial"/>
          <w:sz w:val="18"/>
          <w:szCs w:val="18"/>
          <w:color w:val="auto"/>
        </w:rPr>
        <w:t>” shall have the meaning ascribed to such term in Section 2.2(a).</w:t>
      </w:r>
    </w:p>
    <w:p>
      <w:pPr>
        <w:spacing w:after="0" w:line="15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Over-Allotment Option</w:t>
      </w:r>
      <w:r>
        <w:rPr>
          <w:rFonts w:ascii="Arial" w:cs="Arial" w:eastAsia="Arial" w:hAnsi="Arial"/>
          <w:sz w:val="18"/>
          <w:szCs w:val="18"/>
          <w:color w:val="auto"/>
        </w:rPr>
        <w:t>” shall have the meaning ascribed to such term in Section 2.2.</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18"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Preliminary Prospectus</w:t>
      </w:r>
      <w:r>
        <w:rPr>
          <w:rFonts w:ascii="Arial" w:cs="Arial" w:eastAsia="Arial" w:hAnsi="Arial"/>
          <w:sz w:val="18"/>
          <w:szCs w:val="18"/>
          <w:color w:val="auto"/>
        </w:rPr>
        <w:t>” means, if any, any preliminary prospectus relating to the Public Shares included in the Registration Statement or filed with the Commission pursuant to Rule 424(b).</w:t>
      </w:r>
    </w:p>
    <w:p>
      <w:pPr>
        <w:spacing w:after="0" w:line="11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final prospectus filed for the Registration Statement.</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means, if any, any supplement to the Prospectus complying with Rule 424(b) of the Securities Act that is filed with the Commission.</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Shares</w:t>
      </w:r>
      <w:r>
        <w:rPr>
          <w:rFonts w:ascii="Arial" w:cs="Arial" w:eastAsia="Arial" w:hAnsi="Arial"/>
          <w:sz w:val="18"/>
          <w:szCs w:val="18"/>
          <w:color w:val="auto"/>
        </w:rPr>
        <w:t>” means, collectively, the Closing Shares and, if any, the Option Shares.</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collectively, the various parts of the registration statement prepared by the Company on Form S-3 (File No. 333-234025), as amended, with respect to the Public Shares, each as amended as of the date hereof, including the Prospectus and Prospectus Supplement, if any, the Preliminary Prospectus, if any, and all exhibits filed with or incorporated by reference into such registration statement, and includes any Rule 462(b) Registration Statement.</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462(b) Registration Statement</w:t>
      </w:r>
      <w:r>
        <w:rPr>
          <w:rFonts w:ascii="Arial" w:cs="Arial" w:eastAsia="Arial" w:hAnsi="Arial"/>
          <w:sz w:val="18"/>
          <w:szCs w:val="18"/>
          <w:color w:val="auto"/>
        </w:rPr>
        <w:t>” means any registration statement prepared by the Company registering additional Public Shares, which was filed with the Commission on or prior to the date hereof and became automatically effective pursuant to Rule 462(b) promulgated by the Commission pursuant to the Securities Act.</w:t>
      </w:r>
    </w:p>
    <w:p>
      <w:pPr>
        <w:spacing w:after="0" w:line="34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12" w:right="339" w:bottom="1440" w:gutter="0" w:footer="0" w:header="0"/>
        </w:sectPr>
      </w:pPr>
    </w:p>
    <w:bookmarkStart w:id="8" w:name="page9"/>
    <w:bookmarkEnd w:id="8"/>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3.1(j).</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5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Purchase Price</w:t>
      </w:r>
      <w:r>
        <w:rPr>
          <w:rFonts w:ascii="Arial" w:cs="Arial" w:eastAsia="Arial" w:hAnsi="Arial"/>
          <w:sz w:val="18"/>
          <w:szCs w:val="18"/>
          <w:color w:val="auto"/>
        </w:rPr>
        <w:t>” shall have the meaning ascribed to such term in Section 2.1(b).</w:t>
      </w:r>
    </w:p>
    <w:p>
      <w:pPr>
        <w:spacing w:after="0" w:line="158" w:lineRule="exact"/>
        <w:rPr>
          <w:sz w:val="20"/>
          <w:szCs w:val="20"/>
          <w:color w:val="auto"/>
        </w:rPr>
      </w:pPr>
    </w:p>
    <w:p>
      <w:pPr>
        <w:jc w:val="both"/>
        <w:ind w:left="80" w:right="20" w:firstLine="7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 and shall, where applicable, also include any direct or indirect subsidiary of the Company formed or acquired after the date hereof.</w:t>
      </w:r>
    </w:p>
    <w:p>
      <w:pPr>
        <w:spacing w:after="0" w:line="1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158" w:lineRule="exact"/>
        <w:rPr>
          <w:sz w:val="20"/>
          <w:szCs w:val="20"/>
          <w:color w:val="auto"/>
        </w:rPr>
      </w:pPr>
    </w:p>
    <w:p>
      <w:pPr>
        <w:jc w:val="both"/>
        <w:ind w:left="80"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OTCQX or OTCQB (or any successors to any of the foregoing).</w:t>
      </w:r>
    </w:p>
    <w:p>
      <w:pPr>
        <w:spacing w:after="0" w:line="126" w:lineRule="exact"/>
        <w:rPr>
          <w:sz w:val="20"/>
          <w:szCs w:val="20"/>
          <w:color w:val="auto"/>
        </w:rPr>
      </w:pPr>
    </w:p>
    <w:p>
      <w:pPr>
        <w:jc w:val="both"/>
        <w:ind w:left="8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Lock-Up Agreements, and any other documents or agreements executed in connection with the transactions contemplated hereunder.</w:t>
      </w:r>
    </w:p>
    <w:p>
      <w:pPr>
        <w:spacing w:after="0" w:line="118" w:lineRule="exact"/>
        <w:rPr>
          <w:sz w:val="20"/>
          <w:szCs w:val="20"/>
          <w:color w:val="auto"/>
        </w:rPr>
      </w:pPr>
    </w:p>
    <w:p>
      <w:pPr>
        <w:jc w:val="both"/>
        <w:ind w:left="80" w:right="2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Computershare with offices located at 8742 Lucent Blvd., Suite 225, Highlands Ranch, Colorado 80129, and any successor transfer agent of the Company.</w:t>
      </w:r>
    </w:p>
    <w:p>
      <w:pPr>
        <w:spacing w:after="0" w:line="261"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PURCHASE AND SALE</w:t>
      </w:r>
    </w:p>
    <w:p>
      <w:pPr>
        <w:spacing w:after="0" w:line="17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Closing</w:t>
      </w:r>
      <w:r>
        <w:rPr>
          <w:rFonts w:ascii="Arial" w:cs="Arial" w:eastAsia="Arial" w:hAnsi="Arial"/>
          <w:sz w:val="16"/>
          <w:szCs w:val="16"/>
          <w:color w:val="auto"/>
        </w:rPr>
        <w:t>.</w:t>
      </w:r>
    </w:p>
    <w:p>
      <w:pPr>
        <w:spacing w:after="0" w:line="185" w:lineRule="exact"/>
        <w:rPr>
          <w:sz w:val="20"/>
          <w:szCs w:val="20"/>
          <w:color w:val="auto"/>
        </w:rPr>
      </w:pPr>
    </w:p>
    <w:p>
      <w:pPr>
        <w:ind w:left="80" w:right="120" w:firstLine="1292"/>
        <w:spacing w:after="0" w:line="259" w:lineRule="auto"/>
        <w:tabs>
          <w:tab w:leader="none" w:pos="1787" w:val="left"/>
        </w:tabs>
        <w:numPr>
          <w:ilvl w:val="0"/>
          <w:numId w:val="2"/>
        </w:numPr>
        <w:rPr>
          <w:rFonts w:ascii="Arial" w:cs="Arial" w:eastAsia="Arial" w:hAnsi="Arial"/>
          <w:sz w:val="18"/>
          <w:szCs w:val="18"/>
          <w:color w:val="auto"/>
        </w:rPr>
      </w:pPr>
      <w:r>
        <w:rPr>
          <w:rFonts w:ascii="Arial" w:cs="Arial" w:eastAsia="Arial" w:hAnsi="Arial"/>
          <w:sz w:val="18"/>
          <w:szCs w:val="18"/>
          <w:color w:val="auto"/>
        </w:rPr>
        <w:t>Upon the terms and subject to the conditions set forth herein, the Company agrees to sell in the aggregate 15,625,000 shares of Common Stock, and each Underwriter agrees to purchase, severally and not jointly, at the Closing, the number of shares of Common Stock (the “</w:t>
      </w:r>
      <w:r>
        <w:rPr>
          <w:rFonts w:ascii="Arial" w:cs="Arial" w:eastAsia="Arial" w:hAnsi="Arial"/>
          <w:sz w:val="18"/>
          <w:szCs w:val="18"/>
          <w:u w:val="single" w:color="auto"/>
          <w:color w:val="auto"/>
        </w:rPr>
        <w:t>Closing Shares</w:t>
      </w:r>
      <w:r>
        <w:rPr>
          <w:rFonts w:ascii="Arial" w:cs="Arial" w:eastAsia="Arial" w:hAnsi="Arial"/>
          <w:sz w:val="18"/>
          <w:szCs w:val="18"/>
          <w:color w:val="auto"/>
        </w:rPr>
        <w:t xml:space="preserve">”) set forth opposite the name of such Underwriter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hereof;</w:t>
      </w:r>
    </w:p>
    <w:p>
      <w:pPr>
        <w:spacing w:after="0" w:line="153" w:lineRule="exact"/>
        <w:rPr>
          <w:rFonts w:ascii="Arial" w:cs="Arial" w:eastAsia="Arial" w:hAnsi="Arial"/>
          <w:sz w:val="18"/>
          <w:szCs w:val="18"/>
          <w:color w:val="auto"/>
        </w:rPr>
      </w:pPr>
    </w:p>
    <w:p>
      <w:pPr>
        <w:ind w:left="80" w:right="160" w:firstLine="1292"/>
        <w:spacing w:after="0" w:line="369" w:lineRule="auto"/>
        <w:tabs>
          <w:tab w:leader="none" w:pos="1797" w:val="left"/>
        </w:tabs>
        <w:numPr>
          <w:ilvl w:val="0"/>
          <w:numId w:val="2"/>
        </w:numPr>
        <w:rPr>
          <w:rFonts w:ascii="Arial" w:cs="Arial" w:eastAsia="Arial" w:hAnsi="Arial"/>
          <w:sz w:val="15"/>
          <w:szCs w:val="15"/>
          <w:color w:val="auto"/>
        </w:rPr>
      </w:pPr>
      <w:r>
        <w:rPr>
          <w:rFonts w:ascii="Arial" w:cs="Arial" w:eastAsia="Arial" w:hAnsi="Arial"/>
          <w:sz w:val="15"/>
          <w:szCs w:val="15"/>
          <w:color w:val="auto"/>
        </w:rPr>
        <w:t xml:space="preserve">The aggregate purchase price for the Closing Shares shall equal the amount set forth opposite the name of such Underwriter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(the “</w:t>
      </w:r>
      <w:r>
        <w:rPr>
          <w:rFonts w:ascii="Arial" w:cs="Arial" w:eastAsia="Arial" w:hAnsi="Arial"/>
          <w:sz w:val="15"/>
          <w:szCs w:val="15"/>
          <w:u w:val="single" w:color="auto"/>
          <w:color w:val="auto"/>
        </w:rPr>
        <w:t>Closing Purchase Price</w:t>
      </w:r>
      <w:r>
        <w:rPr>
          <w:rFonts w:ascii="Arial" w:cs="Arial" w:eastAsia="Arial" w:hAnsi="Arial"/>
          <w:sz w:val="15"/>
          <w:szCs w:val="15"/>
          <w:color w:val="auto"/>
        </w:rPr>
        <w:t>”). The purchase price for one Share shall be $0.80 per Share (the “</w:t>
      </w:r>
      <w:r>
        <w:rPr>
          <w:rFonts w:ascii="Arial" w:cs="Arial" w:eastAsia="Arial" w:hAnsi="Arial"/>
          <w:sz w:val="15"/>
          <w:szCs w:val="15"/>
          <w:u w:val="single" w:color="auto"/>
          <w:color w:val="auto"/>
        </w:rPr>
        <w:t>Share Purchase Price</w:t>
      </w:r>
      <w:r>
        <w:rPr>
          <w:rFonts w:ascii="Arial" w:cs="Arial" w:eastAsia="Arial" w:hAnsi="Arial"/>
          <w:sz w:val="15"/>
          <w:szCs w:val="15"/>
          <w:color w:val="auto"/>
        </w:rPr>
        <w:t>”); and</w:t>
      </w:r>
    </w:p>
    <w:p>
      <w:pPr>
        <w:spacing w:after="0" w:line="77" w:lineRule="exact"/>
        <w:rPr>
          <w:rFonts w:ascii="Arial" w:cs="Arial" w:eastAsia="Arial" w:hAnsi="Arial"/>
          <w:sz w:val="15"/>
          <w:szCs w:val="15"/>
          <w:color w:val="auto"/>
        </w:rPr>
      </w:pPr>
    </w:p>
    <w:p>
      <w:pPr>
        <w:ind w:left="80" w:right="40" w:firstLine="1292"/>
        <w:spacing w:after="0" w:line="291" w:lineRule="auto"/>
        <w:tabs>
          <w:tab w:leader="none" w:pos="1831"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the Closing Date, each Underwriter shall deliver or cause to be delivered to the Company, via wire transfer, immediately available funds equal to such Underwriter’s Closing Purchase Price and the Company shall deliver to, or as directed by, such Underwriter its respective Closing Shares and the Company shall deliver the other items required pursuant to Section 2.3 deliverable at the Closing. Upon satisfaction of the covenants and conditions set forth in Sections 2.3 and 2.4, the Closing shall occur at the offices of EGS or such other location as the Company and Representative shall mutually agree. The Public Shares are to be offered initially to the public at the offering price set forth on the cover page of the Prospectus Supplement (the “</w:t>
      </w:r>
      <w:r>
        <w:rPr>
          <w:rFonts w:ascii="Arial" w:cs="Arial" w:eastAsia="Arial" w:hAnsi="Arial"/>
          <w:sz w:val="16"/>
          <w:szCs w:val="16"/>
          <w:u w:val="single" w:color="auto"/>
          <w:color w:val="auto"/>
        </w:rPr>
        <w:t>Offering</w:t>
      </w:r>
      <w:r>
        <w:rPr>
          <w:rFonts w:ascii="Arial" w:cs="Arial" w:eastAsia="Arial" w:hAnsi="Arial"/>
          <w:sz w:val="16"/>
          <w:szCs w:val="16"/>
          <w:color w:val="auto"/>
        </w:rPr>
        <w:t>”).</w:t>
      </w:r>
    </w:p>
    <w:p>
      <w:pPr>
        <w:spacing w:after="0" w:line="200" w:lineRule="exact"/>
        <w:rPr>
          <w:sz w:val="20"/>
          <w:szCs w:val="20"/>
          <w:color w:val="auto"/>
        </w:rPr>
      </w:pPr>
    </w:p>
    <w:p>
      <w:pPr>
        <w:spacing w:after="0" w:line="33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00" w:top="712" w:right="339" w:bottom="1440" w:gutter="0" w:footer="0" w:header="0"/>
        </w:sectPr>
      </w:pPr>
    </w:p>
    <w:bookmarkStart w:id="9" w:name="page10"/>
    <w:bookmarkEnd w:id="9"/>
    <w:p>
      <w:pPr>
        <w:spacing w:after="0"/>
        <w:tabs>
          <w:tab w:leader="none" w:pos="4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Over-Allotment Option</w:t>
      </w:r>
      <w:r>
        <w:rPr>
          <w:rFonts w:ascii="Arial" w:cs="Arial" w:eastAsia="Arial" w:hAnsi="Arial"/>
          <w:sz w:val="16"/>
          <w:szCs w:val="16"/>
          <w:color w:val="auto"/>
        </w:rPr>
        <w:t>.</w:t>
      </w:r>
    </w:p>
    <w:p>
      <w:pPr>
        <w:spacing w:after="0" w:line="185" w:lineRule="exact"/>
        <w:rPr>
          <w:sz w:val="20"/>
          <w:szCs w:val="20"/>
          <w:color w:val="auto"/>
        </w:rPr>
      </w:pPr>
    </w:p>
    <w:p>
      <w:pPr>
        <w:ind w:right="240" w:firstLine="1292"/>
        <w:spacing w:after="0" w:line="259" w:lineRule="auto"/>
        <w:tabs>
          <w:tab w:leader="none" w:pos="1707"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purposes of covering any over-allotments in connection with the distribution and sale of the Closing Shares, the Representative is hereby granted an option (the “</w:t>
      </w:r>
      <w:r>
        <w:rPr>
          <w:rFonts w:ascii="Arial" w:cs="Arial" w:eastAsia="Arial" w:hAnsi="Arial"/>
          <w:sz w:val="18"/>
          <w:szCs w:val="18"/>
          <w:u w:val="single" w:color="auto"/>
          <w:color w:val="auto"/>
        </w:rPr>
        <w:t>Over-Allotment Option</w:t>
      </w:r>
      <w:r>
        <w:rPr>
          <w:rFonts w:ascii="Arial" w:cs="Arial" w:eastAsia="Arial" w:hAnsi="Arial"/>
          <w:sz w:val="18"/>
          <w:szCs w:val="18"/>
          <w:color w:val="auto"/>
        </w:rPr>
        <w:t>”) to purchase, in the aggregate, up to 2,343,750 shares of Common Stock (the “</w:t>
      </w:r>
      <w:r>
        <w:rPr>
          <w:rFonts w:ascii="Arial" w:cs="Arial" w:eastAsia="Arial" w:hAnsi="Arial"/>
          <w:sz w:val="18"/>
          <w:szCs w:val="18"/>
          <w:u w:val="single" w:color="auto"/>
          <w:color w:val="auto"/>
        </w:rPr>
        <w:t>Option Shares</w:t>
      </w:r>
      <w:r>
        <w:rPr>
          <w:rFonts w:ascii="Arial" w:cs="Arial" w:eastAsia="Arial" w:hAnsi="Arial"/>
          <w:sz w:val="18"/>
          <w:szCs w:val="18"/>
          <w:color w:val="auto"/>
        </w:rPr>
        <w:t>”) at the Share Purchase Price.</w:t>
      </w:r>
    </w:p>
    <w:p>
      <w:pPr>
        <w:spacing w:after="0" w:line="153" w:lineRule="exact"/>
        <w:rPr>
          <w:rFonts w:ascii="Arial" w:cs="Arial" w:eastAsia="Arial" w:hAnsi="Arial"/>
          <w:sz w:val="18"/>
          <w:szCs w:val="18"/>
          <w:color w:val="auto"/>
        </w:rPr>
      </w:pPr>
    </w:p>
    <w:p>
      <w:pPr>
        <w:ind w:right="140" w:firstLine="1292"/>
        <w:spacing w:after="0" w:line="259" w:lineRule="auto"/>
        <w:tabs>
          <w:tab w:leader="none" w:pos="1717"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connection with an exercise of the Over-Allotment Option, the purchase price to be paid for the Option Shares is equal to the product of the Share Purchase Price multiplied by the number of Option Shares to be purchased (the aggregate purchase price to be paid on an Option Closing Date, the “</w:t>
      </w:r>
      <w:r>
        <w:rPr>
          <w:rFonts w:ascii="Arial" w:cs="Arial" w:eastAsia="Arial" w:hAnsi="Arial"/>
          <w:sz w:val="18"/>
          <w:szCs w:val="18"/>
          <w:u w:val="single" w:color="auto"/>
          <w:color w:val="auto"/>
        </w:rPr>
        <w:t>Option Closing Purchase Price</w:t>
      </w:r>
      <w:r>
        <w:rPr>
          <w:rFonts w:ascii="Arial" w:cs="Arial" w:eastAsia="Arial" w:hAnsi="Arial"/>
          <w:sz w:val="18"/>
          <w:szCs w:val="18"/>
          <w:color w:val="auto"/>
        </w:rPr>
        <w:t>”).</w:t>
      </w:r>
    </w:p>
    <w:p>
      <w:pPr>
        <w:spacing w:after="0" w:line="153" w:lineRule="exact"/>
        <w:rPr>
          <w:rFonts w:ascii="Arial" w:cs="Arial" w:eastAsia="Arial" w:hAnsi="Arial"/>
          <w:sz w:val="18"/>
          <w:szCs w:val="18"/>
          <w:color w:val="auto"/>
        </w:rPr>
      </w:pPr>
    </w:p>
    <w:p>
      <w:pPr>
        <w:ind w:firstLine="1292"/>
        <w:spacing w:after="0" w:line="286" w:lineRule="auto"/>
        <w:tabs>
          <w:tab w:leader="none" w:pos="1707"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Over-Allotment Option granted pursuant to this Section 2.2 may be exercised by the Representative as to all (at any time) or any part (from time to time) of the Option Shares within forty-five (45) days after the Execution Date. An Underwriter will not be under any obligation to purchase any Option Shares prior to the exercise of the Over-Allotment Option by the Representative. The Over-Allotment Option granted hereby may be exercised by the giving of oral notice to the Company from the Representative, which must be confirmed in writing by overnight mail or facsimile or other electronic transmission setting forth the number of Option Shares to be purchased and the date and time for delivery of and payment for the Option Shares (each, an “</w:t>
      </w:r>
      <w:r>
        <w:rPr>
          <w:rFonts w:ascii="Arial" w:cs="Arial" w:eastAsia="Arial" w:hAnsi="Arial"/>
          <w:sz w:val="16"/>
          <w:szCs w:val="16"/>
          <w:u w:val="single" w:color="auto"/>
          <w:color w:val="auto"/>
        </w:rPr>
        <w:t>Option Closing Date</w:t>
      </w:r>
      <w:r>
        <w:rPr>
          <w:rFonts w:ascii="Arial" w:cs="Arial" w:eastAsia="Arial" w:hAnsi="Arial"/>
          <w:sz w:val="16"/>
          <w:szCs w:val="16"/>
          <w:color w:val="auto"/>
        </w:rPr>
        <w:t>”), which will not be later than two (2) full Business Days after the date of the notice or such other time as shall be agreed upon by the Company and the Representative, at the offices of EGS or at such other place (including remotely by facsimile or other electronic transmission) as shall be agreed upon by the Company and the Representative. If such delivery and payment for the Option Shares does not occur on the Closing Date, each Option Closing Date will be as set forth in the notice. Upon exercise of the Over-Allotment Option, the Company will become obligated to convey to the Underwriters, and, subject to the terms and conditions set forth herein, the Underwriters will become obligated to purchase, the number of Option Shares specified in such notice. The Representative may cancel the Over-Allotment Option at any time prior to the expiration of the Over-Allotment Option by written notice to the Company.</w:t>
      </w:r>
    </w:p>
    <w:p>
      <w:pPr>
        <w:spacing w:after="0" w:line="13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Deliveries</w:t>
      </w:r>
      <w:r>
        <w:rPr>
          <w:rFonts w:ascii="Arial" w:cs="Arial" w:eastAsia="Arial" w:hAnsi="Arial"/>
          <w:sz w:val="16"/>
          <w:szCs w:val="16"/>
          <w:color w:val="auto"/>
        </w:rPr>
        <w:t>. The Company shall deliver or cause to be delivered to each Underwriter (if applicable) the following:</w:t>
      </w:r>
    </w:p>
    <w:p>
      <w:pPr>
        <w:spacing w:after="0" w:line="185" w:lineRule="exact"/>
        <w:rPr>
          <w:sz w:val="20"/>
          <w:szCs w:val="20"/>
          <w:color w:val="auto"/>
        </w:rPr>
      </w:pPr>
    </w:p>
    <w:p>
      <w:pPr>
        <w:ind w:right="40" w:firstLine="1292"/>
        <w:spacing w:after="0" w:line="369" w:lineRule="auto"/>
        <w:tabs>
          <w:tab w:leader="none" w:pos="1678" w:val="left"/>
        </w:tabs>
        <w:numPr>
          <w:ilvl w:val="0"/>
          <w:numId w:val="4"/>
        </w:numPr>
        <w:rPr>
          <w:rFonts w:ascii="Arial" w:cs="Arial" w:eastAsia="Arial" w:hAnsi="Arial"/>
          <w:sz w:val="15"/>
          <w:szCs w:val="15"/>
          <w:color w:val="auto"/>
        </w:rPr>
      </w:pPr>
      <w:r>
        <w:rPr>
          <w:rFonts w:ascii="Arial" w:cs="Arial" w:eastAsia="Arial" w:hAnsi="Arial"/>
          <w:sz w:val="15"/>
          <w:szCs w:val="15"/>
          <w:color w:val="auto"/>
        </w:rPr>
        <w:t>At the Closing Date, the Closing Shares and, as to each Option Closing Date, if any, the applicable Option Shares, which shares shall be delivered via The Depository Trust Company Deposit or Withdrawal at Custodian system for the accounts of the several Underwriters;</w:t>
      </w:r>
    </w:p>
    <w:p>
      <w:pPr>
        <w:spacing w:after="0" w:line="77" w:lineRule="exact"/>
        <w:rPr>
          <w:rFonts w:ascii="Arial" w:cs="Arial" w:eastAsia="Arial" w:hAnsi="Arial"/>
          <w:sz w:val="15"/>
          <w:szCs w:val="15"/>
          <w:color w:val="auto"/>
        </w:rPr>
      </w:pPr>
    </w:p>
    <w:p>
      <w:pPr>
        <w:ind w:right="40" w:firstLine="1292"/>
        <w:spacing w:after="0" w:line="294" w:lineRule="auto"/>
        <w:tabs>
          <w:tab w:leader="none" w:pos="1726"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Contemporaneously herewith and at the Closing Date, a legal opinion of Company Counsel addressed to the Underwriters, including, without limitation, a negative assurance letter, in form and substance satisfactory in all respects to the Representative, and as to the Closing Date and as to each Option Closing Date, if any, a bring-down opinion from Company Counsel in form and substance reasonably satisfactory to the Representative, and the favorable opinions of intellectual property legal counsel to the Company, including, without limitation, a negative assurance letter, addressed to the Underwriters and in form and substance satisfactory to the Representative;</w:t>
      </w:r>
    </w:p>
    <w:p>
      <w:pPr>
        <w:spacing w:after="0" w:line="200" w:lineRule="exact"/>
        <w:rPr>
          <w:sz w:val="20"/>
          <w:szCs w:val="20"/>
          <w:color w:val="auto"/>
        </w:rPr>
      </w:pPr>
    </w:p>
    <w:p>
      <w:pPr>
        <w:spacing w:after="0" w:line="33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1103" w:right="359" w:bottom="1440" w:gutter="0" w:footer="0" w:header="0"/>
        </w:sectPr>
      </w:pPr>
    </w:p>
    <w:bookmarkStart w:id="10" w:name="page11"/>
    <w:bookmarkEnd w:id="10"/>
    <w:p>
      <w:pPr>
        <w:jc w:val="both"/>
        <w:ind w:left="660" w:right="120" w:firstLine="1292"/>
        <w:spacing w:after="0" w:line="259" w:lineRule="auto"/>
        <w:tabs>
          <w:tab w:leader="none" w:pos="24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Contemporaneously herewith, a cold comfort letter, addressed to the Underwriters and in form and substance satisfactory in all respects to the Representative from the Company Auditor dated, respectively, as of the date of this Agreement and a bring-down letter dated as of the Closing Date and each Option Closing Date, if any;</w:t>
      </w:r>
    </w:p>
    <w:p>
      <w:pPr>
        <w:spacing w:after="0" w:line="153" w:lineRule="exact"/>
        <w:rPr>
          <w:rFonts w:ascii="Arial" w:cs="Arial" w:eastAsia="Arial" w:hAnsi="Arial"/>
          <w:sz w:val="18"/>
          <w:szCs w:val="18"/>
          <w:color w:val="auto"/>
        </w:rPr>
      </w:pPr>
    </w:p>
    <w:p>
      <w:pPr>
        <w:ind w:left="660" w:right="320" w:firstLine="1292"/>
        <w:spacing w:after="0" w:line="268" w:lineRule="auto"/>
        <w:tabs>
          <w:tab w:leader="none" w:pos="2425"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the Closing Date and on each Option Closing Date, the duly executed and delivered Officer’s Certificate, in form and substance satisfactory in all respects to the Representative;</w:t>
      </w:r>
    </w:p>
    <w:p>
      <w:pPr>
        <w:spacing w:after="0" w:line="145" w:lineRule="exact"/>
        <w:rPr>
          <w:rFonts w:ascii="Arial" w:cs="Arial" w:eastAsia="Arial" w:hAnsi="Arial"/>
          <w:sz w:val="18"/>
          <w:szCs w:val="18"/>
          <w:color w:val="auto"/>
        </w:rPr>
      </w:pPr>
    </w:p>
    <w:p>
      <w:pPr>
        <w:ind w:left="660" w:right="260" w:firstLine="1292"/>
        <w:spacing w:after="0" w:line="331" w:lineRule="auto"/>
        <w:tabs>
          <w:tab w:leader="none" w:pos="2377"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the Closing Date and on each Option Closing Date, the duly executed and delivered certificate of the Company’s Chief Executive Officer with respect to certain regulatory matters, in form and substance satisfactory in all respects to the Representative;</w:t>
      </w:r>
    </w:p>
    <w:p>
      <w:pPr>
        <w:spacing w:after="0" w:line="100" w:lineRule="exact"/>
        <w:rPr>
          <w:rFonts w:ascii="Arial" w:cs="Arial" w:eastAsia="Arial" w:hAnsi="Arial"/>
          <w:sz w:val="16"/>
          <w:szCs w:val="16"/>
          <w:color w:val="auto"/>
        </w:rPr>
      </w:pPr>
    </w:p>
    <w:p>
      <w:pPr>
        <w:ind w:left="660" w:right="160" w:firstLine="1292"/>
        <w:spacing w:after="0" w:line="268" w:lineRule="auto"/>
        <w:tabs>
          <w:tab w:leader="none" w:pos="2425"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the Closing Date and on each Option Closing Date, the duly executed and delivered Secretary’s Certificate, in form and substance satisfactory in all respects to the Representative;</w:t>
      </w:r>
    </w:p>
    <w:p>
      <w:pPr>
        <w:spacing w:after="0" w:line="145" w:lineRule="exact"/>
        <w:rPr>
          <w:rFonts w:ascii="Arial" w:cs="Arial" w:eastAsia="Arial" w:hAnsi="Arial"/>
          <w:sz w:val="18"/>
          <w:szCs w:val="18"/>
          <w:color w:val="auto"/>
        </w:rPr>
      </w:pPr>
    </w:p>
    <w:p>
      <w:pPr>
        <w:ind w:left="660" w:firstLine="1292"/>
        <w:spacing w:after="0" w:line="268" w:lineRule="auto"/>
        <w:tabs>
          <w:tab w:leader="none" w:pos="2474"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the Closing Date and on each Option Closing Date, the duly executed and delivered Chief Financial Officer’s Certificate, in form and substance satisfactory in all respects to the Representative;</w:t>
      </w:r>
    </w:p>
    <w:p>
      <w:pPr>
        <w:spacing w:after="0" w:line="145" w:lineRule="exact"/>
        <w:rPr>
          <w:rFonts w:ascii="Arial" w:cs="Arial" w:eastAsia="Arial" w:hAnsi="Arial"/>
          <w:sz w:val="18"/>
          <w:szCs w:val="18"/>
          <w:color w:val="auto"/>
        </w:rPr>
      </w:pPr>
    </w:p>
    <w:p>
      <w:pPr>
        <w:ind w:left="2520" w:hanging="568"/>
        <w:spacing w:after="0"/>
        <w:tabs>
          <w:tab w:leader="none" w:pos="2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Contemporaneously herewith, the duly executed and delivered Lock-Up Agreements; and</w:t>
      </w:r>
    </w:p>
    <w:p>
      <w:pPr>
        <w:spacing w:after="0" w:line="184" w:lineRule="exact"/>
        <w:rPr>
          <w:rFonts w:ascii="Arial" w:cs="Arial" w:eastAsia="Arial" w:hAnsi="Arial"/>
          <w:sz w:val="18"/>
          <w:szCs w:val="18"/>
          <w:color w:val="auto"/>
        </w:rPr>
      </w:pPr>
    </w:p>
    <w:p>
      <w:pPr>
        <w:ind w:left="660" w:right="280" w:firstLine="1292"/>
        <w:spacing w:after="0" w:line="268" w:lineRule="auto"/>
        <w:tabs>
          <w:tab w:leader="none" w:pos="2425"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the Closing Date and on each and every Option Closing Date, if any, a cash fee payable to the Representative, equal to eight and one-half percent (8.5%) of the aggregate gross proceeds raised in the Offering.</w:t>
      </w:r>
    </w:p>
    <w:p>
      <w:pPr>
        <w:spacing w:after="0" w:line="145"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Closing Conditions</w:t>
      </w:r>
      <w:r>
        <w:rPr>
          <w:rFonts w:ascii="Arial" w:cs="Arial" w:eastAsia="Arial" w:hAnsi="Arial"/>
          <w:sz w:val="18"/>
          <w:szCs w:val="18"/>
          <w:color w:val="auto"/>
        </w:rPr>
        <w:t>. The respective obligations of each Underwriter hereunder in connection with the Closing and each Option Closing Date are subject to the following conditions being met:</w:t>
      </w:r>
    </w:p>
    <w:p>
      <w:pPr>
        <w:spacing w:after="0" w:line="145" w:lineRule="exact"/>
        <w:rPr>
          <w:sz w:val="20"/>
          <w:szCs w:val="20"/>
          <w:color w:val="auto"/>
        </w:rPr>
      </w:pPr>
    </w:p>
    <w:p>
      <w:pPr>
        <w:ind w:left="660" w:right="180" w:firstLine="1292"/>
        <w:spacing w:after="0" w:line="259" w:lineRule="auto"/>
        <w:tabs>
          <w:tab w:leader="none" w:pos="233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accuracy in all material respects when made and on the date in question (other than representations and warranties of the Company already qualified by materiality, which shall be true and correct in all respects) of the representations and warranties of the Company contained herein (unless as of a specific date therein);</w:t>
      </w:r>
    </w:p>
    <w:p>
      <w:pPr>
        <w:spacing w:after="0" w:line="153" w:lineRule="exact"/>
        <w:rPr>
          <w:rFonts w:ascii="Arial" w:cs="Arial" w:eastAsia="Arial" w:hAnsi="Arial"/>
          <w:sz w:val="18"/>
          <w:szCs w:val="18"/>
          <w:color w:val="auto"/>
        </w:rPr>
      </w:pPr>
    </w:p>
    <w:p>
      <w:pPr>
        <w:ind w:left="2380" w:hanging="428"/>
        <w:spacing w:after="0"/>
        <w:tabs>
          <w:tab w:leader="none" w:pos="2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obligations, covenants and agreements of the Company required to be performed at or prior to the date in question shall</w:t>
      </w:r>
    </w:p>
    <w:p>
      <w:pPr>
        <w:spacing w:after="0" w:line="3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have been performed;</w:t>
      </w:r>
    </w:p>
    <w:p>
      <w:pPr>
        <w:spacing w:after="0" w:line="178" w:lineRule="exact"/>
        <w:rPr>
          <w:rFonts w:ascii="Arial" w:cs="Arial" w:eastAsia="Arial" w:hAnsi="Arial"/>
          <w:sz w:val="16"/>
          <w:szCs w:val="16"/>
          <w:color w:val="auto"/>
        </w:rPr>
      </w:pPr>
    </w:p>
    <w:p>
      <w:pPr>
        <w:ind w:left="2440" w:hanging="488"/>
        <w:spacing w:after="0"/>
        <w:tabs>
          <w:tab w:leader="none" w:pos="2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2.3 of this Agreement;</w:t>
      </w:r>
    </w:p>
    <w:p>
      <w:pPr>
        <w:spacing w:after="0" w:line="184" w:lineRule="exact"/>
        <w:rPr>
          <w:rFonts w:ascii="Arial" w:cs="Arial" w:eastAsia="Arial" w:hAnsi="Arial"/>
          <w:sz w:val="18"/>
          <w:szCs w:val="18"/>
          <w:color w:val="auto"/>
        </w:rPr>
      </w:pPr>
    </w:p>
    <w:p>
      <w:pPr>
        <w:ind w:left="660" w:right="160" w:firstLine="1292"/>
        <w:spacing w:after="0" w:line="298" w:lineRule="auto"/>
        <w:tabs>
          <w:tab w:leader="none" w:pos="242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Registration Statement shall be effective on the date of this Agreement and at each of the Closing Date and each Option Closing Date, if any, no stop order suspending the effectiveness of the Registration Statement shall have been issued and no proceedings for that purpose shall have been instituted or shall be pending or contemplated by the Commission and any request on the part of the Commission for additional information shall have been complied with to the reasonable satisfaction of the Representative;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1" w:name="page12"/>
    <w:bookmarkEnd w:id="11"/>
    <w:p>
      <w:pPr>
        <w:ind w:left="720" w:right="120" w:firstLine="1292"/>
        <w:spacing w:after="0" w:line="268" w:lineRule="auto"/>
        <w:tabs>
          <w:tab w:leader="none" w:pos="2437"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the Execution Date, if required by FINRA, the Underwriters shall have received clearance from FINRA as to the amount of compensation allowable or payable to the Underwriters as described in the Registration Statement;</w:t>
      </w:r>
    </w:p>
    <w:p>
      <w:pPr>
        <w:spacing w:after="0" w:line="145" w:lineRule="exact"/>
        <w:rPr>
          <w:rFonts w:ascii="Arial" w:cs="Arial" w:eastAsia="Arial" w:hAnsi="Arial"/>
          <w:sz w:val="18"/>
          <w:szCs w:val="18"/>
          <w:color w:val="auto"/>
        </w:rPr>
      </w:pPr>
    </w:p>
    <w:p>
      <w:pPr>
        <w:ind w:left="2480" w:hanging="468"/>
        <w:spacing w:after="0"/>
        <w:tabs>
          <w:tab w:leader="none" w:pos="2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Closing Shares and the Option Shares have been approved for listing on the Trading Market; and</w:t>
      </w:r>
    </w:p>
    <w:p>
      <w:pPr>
        <w:spacing w:after="0" w:line="184" w:lineRule="exact"/>
        <w:rPr>
          <w:rFonts w:ascii="Arial" w:cs="Arial" w:eastAsia="Arial" w:hAnsi="Arial"/>
          <w:sz w:val="18"/>
          <w:szCs w:val="18"/>
          <w:color w:val="auto"/>
        </w:rPr>
      </w:pPr>
    </w:p>
    <w:p>
      <w:pPr>
        <w:ind w:left="720" w:firstLine="1292"/>
        <w:spacing w:after="0" w:line="305" w:lineRule="auto"/>
        <w:tabs>
          <w:tab w:leader="none" w:pos="2534" w:val="left"/>
        </w:tabs>
        <w:numPr>
          <w:ilvl w:val="0"/>
          <w:numId w:val="7"/>
        </w:numPr>
        <w:rPr>
          <w:rFonts w:ascii="Arial" w:cs="Arial" w:eastAsia="Arial" w:hAnsi="Arial"/>
          <w:sz w:val="15"/>
          <w:szCs w:val="15"/>
          <w:color w:val="auto"/>
        </w:rPr>
      </w:pPr>
      <w:r>
        <w:rPr>
          <w:rFonts w:ascii="Arial" w:cs="Arial" w:eastAsia="Arial" w:hAnsi="Arial"/>
          <w:sz w:val="15"/>
          <w:szCs w:val="15"/>
          <w:color w:val="auto"/>
        </w:rPr>
        <w:t>prior to and on each of the Closing Date and each Option Closing Date, if any: (i) there shall have been no material adverse change or development involving a prospective material adverse change in the condition or prospects or the business activities, financial or otherwise, of the Company from the latest dates as of which such condition is set forth in the Registration Statement, the Prospectus, and the Prospectus Supplement; (ii) no action suit or proceeding, at law or in equity, shall have been pending or threatened against the Company or any Affiliate of the Company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the Prospectus, and the Prospectus Supplement; (iii) no stop order shall have been issued under the Securities Act and no proceedings therefor shall have been initiated or threatened by the Commission; (iv) the Company shall not have incurred any material liabilities or obligations, direct or contingent, nor has it entered into any material transactions not in the ordinary course of business, other than pursuant to this Agreement and the transactions referred to herein; (v) the Company has not paid or declared any dividends or other distributions of any kind on any class of its capital stock; (vi) the Company has not altered its method of accounting; and (vii) the Registration Statement, Prospectus, and the Prospectus Supplement and any amendments or supplements thereto shall contain all material statements which are required to be stated therein in accordance with the Securities Act and the rules and regulations thereunder and shall conform in all material respects to the requirements of the Securities Act and the rules and regulations thereunder, and none of the Registration Statement, the Prospectus, the Prospectus Supplement or any amendment or supplement thereto shall contain any untrue statement of a material fact or omit to state any material fact required to be stated therein or necessary to make the statements therein, in light of the circumstances under which they were made, not misleading.</w:t>
      </w: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REPRESENTATIONS AND WARRANTIES</w:t>
      </w:r>
    </w:p>
    <w:p>
      <w:pPr>
        <w:spacing w:after="0" w:line="178"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represents and warrants to the Underwriters as of the Execution Date, as of the Closing Date and as of each Option Closing Date, if any, as follows:</w:t>
      </w:r>
    </w:p>
    <w:p>
      <w:pPr>
        <w:spacing w:after="0" w:line="156" w:lineRule="exact"/>
        <w:rPr>
          <w:sz w:val="20"/>
          <w:szCs w:val="20"/>
          <w:color w:val="auto"/>
        </w:rPr>
      </w:pPr>
    </w:p>
    <w:p>
      <w:pPr>
        <w:ind w:left="720" w:firstLine="1292"/>
        <w:spacing w:after="0" w:line="254" w:lineRule="auto"/>
        <w:tabs>
          <w:tab w:leader="none" w:pos="2427"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260" w:top="1103" w:right="379" w:bottom="1440" w:gutter="0" w:footer="0" w:header="0"/>
        </w:sectPr>
      </w:pPr>
    </w:p>
    <w:bookmarkStart w:id="12" w:name="page13"/>
    <w:bookmarkEnd w:id="12"/>
    <w:p>
      <w:pPr>
        <w:ind w:left="-460" w:right="60" w:firstLine="1292"/>
        <w:spacing w:after="0" w:line="288" w:lineRule="auto"/>
        <w:tabs>
          <w:tab w:leader="none" w:pos="1257"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and no Proceeding has been instituted in any such jurisdiction revoking, limiting or curtailing or seeking to revoke, limit or curtail such power and authority or qualification.</w:t>
      </w:r>
    </w:p>
    <w:p>
      <w:pPr>
        <w:spacing w:after="0" w:line="132" w:lineRule="exact"/>
        <w:rPr>
          <w:rFonts w:ascii="Arial" w:cs="Arial" w:eastAsia="Arial" w:hAnsi="Arial"/>
          <w:sz w:val="16"/>
          <w:szCs w:val="16"/>
          <w:color w:val="auto"/>
        </w:rPr>
      </w:pPr>
    </w:p>
    <w:p>
      <w:pPr>
        <w:ind w:left="-460" w:firstLine="1292"/>
        <w:spacing w:after="0" w:line="286" w:lineRule="auto"/>
        <w:tabs>
          <w:tab w:leader="none" w:pos="1247"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The Company has the requisite corporate power and authority to enter into and to consummate the transactions contemplated by this Agreement and each of the other Transaction Documents to which it is a party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the Company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39" w:lineRule="exact"/>
        <w:rPr>
          <w:rFonts w:ascii="Arial" w:cs="Arial" w:eastAsia="Arial" w:hAnsi="Arial"/>
          <w:sz w:val="16"/>
          <w:szCs w:val="16"/>
          <w:color w:val="auto"/>
        </w:rPr>
      </w:pPr>
    </w:p>
    <w:p>
      <w:pPr>
        <w:ind w:left="-460" w:right="40" w:firstLine="1292"/>
        <w:spacing w:after="0" w:line="286" w:lineRule="auto"/>
        <w:tabs>
          <w:tab w:leader="none" w:pos="1257"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the Company of this Agreement and all other Transaction Documents to which it is a party, the issuance and sale of the Public Shares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200" w:lineRule="exact"/>
        <w:rPr>
          <w:sz w:val="20"/>
          <w:szCs w:val="20"/>
          <w:color w:val="auto"/>
        </w:rPr>
      </w:pPr>
    </w:p>
    <w:p>
      <w:pPr>
        <w:spacing w:after="0" w:line="34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39" w:right="339" w:bottom="1440" w:gutter="0" w:footer="0" w:header="0"/>
        </w:sectPr>
      </w:pPr>
    </w:p>
    <w:bookmarkStart w:id="13" w:name="page14"/>
    <w:bookmarkEnd w:id="13"/>
    <w:p>
      <w:pPr>
        <w:ind w:left="-460" w:right="120" w:firstLine="1292"/>
        <w:spacing w:after="0" w:line="254" w:lineRule="auto"/>
        <w:tabs>
          <w:tab w:leader="none" w:pos="1247"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Filings, Consents and Approvals</w:t>
      </w:r>
      <w:r>
        <w:rPr>
          <w:rFonts w:ascii="Arial" w:cs="Arial" w:eastAsia="Arial" w:hAnsi="Arial"/>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 with the Commission of the Prospectus Supplement and (ii) such filings as are required to be made under applicable state securities laws (collectively, the “</w:t>
      </w:r>
      <w:r>
        <w:rPr>
          <w:rFonts w:ascii="Arial" w:cs="Arial" w:eastAsia="Arial" w:hAnsi="Arial"/>
          <w:sz w:val="18"/>
          <w:szCs w:val="18"/>
          <w:u w:val="single" w:color="auto"/>
          <w:color w:val="auto"/>
        </w:rPr>
        <w:t>Required Approvals</w:t>
      </w:r>
      <w:r>
        <w:rPr>
          <w:rFonts w:ascii="Arial" w:cs="Arial" w:eastAsia="Arial" w:hAnsi="Arial"/>
          <w:sz w:val="18"/>
          <w:szCs w:val="18"/>
          <w:color w:val="auto"/>
        </w:rPr>
        <w:t>”).</w:t>
      </w:r>
    </w:p>
    <w:p>
      <w:pPr>
        <w:spacing w:after="0" w:line="227" w:lineRule="exact"/>
        <w:rPr>
          <w:rFonts w:ascii="Arial" w:cs="Arial" w:eastAsia="Arial" w:hAnsi="Arial"/>
          <w:sz w:val="18"/>
          <w:szCs w:val="18"/>
          <w:color w:val="auto"/>
        </w:rPr>
      </w:pPr>
    </w:p>
    <w:p>
      <w:pPr>
        <w:ind w:left="-460" w:right="20" w:firstLine="1292"/>
        <w:spacing w:after="0" w:line="284" w:lineRule="auto"/>
        <w:tabs>
          <w:tab w:leader="none" w:pos="1227"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filed with the Commission the Registration Statement under the Securities Act, which became effective on October 7, 2019 (the “</w:t>
      </w:r>
      <w:r>
        <w:rPr>
          <w:rFonts w:ascii="Arial" w:cs="Arial" w:eastAsia="Arial" w:hAnsi="Arial"/>
          <w:sz w:val="16"/>
          <w:szCs w:val="16"/>
          <w:u w:val="single" w:color="auto"/>
          <w:color w:val="auto"/>
        </w:rPr>
        <w:t>Effective Date</w:t>
      </w:r>
      <w:r>
        <w:rPr>
          <w:rFonts w:ascii="Arial" w:cs="Arial" w:eastAsia="Arial" w:hAnsi="Arial"/>
          <w:sz w:val="16"/>
          <w:szCs w:val="16"/>
          <w:color w:val="auto"/>
        </w:rPr>
        <w:t>”), for the registration under the Securities Act of the Securities. At the time of such filing, the Company met the requirements of Form S-3 under the Securities Act. The Registration Statement meets the requirements set forth in Rule 415(a)(1)(x) under the Securities Act and complies with said Rule and the Prospectus Supplement will meet the requirements set forth in Rule 424(b). The Company has advised the Representative of all further information (financial and other) with respect to the Company required to be set forth therein in the Registration Statement and Prospectus Supplement. Any reference in this Agreement to the Registration Statement, the Prospectus or the Prospectus Supplement shall be deemed to refer to and include the documents incorporated by reference therein pursuant to Item 12 of Form S-3 which were filed under the Exchange Act, on or before the date of this Agreement, or the issue date of the Prospectus or the Prospectus Supplement, as the case may be; and any reference in this Agreement to the terms “amend,” “amendment” or “supplement” with respect to the Registration Statement, the Prospectus or the Prospectus Supplement shall be deemed to refer to and include the filing of any document under the Exchange Act after the date of this Agreement, or the issue date of the Prospectus or the Prospectus Supplement, as the case may be, deemed to be incorporated therein by reference. All references in this Agreement to financial statements and schedules and other information which is “contained,” “included,” “described,” “referenced,” “set forth” or “stated” in the Registration Statement, the Prospectus or the Prospectus Supplement (and all other references of like import) shall be deemed to mean and include all such financial statements and schedules and other information which is or is deemed to be incorporated by reference in the Registration Statement, the Prospectus or the Prospectus Supplement, as the case may be. No stop order suspending the effectiveness of the Registration Statement or the use of the Prospectus or the Prospectus Supplement has been issued, and no proceeding for any such purpose is pending or has been initiated or, to the Company's knowledge, is threatened by the Commission. For purposes of this Agreement, “</w:t>
      </w:r>
      <w:r>
        <w:rPr>
          <w:rFonts w:ascii="Arial" w:cs="Arial" w:eastAsia="Arial" w:hAnsi="Arial"/>
          <w:sz w:val="16"/>
          <w:szCs w:val="16"/>
          <w:u w:val="single" w:color="auto"/>
          <w:color w:val="auto"/>
        </w:rPr>
        <w:t>free writing prospectus</w:t>
      </w:r>
      <w:r>
        <w:rPr>
          <w:rFonts w:ascii="Arial" w:cs="Arial" w:eastAsia="Arial" w:hAnsi="Arial"/>
          <w:sz w:val="16"/>
          <w:szCs w:val="16"/>
          <w:color w:val="auto"/>
        </w:rPr>
        <w:t>” has the meaning set forth in Rule 405 under the Securities Act. The Company will not, without the prior consent of the Representative, prepare, use or refer to, any free writing prospectus.</w:t>
      </w:r>
    </w:p>
    <w:p>
      <w:pPr>
        <w:spacing w:after="0" w:line="210" w:lineRule="exact"/>
        <w:rPr>
          <w:rFonts w:ascii="Arial" w:cs="Arial" w:eastAsia="Arial" w:hAnsi="Arial"/>
          <w:sz w:val="16"/>
          <w:szCs w:val="16"/>
          <w:color w:val="auto"/>
        </w:rPr>
      </w:pPr>
    </w:p>
    <w:p>
      <w:pPr>
        <w:ind w:left="-460" w:firstLine="1292"/>
        <w:spacing w:after="0" w:line="290" w:lineRule="auto"/>
        <w:tabs>
          <w:tab w:leader="none" w:pos="1257"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Issuance of Shares</w:t>
      </w:r>
      <w:r>
        <w:rPr>
          <w:rFonts w:ascii="Arial" w:cs="Arial" w:eastAsia="Arial" w:hAnsi="Arial"/>
          <w:sz w:val="16"/>
          <w:szCs w:val="16"/>
          <w:color w:val="auto"/>
        </w:rPr>
        <w:t>. The Public Shares are duly authorized and, when issued and paid for in accordance with the applicable Transaction Documents, will be duly and validly issued, fully paid and non-assessable, free and clear of all Liens imposed by the Company. The Company has reserved from its duly authorized capital stock the maximum number of shares of Common Stock issuable pursuant to this Agreement. The holder of the Public Shares will not be subject to personal liability by reason of being such holders. The Public Shares are not and will not be subject to the preemptive rights of any holders of any security of the Company or similar contractual rights granted by the Company. All corporate action required to be taken for the authorization, issuance and sale of the Public Shares has been duly and validly taken. The Public Shares conform in all material respects to all statements with respect thereto contained in the Registration Statement.</w:t>
      </w:r>
    </w:p>
    <w:p>
      <w:pPr>
        <w:spacing w:after="0" w:line="38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1103" w:right="379" w:bottom="1440" w:gutter="0" w:footer="0" w:header="0"/>
        </w:sectPr>
      </w:pPr>
    </w:p>
    <w:bookmarkStart w:id="14" w:name="page15"/>
    <w:bookmarkEnd w:id="14"/>
    <w:p>
      <w:pPr>
        <w:ind w:left="1260" w:hanging="428"/>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460" w:firstLine="1292"/>
        <w:spacing w:after="0" w:line="284" w:lineRule="auto"/>
        <w:tabs>
          <w:tab w:leader="none" w:pos="1218"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capitalization of the Company is as set forth in the SEC Reports.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Public Shares,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or any Subsidiary is or may become bound to issue additional shares of Common Stock or Common Stock Equivalents. The issuance and sale of the Public Shares will not obligate the Company to issue shares of Common Stock or other securities to any Person (other than the Underwriters). There are no outstanding securities or instruments of the Company or any Subsidiary with any provision that adjusts the exercise, conversion, exchange or reset price of such security or instrument upon an issuance of securities by the Company or any Subsidiary.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The authorized shares of the Company conform in all material respects to all statements relating thereto contained in the Registration Statement, the Prospectus, and the Prospectus Supplement. The offers and sales of the Company’s securities were at all relevant times either registered under the Securities Act and the applicable state securities or Blue Sky laws or, based in part on the representations and warranties of the purchasers, exempt from such registration requirements. No further approval or authorization of any stockholder, the Board of Directors or others is required for the issuance and sale of the Public Shares.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0" w:lineRule="exact"/>
        <w:rPr>
          <w:sz w:val="20"/>
          <w:szCs w:val="20"/>
          <w:color w:val="auto"/>
        </w:rPr>
      </w:pPr>
    </w:p>
    <w:p>
      <w:pPr>
        <w:spacing w:after="0" w:line="34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39" w:right="339" w:bottom="1440" w:gutter="0" w:footer="0" w:header="0"/>
        </w:sectPr>
      </w:pPr>
    </w:p>
    <w:bookmarkStart w:id="15" w:name="page16"/>
    <w:bookmarkEnd w:id="15"/>
    <w:p>
      <w:pPr>
        <w:ind w:left="-460" w:firstLine="1292"/>
        <w:spacing w:after="0" w:line="283" w:lineRule="auto"/>
        <w:tabs>
          <w:tab w:leader="none" w:pos="1218"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Arial" w:cs="Arial" w:eastAsia="Arial" w:hAnsi="Arial"/>
          <w:sz w:val="16"/>
          <w:szCs w:val="16"/>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The pro forma financial statements included in the Registration Statement, the Preliminary Prospectus, the Prospectus, and the Prospectus Supplement include assumptions that provide a reasonable basis for presenting the significant effects directly attributable to the transactions and events described therein, the related pro forma adjustments give appropriate effect to those assumptions, and the pro forma adjustments reflect the proper application of those adjustments to the historical financial statement amounts in the pro forma financial statements included in the Registration Statement, the Preliminary Prospectus, the Prospectus, and the Prospectus Supplement. The pro forma financial statements included in the Registration Statement, the Preliminary Prospectus the Prospectus, and the Prospectus Supplement comply as to form in all material respects with the applicable accounting requirements of Regulation S-X under the Securities Act and the pro forma adjustments have been properly applied to the historical amounts in the compilation of those statements. Such financial statements have been prepared in accordance with United States generally accepted accounting principles applied on a consistent basis during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The agreements and documents described in the Registration Statement, the Prospectus, the Prospectus Supplement, and the SEC Reports conform to the descriptions thereof contained therein and there are no agreements or other documents required by the Securities Act and the rules and regulations thereunder to be described in the Registration Statement, the Prospectus, the Prospectus Supplement, or the SEC Reports or to be filed with the Commission as exhibits to the Registration Statement, that have not been so described or filed. Each agreement or other instrument (however characterized or described) to which the Company is a party or by which it is or may be bound or affected and (i) that is referred to in the Registration Statement, the Prospectus, the Prospectus Supplement, or the SEC Reports, or (ii) is material to the Company’s business, has been duly authorized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therefore may be brought. None of such agreements or instruments has been assigned by the Company, and neither the Company nor, to the best of the Company’s knowledge, any other party is in default thereunder and, to the best of the Company’s knowledge, no event has occurred that, with the lapse of time or the giving of notice, or both, would constitute a default thereunder. To the best of the Company’s knowledge,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200" w:lineRule="exact"/>
        <w:rPr>
          <w:sz w:val="20"/>
          <w:szCs w:val="20"/>
          <w:color w:val="auto"/>
        </w:rPr>
      </w:pPr>
    </w:p>
    <w:p>
      <w:pPr>
        <w:spacing w:after="0" w:line="34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103" w:right="359" w:bottom="1440" w:gutter="0" w:footer="0" w:header="0"/>
        </w:sectPr>
      </w:pPr>
    </w:p>
    <w:bookmarkStart w:id="16" w:name="page17"/>
    <w:bookmarkEnd w:id="16"/>
    <w:p>
      <w:pPr>
        <w:ind w:left="-460" w:right="40" w:firstLine="1292"/>
        <w:spacing w:after="0" w:line="284" w:lineRule="auto"/>
        <w:tabs>
          <w:tab w:leader="none" w:pos="1257"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Material Changes; Undisclosed Events, Liabilities or Developments</w:t>
      </w:r>
      <w:r>
        <w:rPr>
          <w:rFonts w:ascii="Arial" w:cs="Arial" w:eastAsia="Arial" w:hAnsi="Arial"/>
          <w:sz w:val="16"/>
          <w:szCs w:val="16"/>
          <w:color w:val="auto"/>
        </w:rPr>
        <w:t>. Since the date of the latest audited financial statements included within the SEC Reports, except as specifically disclosed in a subsequent SEC Report filed prior to the date hereof,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(v) the Company has not issued any equity securities to any officer, director or Affiliate, except pursuant to existing Company stock option or employee stock purchase plans and (vi) no officer or director of the Company has resigned from any position with the Company. The Company does not have pending before the Commission any request for confidential treatment of information. Except for the issuance of the Public Shares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 Unless otherwise disclosed in an SEC Report filed prior to the date hereof, the Company has not: (i) issued any securities or incurred any liability or obligation, direct or contingent, for borrowed money; or (ii) declared or paid any dividend or made any other distribution on or in respect to its capital stock.</w:t>
      </w:r>
    </w:p>
    <w:p>
      <w:pPr>
        <w:spacing w:after="0" w:line="146" w:lineRule="exact"/>
        <w:rPr>
          <w:rFonts w:ascii="Arial" w:cs="Arial" w:eastAsia="Arial" w:hAnsi="Arial"/>
          <w:sz w:val="16"/>
          <w:szCs w:val="16"/>
          <w:color w:val="auto"/>
        </w:rPr>
      </w:pPr>
    </w:p>
    <w:p>
      <w:pPr>
        <w:ind w:left="-460" w:firstLine="1292"/>
        <w:spacing w:after="0" w:line="287" w:lineRule="auto"/>
        <w:tabs>
          <w:tab w:leader="none" w:pos="1218"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6"/>
          <w:szCs w:val="16"/>
          <w:u w:val="single" w:color="auto"/>
          <w:color w:val="auto"/>
        </w:rPr>
        <w:t>Action</w:t>
      </w:r>
      <w:r>
        <w:rPr>
          <w:rFonts w:ascii="Arial" w:cs="Arial" w:eastAsia="Arial" w:hAnsi="Arial"/>
          <w:sz w:val="16"/>
          <w:szCs w:val="16"/>
          <w:color w:val="auto"/>
        </w:rPr>
        <w:t>”) which (i) adversely affects or challenges the legality, validity or enforceability of this Agreement or any of any of the Transaction Documents or the Public Shares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35" w:lineRule="exact"/>
        <w:rPr>
          <w:rFonts w:ascii="Arial" w:cs="Arial" w:eastAsia="Arial" w:hAnsi="Arial"/>
          <w:sz w:val="16"/>
          <w:szCs w:val="16"/>
          <w:color w:val="auto"/>
        </w:rPr>
      </w:pPr>
    </w:p>
    <w:p>
      <w:pPr>
        <w:ind w:left="-460" w:right="100" w:firstLine="1292"/>
        <w:spacing w:after="0" w:line="286" w:lineRule="auto"/>
        <w:tabs>
          <w:tab w:leader="none" w:pos="1305"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Labor Relations</w:t>
      </w:r>
      <w:r>
        <w:rPr>
          <w:rFonts w:ascii="Arial" w:cs="Arial" w:eastAsia="Arial" w:hAnsi="Arial"/>
          <w:sz w:val="16"/>
          <w:szCs w:val="16"/>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200" w:lineRule="exact"/>
        <w:rPr>
          <w:sz w:val="20"/>
          <w:szCs w:val="20"/>
          <w:color w:val="auto"/>
        </w:rPr>
      </w:pPr>
    </w:p>
    <w:p>
      <w:pPr>
        <w:spacing w:after="0" w:line="34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103" w:right="359" w:bottom="1440" w:gutter="0" w:footer="0" w:header="0"/>
        </w:sectPr>
      </w:pPr>
    </w:p>
    <w:bookmarkStart w:id="17" w:name="page18"/>
    <w:bookmarkEnd w:id="17"/>
    <w:p>
      <w:pPr>
        <w:ind w:left="-460" w:right="80" w:firstLine="1292"/>
        <w:spacing w:after="0" w:line="288" w:lineRule="auto"/>
        <w:tabs>
          <w:tab w:leader="none" w:pos="1266" w:val="left"/>
        </w:tabs>
        <w:numPr>
          <w:ilvl w:val="0"/>
          <w:numId w:val="14"/>
        </w:numPr>
        <w:rPr>
          <w:rFonts w:ascii="Arial" w:cs="Arial" w:eastAsia="Arial" w:hAnsi="Arial"/>
          <w:sz w:val="16"/>
          <w:szCs w:val="16"/>
          <w:b w:val="1"/>
          <w:bCs w:val="1"/>
          <w:color w:val="auto"/>
        </w:rPr>
      </w:pPr>
      <w:r>
        <w:rPr>
          <w:rFonts w:ascii="Arial" w:cs="Arial" w:eastAsia="Arial" w:hAnsi="Arial"/>
          <w:sz w:val="16"/>
          <w:szCs w:val="16"/>
          <w:u w:val="single" w:color="auto"/>
          <w:color w:val="auto"/>
        </w:rPr>
        <w:t>Compliance</w:t>
      </w:r>
      <w:r>
        <w:rPr>
          <w:rFonts w:ascii="Arial" w:cs="Arial" w:eastAsia="Arial" w:hAnsi="Arial"/>
          <w:sz w:val="16"/>
          <w:szCs w:val="16"/>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37" w:lineRule="exact"/>
        <w:rPr>
          <w:rFonts w:ascii="Arial" w:cs="Arial" w:eastAsia="Arial" w:hAnsi="Arial"/>
          <w:sz w:val="16"/>
          <w:szCs w:val="16"/>
          <w:b w:val="1"/>
          <w:bCs w:val="1"/>
          <w:color w:val="auto"/>
        </w:rPr>
      </w:pPr>
    </w:p>
    <w:p>
      <w:pPr>
        <w:ind w:left="-460" w:right="40" w:firstLine="1292"/>
        <w:spacing w:after="0" w:line="291" w:lineRule="auto"/>
        <w:tabs>
          <w:tab w:leader="none" w:pos="1257"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Regulatory Permits</w:t>
      </w:r>
      <w:r>
        <w:rPr>
          <w:rFonts w:ascii="Arial" w:cs="Arial" w:eastAsia="Arial" w:hAnsi="Arial"/>
          <w:sz w:val="16"/>
          <w:szCs w:val="16"/>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(each, a “</w:t>
      </w:r>
      <w:r>
        <w:rPr>
          <w:rFonts w:ascii="Arial" w:cs="Arial" w:eastAsia="Arial" w:hAnsi="Arial"/>
          <w:sz w:val="16"/>
          <w:szCs w:val="16"/>
          <w:u w:val="single" w:color="auto"/>
          <w:color w:val="auto"/>
        </w:rPr>
        <w:t>Material Permit</w:t>
      </w:r>
      <w:r>
        <w:rPr>
          <w:rFonts w:ascii="Arial" w:cs="Arial" w:eastAsia="Arial" w:hAnsi="Arial"/>
          <w:sz w:val="16"/>
          <w:szCs w:val="16"/>
          <w:color w:val="auto"/>
        </w:rPr>
        <w:t>”), and neither the Company nor any Subsidiary has received any notice of proceedings relating to the revocation or modification of any Material Permit. The disclosures in the Registration Statement concerning the effects of Federal, State, local and all foreign regulation on the Company’s business as currently contemplated are correct in all material respects.</w:t>
      </w:r>
    </w:p>
    <w:p>
      <w:pPr>
        <w:spacing w:after="0" w:line="133" w:lineRule="exact"/>
        <w:rPr>
          <w:rFonts w:ascii="Arial" w:cs="Arial" w:eastAsia="Arial" w:hAnsi="Arial"/>
          <w:sz w:val="16"/>
          <w:szCs w:val="16"/>
          <w:color w:val="auto"/>
        </w:rPr>
      </w:pPr>
    </w:p>
    <w:p>
      <w:pPr>
        <w:ind w:left="-460" w:right="80" w:firstLine="1292"/>
        <w:spacing w:after="0" w:line="290" w:lineRule="auto"/>
        <w:tabs>
          <w:tab w:leader="none" w:pos="1257"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Title to Assets</w:t>
      </w:r>
      <w:r>
        <w:rPr>
          <w:rFonts w:ascii="Arial" w:cs="Arial" w:eastAsia="Arial" w:hAnsi="Arial"/>
          <w:sz w:val="16"/>
          <w:szCs w:val="16"/>
          <w:color w:val="auto"/>
        </w:rPr>
        <w:t>. The Company and the Subsidiaries have good and marketable title in fee simple to, or have valid and marketable rights to lease or otherwise use, all real property and all personal property that is material to the business of the Company and the Subsidiaries, in each case free and clear of all Liens, except for (i) Liens that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31" w:lineRule="exact"/>
        <w:rPr>
          <w:rFonts w:ascii="Arial" w:cs="Arial" w:eastAsia="Arial" w:hAnsi="Arial"/>
          <w:sz w:val="16"/>
          <w:szCs w:val="16"/>
          <w:color w:val="auto"/>
        </w:rPr>
      </w:pPr>
    </w:p>
    <w:p>
      <w:pPr>
        <w:ind w:left="-460" w:firstLine="1292"/>
        <w:spacing w:after="0" w:line="286" w:lineRule="auto"/>
        <w:tabs>
          <w:tab w:leader="none" w:pos="1257"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do so could have a Material Adverse Effect (collectively, the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200" w:lineRule="exact"/>
        <w:rPr>
          <w:sz w:val="20"/>
          <w:szCs w:val="20"/>
          <w:color w:val="auto"/>
        </w:rPr>
      </w:pPr>
    </w:p>
    <w:p>
      <w:pPr>
        <w:spacing w:after="0" w:line="34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39" w:right="359" w:bottom="1440" w:gutter="0" w:footer="0" w:header="0"/>
        </w:sectPr>
      </w:pPr>
    </w:p>
    <w:bookmarkStart w:id="18" w:name="page19"/>
    <w:bookmarkEnd w:id="18"/>
    <w:p>
      <w:pPr>
        <w:ind w:left="-460" w:firstLine="1292"/>
        <w:spacing w:after="0" w:line="294" w:lineRule="auto"/>
        <w:tabs>
          <w:tab w:leader="none" w:pos="1227"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28" w:lineRule="exact"/>
        <w:rPr>
          <w:rFonts w:ascii="Arial" w:cs="Arial" w:eastAsia="Arial" w:hAnsi="Arial"/>
          <w:sz w:val="16"/>
          <w:szCs w:val="16"/>
          <w:color w:val="auto"/>
        </w:rPr>
      </w:pPr>
    </w:p>
    <w:p>
      <w:pPr>
        <w:ind w:left="-460" w:right="100" w:firstLine="1292"/>
        <w:spacing w:after="0" w:line="288" w:lineRule="auto"/>
        <w:tabs>
          <w:tab w:leader="none" w:pos="1237"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Transactions With Affiliates and Employees</w:t>
      </w:r>
      <w:r>
        <w:rPr>
          <w:rFonts w:ascii="Arial" w:cs="Arial" w:eastAsia="Arial" w:hAnsi="Arial"/>
          <w:sz w:val="16"/>
          <w:szCs w:val="16"/>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$100,000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32" w:lineRule="exact"/>
        <w:rPr>
          <w:rFonts w:ascii="Arial" w:cs="Arial" w:eastAsia="Arial" w:hAnsi="Arial"/>
          <w:sz w:val="16"/>
          <w:szCs w:val="16"/>
          <w:color w:val="auto"/>
        </w:rPr>
      </w:pPr>
    </w:p>
    <w:p>
      <w:pPr>
        <w:ind w:left="-460" w:right="100" w:firstLine="1292"/>
        <w:spacing w:after="0" w:line="305" w:lineRule="auto"/>
        <w:tabs>
          <w:tab w:leader="none" w:pos="1218" w:val="left"/>
        </w:tabs>
        <w:numPr>
          <w:ilvl w:val="0"/>
          <w:numId w:val="15"/>
        </w:numPr>
        <w:rPr>
          <w:rFonts w:ascii="Arial" w:cs="Arial" w:eastAsia="Arial" w:hAnsi="Arial"/>
          <w:sz w:val="15"/>
          <w:szCs w:val="15"/>
          <w:color w:val="auto"/>
        </w:rPr>
      </w:pPr>
      <w:r>
        <w:rPr>
          <w:rFonts w:ascii="Arial" w:cs="Arial" w:eastAsia="Arial" w:hAnsi="Arial"/>
          <w:sz w:val="15"/>
          <w:szCs w:val="15"/>
          <w:u w:val="single" w:color="auto"/>
          <w:color w:val="auto"/>
        </w:rPr>
        <w:t>Sarbanes-Oxley; Internal Accounting Controls</w:t>
      </w:r>
      <w:r>
        <w:rPr>
          <w:rFonts w:ascii="Arial" w:cs="Arial" w:eastAsia="Arial" w:hAnsi="Arial"/>
          <w:sz w:val="15"/>
          <w:szCs w:val="15"/>
          <w:color w:val="auto"/>
        </w:rPr>
        <w:t>. Except as set forth in the SEC Reports, the Company and the Subsidiaries are in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Arial" w:cs="Arial" w:eastAsia="Arial" w:hAnsi="Arial"/>
          <w:sz w:val="15"/>
          <w:szCs w:val="15"/>
          <w:u w:val="single" w:color="auto"/>
          <w:color w:val="auto"/>
        </w:rPr>
        <w:t>Evaluation Date</w:t>
      </w:r>
      <w:r>
        <w:rPr>
          <w:rFonts w:ascii="Arial" w:cs="Arial" w:eastAsia="Arial" w:hAnsi="Arial"/>
          <w:sz w:val="15"/>
          <w:szCs w:val="15"/>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03" w:right="339" w:bottom="1440" w:gutter="0" w:footer="0" w:header="0"/>
        </w:sectPr>
      </w:pPr>
    </w:p>
    <w:bookmarkStart w:id="19" w:name="page20"/>
    <w:bookmarkEnd w:id="19"/>
    <w:p>
      <w:pPr>
        <w:ind w:left="-460" w:firstLine="1292"/>
        <w:spacing w:after="0" w:line="287" w:lineRule="auto"/>
        <w:tabs>
          <w:tab w:leader="none" w:pos="1257"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Certain Fees</w:t>
      </w:r>
      <w:r>
        <w:rPr>
          <w:rFonts w:ascii="Arial" w:cs="Arial" w:eastAsia="Arial" w:hAnsi="Arial"/>
          <w:sz w:val="16"/>
          <w:szCs w:val="16"/>
          <w:color w:val="auto"/>
        </w:rPr>
        <w:t>. Except as set forth in the Prospectus or the Prospectus Supplement, no brokerage or finder’s fees or commissions are or will be payable by the Company, any Subsidiary or Affiliate of the Company to any broker, financial advisor or consultant, finder, placement agent, investment banker, bank or other Person with respect to the transactions contemplated by the Transaction Documents. To the Company’s knowledge, there are no other arrangements, agreements or understandings of the Company or, to the Company’s knowledge, any of its stockholders that may affect the Underwriters’ compensation, as determined by FINRA.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months prior to the Execution Date. None of the net proceeds of the Offering will be paid by the Company to any participating FINRA member or its affiliates, except as specifically authorized herein.</w:t>
      </w:r>
    </w:p>
    <w:p>
      <w:pPr>
        <w:spacing w:after="0" w:line="135" w:lineRule="exact"/>
        <w:rPr>
          <w:rFonts w:ascii="Arial" w:cs="Arial" w:eastAsia="Arial" w:hAnsi="Arial"/>
          <w:sz w:val="16"/>
          <w:szCs w:val="16"/>
          <w:color w:val="auto"/>
        </w:rPr>
      </w:pPr>
    </w:p>
    <w:p>
      <w:pPr>
        <w:ind w:left="-460" w:right="40" w:firstLine="1292"/>
        <w:spacing w:after="0" w:line="256" w:lineRule="auto"/>
        <w:tabs>
          <w:tab w:leader="none" w:pos="1257"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is not an Affiliate of, and immediately after receipt of payment for the Public Shares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56" w:lineRule="exact"/>
        <w:rPr>
          <w:rFonts w:ascii="Arial" w:cs="Arial" w:eastAsia="Arial" w:hAnsi="Arial"/>
          <w:sz w:val="18"/>
          <w:szCs w:val="18"/>
          <w:color w:val="auto"/>
        </w:rPr>
      </w:pPr>
    </w:p>
    <w:p>
      <w:pPr>
        <w:ind w:left="-460" w:right="360" w:firstLine="1292"/>
        <w:spacing w:after="0" w:line="268"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No Person has any right to cause the Company or any Subsidiary to effect the registration under the Securities Act of any securities of the Company or any Subsidiary.</w:t>
      </w:r>
    </w:p>
    <w:p>
      <w:pPr>
        <w:spacing w:after="0" w:line="145" w:lineRule="exact"/>
        <w:rPr>
          <w:rFonts w:ascii="Arial" w:cs="Arial" w:eastAsia="Arial" w:hAnsi="Arial"/>
          <w:sz w:val="18"/>
          <w:szCs w:val="18"/>
          <w:color w:val="auto"/>
        </w:rPr>
      </w:pPr>
    </w:p>
    <w:p>
      <w:pPr>
        <w:ind w:left="-460" w:firstLine="1292"/>
        <w:spacing w:after="0" w:line="308" w:lineRule="auto"/>
        <w:tabs>
          <w:tab w:leader="none" w:pos="1257" w:val="left"/>
        </w:tabs>
        <w:numPr>
          <w:ilvl w:val="0"/>
          <w:numId w:val="16"/>
        </w:numPr>
        <w:rPr>
          <w:rFonts w:ascii="Arial" w:cs="Arial" w:eastAsia="Arial" w:hAnsi="Arial"/>
          <w:sz w:val="15"/>
          <w:szCs w:val="15"/>
          <w:color w:val="auto"/>
        </w:rPr>
      </w:pPr>
      <w:r>
        <w:rPr>
          <w:rFonts w:ascii="Arial" w:cs="Arial" w:eastAsia="Arial" w:hAnsi="Arial"/>
          <w:sz w:val="15"/>
          <w:szCs w:val="15"/>
          <w:u w:val="single" w:color="auto"/>
          <w:color w:val="auto"/>
        </w:rPr>
        <w:t>Listing and Maintenance Requirements</w:t>
      </w:r>
      <w:r>
        <w:rPr>
          <w:rFonts w:ascii="Arial" w:cs="Arial" w:eastAsia="Arial" w:hAnsi="Arial"/>
          <w:sz w:val="15"/>
          <w:szCs w:val="15"/>
          <w:color w:val="auto"/>
        </w:rPr>
        <w:t>.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Other than with respect to the Nasdaq Listing Rule deficiencies described in the (i) Nasdaq bid price deficiency letter, dated January 31, 2020, and (ii) Nasdaq market value deficiency letter, dated March 30, 2020,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of the Depository Trust Company (or such other established clearing corporation) in connection with such electronic transfer.</w:t>
      </w:r>
    </w:p>
    <w:p>
      <w:pPr>
        <w:spacing w:after="0" w:line="121" w:lineRule="exact"/>
        <w:rPr>
          <w:rFonts w:ascii="Arial" w:cs="Arial" w:eastAsia="Arial" w:hAnsi="Arial"/>
          <w:sz w:val="15"/>
          <w:szCs w:val="15"/>
          <w:color w:val="auto"/>
        </w:rPr>
      </w:pPr>
    </w:p>
    <w:p>
      <w:pPr>
        <w:ind w:left="-460" w:right="100" w:firstLine="1292"/>
        <w:spacing w:after="0" w:line="254" w:lineRule="auto"/>
        <w:tabs>
          <w:tab w:leader="none" w:pos="1257"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as a result of the Underwriters and the Company fulfilling their obligations or exercising their rights under the Transaction Documents.</w:t>
      </w:r>
    </w:p>
    <w:p>
      <w:pPr>
        <w:spacing w:after="0" w:line="200" w:lineRule="exact"/>
        <w:rPr>
          <w:sz w:val="20"/>
          <w:szCs w:val="20"/>
          <w:color w:val="auto"/>
        </w:rPr>
      </w:pPr>
    </w:p>
    <w:p>
      <w:pPr>
        <w:spacing w:after="0" w:line="36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39" w:right="359" w:bottom="1440" w:gutter="0" w:footer="0" w:header="0"/>
        </w:sectPr>
      </w:pPr>
    </w:p>
    <w:bookmarkStart w:id="20" w:name="page21"/>
    <w:bookmarkEnd w:id="20"/>
    <w:p>
      <w:pPr>
        <w:ind w:left="-460" w:firstLine="1292"/>
        <w:spacing w:after="0" w:line="283" w:lineRule="auto"/>
        <w:tabs>
          <w:tab w:leader="none" w:pos="1247"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Disclosure; 10b-5</w:t>
      </w:r>
      <w:r>
        <w:rPr>
          <w:rFonts w:ascii="Arial" w:cs="Arial" w:eastAsia="Arial" w:hAnsi="Arial"/>
          <w:sz w:val="16"/>
          <w:szCs w:val="16"/>
          <w:color w:val="auto"/>
        </w:rPr>
        <w:t>. The Registration Statement (and any further documents to be filed with the Commission) contains all exhibits and schedules as required by the Securities Act. Each of the Registration Statement and any post-effective amendment thereto, if any, at the time it became effective, complied in all material respects with the Securities Act and the Exchange Act and the applicable rules and regulations under the Securities Act and did not and, as amended or supplemented, if applicable, will not, contain any untrue statement of a material fact or omit to state a material fact required to be stated therein or necessary to make the statements therein not misleading. The Prospectus and the Prospectus Supplement, each as of its respective date, comply in all material respects with the Securities Act and the Exchange Act and the applicable rules and regulations. Each of the Prospectus and the Prospectus Supplement, as amended or supplemented, did not and will not contain as of the date thereof any untrue statement of a material fact or omit to state a material fact necessary in order to make the statements therein, in light of the circumstances under which they were made, not misleading. The SEC Reports, when they were filed with the Commission, conformed in all material respects to the requirements of the Exchange Act and the applicable rules and regulations, and none of such documents, when they were filed with the Commission, contained any untrue statement of a material fact or omitted to state a material fact necessary to make the statements therein (with respect to the SEC Reports incorporated by reference in the Prospectus or Prospectus Supplement), in light of the circumstances under which they were made not misleading; and any further documents so filed and incorporated by reference in the Prospectus or Prospectus Supplement, when such documents are filed with the Commission, will conform in all material respects to the requirements of the Exchange Act and the applicable rules and regulations, as applicable, and will not contain any untrue statement of a material fact or omit to state a material fact necessary to make the statements therein, in light of the circumstances under which they were made not misleading. No post-effective amendment to the Registration Statement reflecting any facts or events arising after the date thereof which represent, individually or in the aggregate, a fundamental change in the information set forth therein is required to be filed with the Commission. There are no documents required to be filed with the Commission in connection with the transaction contemplated hereby that (x) have not been filed as required pursuant to the Securities Act or (y) will not be filed within the requisite time period. There are no contracts or other documents required to be described in the Prospectus or Prospectus Supplement, or to be filed as exhibits or schedules to the Registration Statement, which have not been described or filed as required.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w:t>
      </w:r>
    </w:p>
    <w:p>
      <w:pPr>
        <w:spacing w:after="0" w:line="153" w:lineRule="exact"/>
        <w:rPr>
          <w:sz w:val="20"/>
          <w:szCs w:val="20"/>
          <w:color w:val="auto"/>
        </w:rPr>
      </w:pPr>
    </w:p>
    <w:p>
      <w:pPr>
        <w:ind w:left="-460" w:right="160" w:firstLine="1292"/>
        <w:spacing w:after="0" w:line="298" w:lineRule="auto"/>
        <w:tabs>
          <w:tab w:leader="none" w:pos="1325"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No Integrated Offering</w:t>
      </w:r>
      <w:r>
        <w:rPr>
          <w:rFonts w:ascii="Arial" w:cs="Arial" w:eastAsia="Arial" w:hAnsi="Arial"/>
          <w:sz w:val="16"/>
          <w:szCs w:val="16"/>
          <w:color w:val="auto"/>
        </w:rPr>
        <w:t>. Neither the Company, nor any of its Affiliates, nor any Person acting on its or their behalf has, directly or indirectly, made any offers or sales of any security or solicited any offers to buy any security, under circumstances that would cause this offering of the Public Shares to be integrated with prior offerings by the Company for purposes of any applicable shareholder approval provisions of any Trading Market on which any of the securities of the Company are listed or designated.</w:t>
      </w:r>
    </w:p>
    <w:p>
      <w:pPr>
        <w:spacing w:after="0" w:line="200" w:lineRule="exact"/>
        <w:rPr>
          <w:sz w:val="20"/>
          <w:szCs w:val="20"/>
          <w:color w:val="auto"/>
        </w:rPr>
      </w:pPr>
    </w:p>
    <w:p>
      <w:pPr>
        <w:spacing w:after="0" w:line="33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03" w:right="339" w:bottom="1440" w:gutter="0" w:footer="0" w:header="0"/>
        </w:sectPr>
      </w:pPr>
    </w:p>
    <w:bookmarkStart w:id="21" w:name="page22"/>
    <w:bookmarkEnd w:id="21"/>
    <w:p>
      <w:pPr>
        <w:ind w:left="-460" w:firstLine="1292"/>
        <w:spacing w:after="0" w:line="286" w:lineRule="auto"/>
        <w:tabs>
          <w:tab w:leader="none" w:pos="1344"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Based on the consolidated financial condition of the Company as of the Closing Date, after giving effect to the receipt by the Company of the proceeds from the sale of the Public Shares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(1) year from the Closing Date. The SEC Reports sets forth as of the date thereof all outstanding secured and unsecured Indebtedness of the Company or any Subsidiary, or for which the Company or any Subsidiary has commitments.</w:t>
      </w:r>
    </w:p>
    <w:p>
      <w:pPr>
        <w:spacing w:after="0" w:line="136" w:lineRule="exact"/>
        <w:rPr>
          <w:rFonts w:ascii="Arial" w:cs="Arial" w:eastAsia="Arial" w:hAnsi="Arial"/>
          <w:sz w:val="16"/>
          <w:szCs w:val="16"/>
          <w:color w:val="auto"/>
        </w:rPr>
      </w:pPr>
    </w:p>
    <w:p>
      <w:pPr>
        <w:ind w:left="-460" w:right="80" w:firstLine="1292"/>
        <w:spacing w:after="0" w:line="285" w:lineRule="auto"/>
        <w:tabs>
          <w:tab w:leader="none" w:pos="1325"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Tax Status</w:t>
      </w:r>
      <w:r>
        <w:rPr>
          <w:rFonts w:ascii="Arial" w:cs="Arial" w:eastAsia="Arial" w:hAnsi="Arial"/>
          <w:sz w:val="16"/>
          <w:szCs w:val="16"/>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 The provisions for taxes payable, if any, shown on the financial statements filed with or as part of the Registration Statement are sufficient for all accrued and unpaid taxes, whether or not disputed, and for all periods to and including the dates of such consolidated financial statements. The term “taxes” mean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whatsoever, together with any interest and any penalties, additions to tax, or additional amounts with respect thereto. The term “returns” means all returns, declarations, reports, statements, and other documents required to be filed in respect to taxes.</w:t>
      </w:r>
    </w:p>
    <w:p>
      <w:pPr>
        <w:spacing w:after="0" w:line="143" w:lineRule="exact"/>
        <w:rPr>
          <w:rFonts w:ascii="Arial" w:cs="Arial" w:eastAsia="Arial" w:hAnsi="Arial"/>
          <w:sz w:val="16"/>
          <w:szCs w:val="16"/>
          <w:color w:val="auto"/>
        </w:rPr>
      </w:pPr>
    </w:p>
    <w:p>
      <w:pPr>
        <w:ind w:left="-460" w:right="20" w:firstLine="1292"/>
        <w:spacing w:after="0" w:line="290" w:lineRule="auto"/>
        <w:tabs>
          <w:tab w:leader="none" w:pos="1344"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w:t>
      </w:r>
      <w:r>
        <w:rPr>
          <w:rFonts w:ascii="Arial" w:cs="Arial" w:eastAsia="Arial" w:hAnsi="Arial"/>
          <w:sz w:val="16"/>
          <w:szCs w:val="16"/>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 The Company has taken reasonable steps to ensure that its accounting controls and procedures are sufficient to cause the Company to comply in all material respects with the FCPA.</w:t>
      </w:r>
    </w:p>
    <w:p>
      <w:pPr>
        <w:spacing w:after="0" w:line="200" w:lineRule="exact"/>
        <w:rPr>
          <w:sz w:val="20"/>
          <w:szCs w:val="20"/>
          <w:color w:val="auto"/>
        </w:rPr>
      </w:pPr>
    </w:p>
    <w:p>
      <w:pPr>
        <w:spacing w:after="0" w:line="3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39" w:right="339" w:bottom="1440" w:gutter="0" w:footer="0" w:header="0"/>
        </w:sectPr>
      </w:pPr>
    </w:p>
    <w:bookmarkStart w:id="22" w:name="page23"/>
    <w:bookmarkEnd w:id="22"/>
    <w:p>
      <w:pPr>
        <w:ind w:left="-460" w:right="80" w:firstLine="1292"/>
        <w:spacing w:after="0" w:line="290" w:lineRule="auto"/>
        <w:tabs>
          <w:tab w:leader="none" w:pos="1325"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Accountants</w:t>
      </w:r>
      <w:r>
        <w:rPr>
          <w:rFonts w:ascii="Arial" w:cs="Arial" w:eastAsia="Arial" w:hAnsi="Arial"/>
          <w:sz w:val="16"/>
          <w:szCs w:val="16"/>
          <w:color w:val="auto"/>
        </w:rPr>
        <w:t>. To the knowledge and belief of the Company, the Company Auditor (i) is an independent registered public accounting firm as required by the Exchange Act and (ii) shall express its opinion with respect to the financial statements to be included in the Company’s Annual Reports for the fiscal years ending March 31, 2019, March 31, 2020 and March 31, 2021. Except as disclosed in the Company’s Definitive Proxy Statement on Schedule 14A, filed with the Commission on July 27, 2020, the Company Auditor has not, during the periods covered by the financial statements included in the Prospectus and the Prospectus Supplement, provided to the Company any non-audit services, as such term is used in Section 10A(g) of the Exchange Act. For a period of three (3) years from the Execution Date, the Company shall continue to retain an independent registered public accounting firm.</w:t>
      </w:r>
    </w:p>
    <w:p>
      <w:pPr>
        <w:spacing w:after="0" w:line="131" w:lineRule="exact"/>
        <w:rPr>
          <w:rFonts w:ascii="Arial" w:cs="Arial" w:eastAsia="Arial" w:hAnsi="Arial"/>
          <w:sz w:val="16"/>
          <w:szCs w:val="16"/>
          <w:color w:val="auto"/>
        </w:rPr>
      </w:pPr>
    </w:p>
    <w:p>
      <w:pPr>
        <w:ind w:left="-460" w:firstLine="1292"/>
        <w:spacing w:after="0" w:line="284" w:lineRule="auto"/>
        <w:tabs>
          <w:tab w:leader="none" w:pos="1283"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FDA</w:t>
      </w:r>
      <w:r>
        <w:rPr>
          <w:rFonts w:ascii="Arial" w:cs="Arial" w:eastAsia="Arial" w:hAnsi="Arial"/>
          <w:sz w:val="16"/>
          <w:szCs w:val="16"/>
          <w:color w:val="auto"/>
        </w:rPr>
        <w:t>. As to each product subject to the jurisdiction of the U.S. Food and Drug Administration (“</w:t>
      </w:r>
      <w:r>
        <w:rPr>
          <w:rFonts w:ascii="Arial" w:cs="Arial" w:eastAsia="Arial" w:hAnsi="Arial"/>
          <w:sz w:val="16"/>
          <w:szCs w:val="16"/>
          <w:u w:val="single" w:color="auto"/>
          <w:color w:val="auto"/>
        </w:rPr>
        <w:t>FDA</w:t>
      </w:r>
      <w:r>
        <w:rPr>
          <w:rFonts w:ascii="Arial" w:cs="Arial" w:eastAsia="Arial" w:hAnsi="Arial"/>
          <w:sz w:val="16"/>
          <w:szCs w:val="16"/>
          <w:color w:val="auto"/>
        </w:rPr>
        <w:t>”) under the Federal Food, Drug and Cosmetic Act, as amended, and the regulations thereunder (“</w:t>
      </w:r>
      <w:r>
        <w:rPr>
          <w:rFonts w:ascii="Arial" w:cs="Arial" w:eastAsia="Arial" w:hAnsi="Arial"/>
          <w:sz w:val="16"/>
          <w:szCs w:val="16"/>
          <w:u w:val="single" w:color="auto"/>
          <w:color w:val="auto"/>
        </w:rPr>
        <w:t>FDCA</w:t>
      </w:r>
      <w:r>
        <w:rPr>
          <w:rFonts w:ascii="Arial" w:cs="Arial" w:eastAsia="Arial" w:hAnsi="Arial"/>
          <w:sz w:val="16"/>
          <w:szCs w:val="16"/>
          <w:color w:val="auto"/>
        </w:rPr>
        <w:t>”) that is manufactured, packaged, labeled, tested, distributed, sold, and/or marketed by the Company or any of its Subsidiaries (each such product, a “</w:t>
      </w:r>
      <w:r>
        <w:rPr>
          <w:rFonts w:ascii="Arial" w:cs="Arial" w:eastAsia="Arial" w:hAnsi="Arial"/>
          <w:sz w:val="16"/>
          <w:szCs w:val="16"/>
          <w:u w:val="single" w:color="auto"/>
          <w:color w:val="auto"/>
        </w:rPr>
        <w:t>Pharmaceutical Product</w:t>
      </w:r>
      <w:r>
        <w:rPr>
          <w:rFonts w:ascii="Arial" w:cs="Arial" w:eastAsia="Arial" w:hAnsi="Arial"/>
          <w:sz w:val="16"/>
          <w:szCs w:val="16"/>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141" w:lineRule="exact"/>
        <w:rPr>
          <w:rFonts w:ascii="Arial" w:cs="Arial" w:eastAsia="Arial" w:hAnsi="Arial"/>
          <w:sz w:val="16"/>
          <w:szCs w:val="16"/>
          <w:color w:val="auto"/>
        </w:rPr>
      </w:pPr>
    </w:p>
    <w:p>
      <w:pPr>
        <w:ind w:left="-460" w:right="20" w:firstLine="1292"/>
        <w:spacing w:after="0" w:line="259" w:lineRule="auto"/>
        <w:tabs>
          <w:tab w:leader="none" w:pos="134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w:t>
      </w:r>
    </w:p>
    <w:p>
      <w:pPr>
        <w:spacing w:after="0" w:line="200" w:lineRule="exact"/>
        <w:rPr>
          <w:sz w:val="20"/>
          <w:szCs w:val="20"/>
          <w:color w:val="auto"/>
        </w:rPr>
      </w:pPr>
    </w:p>
    <w:p>
      <w:pPr>
        <w:spacing w:after="0" w:line="35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39" w:right="359" w:bottom="1440" w:gutter="0" w:footer="0" w:header="0"/>
        </w:sectPr>
      </w:pPr>
    </w:p>
    <w:bookmarkStart w:id="23" w:name="page24"/>
    <w:bookmarkEnd w:id="23"/>
    <w:p>
      <w:pPr>
        <w:ind w:left="-460" w:right="160" w:firstLine="1292"/>
        <w:spacing w:after="0" w:line="259" w:lineRule="auto"/>
        <w:tabs>
          <w:tab w:leader="none" w:pos="134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U.S. Real Property Holding Corporation</w:t>
      </w:r>
      <w:r>
        <w:rPr>
          <w:rFonts w:ascii="Arial" w:cs="Arial" w:eastAsia="Arial" w:hAnsi="Arial"/>
          <w:sz w:val="18"/>
          <w:szCs w:val="18"/>
          <w:color w:val="auto"/>
        </w:rPr>
        <w:t>. The Company is not and has never been a U.S. real property holding corporation within the meaning of Section 897 of the Internal Revenue Code of 1986, as amended, and the Company shall so certify upon the Representative’s request.</w:t>
      </w:r>
    </w:p>
    <w:p>
      <w:pPr>
        <w:spacing w:after="0" w:line="153" w:lineRule="exact"/>
        <w:rPr>
          <w:rFonts w:ascii="Arial" w:cs="Arial" w:eastAsia="Arial" w:hAnsi="Arial"/>
          <w:sz w:val="18"/>
          <w:szCs w:val="18"/>
          <w:color w:val="auto"/>
        </w:rPr>
      </w:pPr>
    </w:p>
    <w:p>
      <w:pPr>
        <w:ind w:left="-460" w:right="220" w:firstLine="1292"/>
        <w:spacing w:after="0" w:line="291" w:lineRule="auto"/>
        <w:tabs>
          <w:tab w:leader="none" w:pos="1266"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Bank Holding Company Act</w:t>
      </w:r>
      <w:r>
        <w:rPr>
          <w:rFonts w:ascii="Arial" w:cs="Arial" w:eastAsia="Arial" w:hAnsi="Arial"/>
          <w:sz w:val="16"/>
          <w:szCs w:val="16"/>
          <w:color w:val="auto"/>
        </w:rPr>
        <w:t>. Neither the Company nor any of its Subsidiaries or Affiliates is subject to the Bank Holding Company Act of 1956, as amended (the “</w:t>
      </w:r>
      <w:r>
        <w:rPr>
          <w:rFonts w:ascii="Arial" w:cs="Arial" w:eastAsia="Arial" w:hAnsi="Arial"/>
          <w:sz w:val="16"/>
          <w:szCs w:val="16"/>
          <w:u w:val="single" w:color="auto"/>
          <w:color w:val="auto"/>
        </w:rPr>
        <w:t>BHCA</w:t>
      </w:r>
      <w:r>
        <w:rPr>
          <w:rFonts w:ascii="Arial" w:cs="Arial" w:eastAsia="Arial" w:hAnsi="Arial"/>
          <w:sz w:val="16"/>
          <w:szCs w:val="16"/>
          <w:color w:val="auto"/>
        </w:rPr>
        <w:t>”) and to regulation by the Board of Governors of the Federal Reserve System (the “</w:t>
      </w:r>
      <w:r>
        <w:rPr>
          <w:rFonts w:ascii="Arial" w:cs="Arial" w:eastAsia="Arial" w:hAnsi="Arial"/>
          <w:sz w:val="16"/>
          <w:szCs w:val="16"/>
          <w:u w:val="single" w:color="auto"/>
          <w:color w:val="auto"/>
        </w:rPr>
        <w:t>Federal</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Reserve</w:t>
      </w:r>
      <w:r>
        <w:rPr>
          <w:rFonts w:ascii="Arial" w:cs="Arial" w:eastAsia="Arial" w:hAnsi="Arial"/>
          <w:sz w:val="16"/>
          <w:szCs w:val="16"/>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33" w:lineRule="exact"/>
        <w:rPr>
          <w:rFonts w:ascii="Arial" w:cs="Arial" w:eastAsia="Arial" w:hAnsi="Arial"/>
          <w:sz w:val="16"/>
          <w:szCs w:val="16"/>
          <w:color w:val="auto"/>
        </w:rPr>
      </w:pPr>
    </w:p>
    <w:p>
      <w:pPr>
        <w:ind w:left="-460" w:right="60" w:firstLine="1292"/>
        <w:spacing w:after="0" w:line="294" w:lineRule="auto"/>
        <w:tabs>
          <w:tab w:leader="none" w:pos="1266"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Money Laundering</w:t>
      </w:r>
      <w:r>
        <w:rPr>
          <w:rFonts w:ascii="Arial" w:cs="Arial" w:eastAsia="Arial" w:hAnsi="Arial"/>
          <w:sz w:val="16"/>
          <w:szCs w:val="16"/>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28" w:lineRule="exact"/>
        <w:rPr>
          <w:rFonts w:ascii="Arial" w:cs="Arial" w:eastAsia="Arial" w:hAnsi="Arial"/>
          <w:sz w:val="16"/>
          <w:szCs w:val="16"/>
          <w:color w:val="auto"/>
        </w:rPr>
      </w:pPr>
    </w:p>
    <w:p>
      <w:pPr>
        <w:ind w:left="-460" w:firstLine="1292"/>
        <w:spacing w:after="0" w:line="256" w:lineRule="auto"/>
        <w:tabs>
          <w:tab w:leader="none" w:pos="134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D&amp;O Questionnaires</w:t>
      </w:r>
      <w:r>
        <w:rPr>
          <w:rFonts w:ascii="Arial" w:cs="Arial" w:eastAsia="Arial" w:hAnsi="Arial"/>
          <w:sz w:val="18"/>
          <w:szCs w:val="18"/>
          <w:color w:val="auto"/>
        </w:rPr>
        <w:t>. To the Company’s knowledge, all information contained in the questionnaires completed by each of the Company’s directors and officers immediately prior to the Offering as well as in the Lock-Up Agreement provided to the Underwriters is true and correct in all respects and the Company has not become aware of any information which would cause the information disclosed in such questionnaires become inaccurate and incorrect.</w:t>
      </w:r>
    </w:p>
    <w:p>
      <w:pPr>
        <w:spacing w:after="0" w:line="200" w:lineRule="exact"/>
        <w:rPr>
          <w:sz w:val="20"/>
          <w:szCs w:val="20"/>
          <w:color w:val="auto"/>
        </w:rPr>
      </w:pPr>
    </w:p>
    <w:p>
      <w:pPr>
        <w:spacing w:after="0" w:line="36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39" w:right="359" w:bottom="1440" w:gutter="0" w:footer="0" w:header="0"/>
        </w:sectPr>
      </w:pPr>
    </w:p>
    <w:bookmarkStart w:id="24" w:name="page25"/>
    <w:bookmarkEnd w:id="24"/>
    <w:p>
      <w:pPr>
        <w:ind w:left="-460" w:firstLine="1292"/>
        <w:spacing w:after="0" w:line="283" w:lineRule="auto"/>
        <w:tabs>
          <w:tab w:leader="none" w:pos="1266"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FINRA Affiliation</w:t>
      </w:r>
      <w:r>
        <w:rPr>
          <w:rFonts w:ascii="Arial" w:cs="Arial" w:eastAsia="Arial" w:hAnsi="Arial"/>
          <w:sz w:val="16"/>
          <w:szCs w:val="16"/>
          <w:color w:val="auto"/>
        </w:rPr>
        <w:t xml:space="preserve">. No officer, director or any beneficial owner of 5% or more of the Company’s unregistered securities has any direct or indirect affiliation or association with any FINRA member (as determined in accordance with the rules and regulations of FINRA) that is participating in the Offering. The Company will advise the Representative and EGS if it learns that any officer, director or owner of 5% or more of the Company’s outstanding shares of Common Stock or Common Stock Equivalents is or becomes an affiliate or associated person of a FINRA member firm. Except for securities purchased on the open market, no Company Affiliate is an owner of stock or other securities of any member of FINRA. No Company Affiliate has made a subordinated loan to any member of FINRA. No proceeds from the sale of the Public Shares (excluding underwriting compensation as disclosed in the Registration Statement, the Prospectus, and the Prospectus Supplement) will be paid to any FINRA member, any persons associated with a FINRA member or an affiliate of a FINRA member. Except as disclosed in the Prospectus and the Prospectus Supplement, the Company has not issued any warrants or other securities or granted any options, directly or indirectly, to the Representative or any of the Underwriters named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within the 180-day period prior to the initial filing date of the Prospectus. Except for securities issued to the Representative, if any, as disclosed in the Prospectus and the Prospectus Supplement and securities sold by the Representative on behalf of the Company, no person to whom securities of the Company have been privately issued within the 180-day period prior to the initial filing date of the Prospectus is a FINRA member, is a person associated with a FINRA member or is an affiliate of a FINRA member. No FINRA member participating in the Offering has a conflict of interest with the Company. For this purpose, a “conflict of interest” exists when a FINRA member, the parent or affiliate of a FINRA member or any person associated with a FINRA member in the aggregate beneficially own 5% or more of the Company’s outstanding subordinated debt or common equity, or 5% or more of the Company’s preferred equity. “FINRA member participating in the Offering” includes any associated person of a FINRA member that is participating in the Offering, any member of such associated person’s immediate family and any affiliate of a FINRA member that is participating in the Offering. “Any person associated with a FINRA member” means (1) a natural person who is registered or has applied for registration under the rules of FINRA and (2) a sole proprietor, partner, officer, director, or branch manager of a FINRA member, or other natural person occupying a similar status or performing similar functions, or a natural person engaged in the investment banking or securities business who is directly or indirectly controlling or controlled by a FINRA member. When used in this Section 3.1(ll) the term “affiliate of a FINRA member” or “affiliated with a FINRA member” means an entity that controls, is controlled by or is under common control with a FINRA member. The Company will advise the Representative and EGS if it learns that any officer, director or owner of 5% or more of the Company’s outstanding shares of Common Stock or Common Stock Equivalents is or becomes an affiliate or associated person of a FINRA member firm.</w:t>
      </w:r>
    </w:p>
    <w:p>
      <w:pPr>
        <w:spacing w:after="0" w:line="368" w:lineRule="exact"/>
        <w:rPr>
          <w:rFonts w:ascii="Arial" w:cs="Arial" w:eastAsia="Arial" w:hAnsi="Arial"/>
          <w:sz w:val="16"/>
          <w:szCs w:val="16"/>
          <w:color w:val="auto"/>
        </w:rPr>
      </w:pPr>
    </w:p>
    <w:p>
      <w:pPr>
        <w:ind w:left="-460" w:right="660" w:firstLine="1292"/>
        <w:spacing w:after="0" w:line="369" w:lineRule="auto"/>
        <w:tabs>
          <w:tab w:leader="none" w:pos="1442" w:val="left"/>
        </w:tabs>
        <w:numPr>
          <w:ilvl w:val="0"/>
          <w:numId w:val="22"/>
        </w:numPr>
        <w:rPr>
          <w:rFonts w:ascii="Arial" w:cs="Arial" w:eastAsia="Arial" w:hAnsi="Arial"/>
          <w:sz w:val="15"/>
          <w:szCs w:val="15"/>
          <w:color w:val="auto"/>
        </w:rPr>
      </w:pPr>
      <w:r>
        <w:rPr>
          <w:rFonts w:ascii="Arial" w:cs="Arial" w:eastAsia="Arial" w:hAnsi="Arial"/>
          <w:sz w:val="15"/>
          <w:szCs w:val="15"/>
          <w:u w:val="single" w:color="auto"/>
          <w:color w:val="auto"/>
        </w:rPr>
        <w:t>Officers’ Certificate</w:t>
      </w:r>
      <w:r>
        <w:rPr>
          <w:rFonts w:ascii="Arial" w:cs="Arial" w:eastAsia="Arial" w:hAnsi="Arial"/>
          <w:sz w:val="15"/>
          <w:szCs w:val="15"/>
          <w:color w:val="auto"/>
        </w:rPr>
        <w:t>. Any certificate signed by any duly authorized officer of the Company and delivered to the Representative or EGS shall be deemed a representation and warranty by the Company to the Underwriters as to the matters covered thereby.</w:t>
      </w:r>
    </w:p>
    <w:p>
      <w:pPr>
        <w:spacing w:after="0" w:line="77" w:lineRule="exact"/>
        <w:rPr>
          <w:rFonts w:ascii="Arial" w:cs="Arial" w:eastAsia="Arial" w:hAnsi="Arial"/>
          <w:sz w:val="15"/>
          <w:szCs w:val="15"/>
          <w:color w:val="auto"/>
        </w:rPr>
      </w:pPr>
    </w:p>
    <w:p>
      <w:pPr>
        <w:ind w:left="-460" w:firstLine="1292"/>
        <w:spacing w:after="0" w:line="291" w:lineRule="auto"/>
        <w:tabs>
          <w:tab w:leader="none" w:pos="1344"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Board of Directors</w:t>
      </w:r>
      <w:r>
        <w:rPr>
          <w:rFonts w:ascii="Arial" w:cs="Arial" w:eastAsia="Arial" w:hAnsi="Arial"/>
          <w:sz w:val="16"/>
          <w:szCs w:val="16"/>
          <w:color w:val="auto"/>
        </w:rPr>
        <w:t>. The Board of Directors is comprised of the persons set forth under the heading of the Prospectus captioned “Management.” The qualifications of the persons serving as board members and the overall composition of the Board of Directors comply with the Sarbanes-Oxley Act of 2002 and the rules promulgated thereunder applicable to the Company and the rules of the Trading Market. At least one member of the Board of Directors qualifies as a “financial expert” as such term is defined under the Sarbanes-Oxley Act of 2002 and the rules promulgated thereunder and the rules of the Trading Market. In addition, at least a majority of the persons serving on the Board of Directors qualify as “independent” as defined under the rules of the Trading Market.</w:t>
      </w:r>
    </w:p>
    <w:p>
      <w:pPr>
        <w:spacing w:after="0" w:line="200" w:lineRule="exact"/>
        <w:rPr>
          <w:sz w:val="20"/>
          <w:szCs w:val="20"/>
          <w:color w:val="auto"/>
        </w:rPr>
      </w:pPr>
    </w:p>
    <w:p>
      <w:pPr>
        <w:spacing w:after="0" w:line="33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39" w:right="359" w:bottom="1440" w:gutter="0" w:footer="0" w:header="0"/>
        </w:sectPr>
      </w:pPr>
    </w:p>
    <w:bookmarkStart w:id="25" w:name="page26"/>
    <w:bookmarkEnd w:id="25"/>
    <w:p>
      <w:pPr>
        <w:ind w:left="-460" w:right="60" w:firstLine="1292"/>
        <w:spacing w:after="0" w:line="309" w:lineRule="auto"/>
        <w:tabs>
          <w:tab w:leader="none" w:pos="1344" w:val="left"/>
        </w:tabs>
        <w:numPr>
          <w:ilvl w:val="0"/>
          <w:numId w:val="23"/>
        </w:numPr>
        <w:rPr>
          <w:rFonts w:ascii="Arial" w:cs="Arial" w:eastAsia="Arial" w:hAnsi="Arial"/>
          <w:sz w:val="15"/>
          <w:szCs w:val="15"/>
          <w:color w:val="auto"/>
        </w:rPr>
      </w:pPr>
      <w:r>
        <w:rPr>
          <w:rFonts w:ascii="Arial" w:cs="Arial" w:eastAsia="Arial" w:hAnsi="Arial"/>
          <w:sz w:val="15"/>
          <w:szCs w:val="15"/>
          <w:u w:val="single" w:color="auto"/>
          <w:color w:val="auto"/>
        </w:rPr>
        <w:t>Environmental Laws</w:t>
      </w:r>
      <w:r>
        <w:rPr>
          <w:rFonts w:ascii="Arial" w:cs="Arial" w:eastAsia="Arial" w:hAnsi="Arial"/>
          <w:sz w:val="15"/>
          <w:szCs w:val="15"/>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5"/>
          <w:szCs w:val="15"/>
          <w:u w:val="single" w:color="auto"/>
          <w:color w:val="auto"/>
        </w:rPr>
        <w:t>Hazardous Materials</w:t>
      </w:r>
      <w:r>
        <w:rPr>
          <w:rFonts w:ascii="Arial" w:cs="Arial" w:eastAsia="Arial" w:hAnsi="Arial"/>
          <w:sz w:val="15"/>
          <w:szCs w:val="15"/>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5"/>
          <w:szCs w:val="15"/>
          <w:u w:val="single" w:color="auto"/>
          <w:color w:val="auto"/>
        </w:rPr>
        <w:t>Environmental Laws</w:t>
      </w:r>
      <w:r>
        <w:rPr>
          <w:rFonts w:ascii="Arial" w:cs="Arial" w:eastAsia="Arial" w:hAnsi="Arial"/>
          <w:sz w:val="15"/>
          <w:szCs w:val="15"/>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20" w:lineRule="exact"/>
        <w:rPr>
          <w:rFonts w:ascii="Arial" w:cs="Arial" w:eastAsia="Arial" w:hAnsi="Arial"/>
          <w:sz w:val="15"/>
          <w:szCs w:val="15"/>
          <w:color w:val="auto"/>
        </w:rPr>
      </w:pPr>
    </w:p>
    <w:p>
      <w:pPr>
        <w:ind w:left="-460" w:firstLine="1292"/>
        <w:spacing w:after="0" w:line="284" w:lineRule="auto"/>
        <w:tabs>
          <w:tab w:leader="none" w:pos="1344"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The Company is not a party to an “employee benefit plan,” as defined in Section 3(3) of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which: (i) is subject to any provision of ERISA and (ii) is or was at any time maintained, administered or contributed to by the Company or any of its ERISA Affiliates (as defined hereafter). These plans are referred to collectively herein as the “</w:t>
      </w:r>
      <w:r>
        <w:rPr>
          <w:rFonts w:ascii="Arial" w:cs="Arial" w:eastAsia="Arial" w:hAnsi="Arial"/>
          <w:sz w:val="16"/>
          <w:szCs w:val="16"/>
          <w:u w:val="single" w:color="auto"/>
          <w:color w:val="auto"/>
        </w:rPr>
        <w:t>Employee Plans</w:t>
      </w:r>
      <w:r>
        <w:rPr>
          <w:rFonts w:ascii="Arial" w:cs="Arial" w:eastAsia="Arial" w:hAnsi="Arial"/>
          <w:sz w:val="16"/>
          <w:szCs w:val="16"/>
          <w:color w:val="auto"/>
        </w:rPr>
        <w:t>.” An “</w:t>
      </w:r>
      <w:r>
        <w:rPr>
          <w:rFonts w:ascii="Arial" w:cs="Arial" w:eastAsia="Arial" w:hAnsi="Arial"/>
          <w:sz w:val="16"/>
          <w:szCs w:val="16"/>
          <w:u w:val="single" w:color="auto"/>
          <w:color w:val="auto"/>
        </w:rPr>
        <w:t>ERISA Affiliate</w:t>
      </w:r>
      <w:r>
        <w:rPr>
          <w:rFonts w:ascii="Arial" w:cs="Arial" w:eastAsia="Arial" w:hAnsi="Arial"/>
          <w:sz w:val="16"/>
          <w:szCs w:val="16"/>
          <w:color w:val="auto"/>
        </w:rPr>
        <w:t>” of any person or entity means any other person or entity which, together with that person or entity, could be treated as a single employer under Section 414(b), (c), (m) or (o)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Each Employee Plan has been maintained in material compliance with its terms and the requirements of applicable law. No Employee Plan is subject to Title IV of ERISA. The Registration Statement, Preliminary Prospectus, the Prospectus, and the Prospectus Supplement identify each employment, severance or other similar agreement, arrangement or policy and each material plan or arrangement required to be disclosed pursuant to the Rules and Regulations providing for insurance coverage (including any self-insured arrangements), workers’ compensation, disability benefits, severance benefits, supplemental unemployment benefits, vacation benefits or retirement benefits, or deferred compensation, profit-sharing, bonuses, stock options, stock appreciation rights or other forms of incentive compensation, or post-retirement insurance, compensation or benefits, which: (i) is not an Employee Plan; (ii) is entered into, maintained or contributed to, as the case may be, by the Company or any of its ERISA Affiliates; and (iii) covers any officer or director or former officer or director of the Company or any of its ERISA Affiliates. These agreements, arrangements, policies or plans are referred to collectively as “</w:t>
      </w:r>
      <w:r>
        <w:rPr>
          <w:rFonts w:ascii="Arial" w:cs="Arial" w:eastAsia="Arial" w:hAnsi="Arial"/>
          <w:sz w:val="16"/>
          <w:szCs w:val="16"/>
          <w:u w:val="single" w:color="auto"/>
          <w:color w:val="auto"/>
        </w:rPr>
        <w:t>Benefit Arrangements</w:t>
      </w:r>
      <w:r>
        <w:rPr>
          <w:rFonts w:ascii="Arial" w:cs="Arial" w:eastAsia="Arial" w:hAnsi="Arial"/>
          <w:sz w:val="16"/>
          <w:szCs w:val="16"/>
          <w:color w:val="auto"/>
        </w:rPr>
        <w:t>.” Each Benefit Arrangement has been maintained in material compliance with its terms and with the requirements of applicable law. Except as disclosed in the Registration Statement, Preliminary Prospectus, the Prospectus, and the Prospectus Supplement, there is no liability in respect of post-retirement health and medical benefits for retired employees of the Company or any of its ERISA Affiliates, other than medical benefits required to be continued under applicable law. No “prohibited transaction” (as defined in either Section 406 of ERISA or Section 4975 of the Code) has occurred with respect to any Employee Plan; and each Employee Plan that is intended to be qualified under Section 401(a) of the Code is so qualified, and nothing has occurred, whether by action or by failure to act, which could cause the loss of such qualification.</w:t>
      </w:r>
    </w:p>
    <w:p>
      <w:pPr>
        <w:spacing w:after="0" w:line="200" w:lineRule="exact"/>
        <w:rPr>
          <w:sz w:val="20"/>
          <w:szCs w:val="20"/>
          <w:color w:val="auto"/>
        </w:rPr>
      </w:pPr>
    </w:p>
    <w:p>
      <w:pPr>
        <w:spacing w:after="0" w:line="34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39" w:right="3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AGREEMENTS OF THE PARTIES</w:t>
      </w:r>
    </w:p>
    <w:p>
      <w:pPr>
        <w:spacing w:after="0" w:line="17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Amendments to Registration Statement</w:t>
      </w:r>
      <w:r>
        <w:rPr>
          <w:rFonts w:ascii="Arial" w:cs="Arial" w:eastAsia="Arial" w:hAnsi="Arial"/>
          <w:sz w:val="16"/>
          <w:szCs w:val="16"/>
          <w:color w:val="auto"/>
        </w:rPr>
        <w:t>. The Company has delivered, or will as promptly as practicable deliver, to the Underwriters complete conformed copies of the Registration Statement and of each consent and certificate of experts, as applicable, filed as a part thereof, and conformed copies of the Registration Statement (without exhibits), the Prospectus and the Prospectus Supplement, as amended or supplemented, in such quantities and at such places as an Underwriter reasonably requests. Neither the Company nor any of its directors and officers has distributed and none of them will distribute, prior to the Closing Date, any offering material in connection with the offering and sale of the Public Shares other than the Prospectus, the Prospectus Supplement, the Registration Statement, and copies of the documents incorporated by reference therein. The Company shall not file any such amendment or supplement to which the Representative shall reasonably object in writing.</w:t>
      </w:r>
    </w:p>
    <w:p>
      <w:pPr>
        <w:spacing w:after="0" w:line="13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u w:val="single" w:color="auto"/>
          <w:color w:val="auto"/>
        </w:rPr>
        <w:t>Federal Securities Laws</w:t>
      </w:r>
      <w:r>
        <w:rPr>
          <w:rFonts w:ascii="Arial" w:cs="Arial" w:eastAsia="Arial" w:hAnsi="Arial"/>
          <w:sz w:val="15"/>
          <w:szCs w:val="15"/>
          <w:color w:val="auto"/>
        </w:rPr>
        <w:t>.</w:t>
      </w:r>
    </w:p>
    <w:p>
      <w:pPr>
        <w:spacing w:after="0" w:line="252" w:lineRule="exact"/>
        <w:rPr>
          <w:sz w:val="20"/>
          <w:szCs w:val="20"/>
          <w:color w:val="auto"/>
        </w:rPr>
      </w:pPr>
    </w:p>
    <w:p>
      <w:pPr>
        <w:ind w:left="660" w:right="20" w:firstLine="1292"/>
        <w:spacing w:after="0" w:line="287" w:lineRule="auto"/>
        <w:tabs>
          <w:tab w:leader="none" w:pos="2367"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Compliance</w:t>
      </w:r>
      <w:r>
        <w:rPr>
          <w:rFonts w:ascii="Arial" w:cs="Arial" w:eastAsia="Arial" w:hAnsi="Arial"/>
          <w:sz w:val="16"/>
          <w:szCs w:val="16"/>
          <w:color w:val="auto"/>
        </w:rPr>
        <w:t>. During the time when a Prospectus is required to be delivered under the Securities Act, the Company will use its best efforts to comply with all requirements imposed upon it by the Securities Act and the rules and regulations thereunder and the Exchange Act and the rules and regulations thereunder, as from time to time in force, so far as necessary to permit the continuance of sales of or dealings in the Public Shares in accordance with the provisions hereof and the Prospectus. If at any time when a Prospectus relating to the Public Shares is required to be delivered under the Securities Act, any event shall have occurred as a result of which, in the opinion of counsel for the Company or counsel for the Underwriters, the Prospectus, as then amended or supplemented, includes an untrue statement of a material fact or omits to state any material fact required to be stated therein or necessary to make the statements therein, in light of the circumstances under which they were made, not misleading, or if it is necessary at any time to amend the Prospectus to comply with the Securities Act, the Company will notify the Underwriters promptly and prepare and file with the Commission, subject to Section 4.1 hereof, an appropriate amendment or supplement in accordance with Section 10 of the Securities Act.</w:t>
      </w:r>
    </w:p>
    <w:p>
      <w:pPr>
        <w:spacing w:after="0" w:line="135" w:lineRule="exact"/>
        <w:rPr>
          <w:rFonts w:ascii="Arial" w:cs="Arial" w:eastAsia="Arial" w:hAnsi="Arial"/>
          <w:sz w:val="16"/>
          <w:szCs w:val="16"/>
          <w:color w:val="auto"/>
        </w:rPr>
      </w:pPr>
    </w:p>
    <w:p>
      <w:pPr>
        <w:ind w:left="660" w:right="40" w:firstLine="1292"/>
        <w:spacing w:after="0" w:line="268" w:lineRule="auto"/>
        <w:tabs>
          <w:tab w:leader="none" w:pos="2377"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Filing of Final Prospectus Supplement</w:t>
      </w:r>
      <w:r>
        <w:rPr>
          <w:rFonts w:ascii="Arial" w:cs="Arial" w:eastAsia="Arial" w:hAnsi="Arial"/>
          <w:sz w:val="18"/>
          <w:szCs w:val="18"/>
          <w:color w:val="auto"/>
        </w:rPr>
        <w:t>. The Company will file the Prospectus Supplement (in form and substance satisfactory to the Representative) with the Commission pursuant to the requirements of Rule 424.</w:t>
      </w:r>
    </w:p>
    <w:p>
      <w:pPr>
        <w:spacing w:after="0" w:line="145" w:lineRule="exact"/>
        <w:rPr>
          <w:rFonts w:ascii="Arial" w:cs="Arial" w:eastAsia="Arial" w:hAnsi="Arial"/>
          <w:sz w:val="18"/>
          <w:szCs w:val="18"/>
          <w:color w:val="auto"/>
        </w:rPr>
      </w:pPr>
    </w:p>
    <w:p>
      <w:pPr>
        <w:ind w:left="660" w:firstLine="1292"/>
        <w:spacing w:after="0" w:line="259" w:lineRule="auto"/>
        <w:tabs>
          <w:tab w:leader="none" w:pos="2367"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Exchange Act Registration</w:t>
      </w:r>
      <w:r>
        <w:rPr>
          <w:rFonts w:ascii="Arial" w:cs="Arial" w:eastAsia="Arial" w:hAnsi="Arial"/>
          <w:sz w:val="18"/>
          <w:szCs w:val="18"/>
          <w:color w:val="auto"/>
        </w:rPr>
        <w:t>. For a period of three (3) years from the Execution Date, the Company will use its best efforts to maintain the registration of the Common Stock under the Exchange Act. The Company will not deregister the Common Stock under the Exchange Act without the prior written consent of the Representative.</w:t>
      </w:r>
    </w:p>
    <w:p>
      <w:pPr>
        <w:spacing w:after="0" w:line="220" w:lineRule="exact"/>
        <w:rPr>
          <w:rFonts w:ascii="Arial" w:cs="Arial" w:eastAsia="Arial" w:hAnsi="Arial"/>
          <w:sz w:val="18"/>
          <w:szCs w:val="18"/>
          <w:color w:val="auto"/>
        </w:rPr>
      </w:pPr>
    </w:p>
    <w:p>
      <w:pPr>
        <w:ind w:left="660" w:right="100" w:firstLine="1292"/>
        <w:spacing w:after="0" w:line="291" w:lineRule="auto"/>
        <w:tabs>
          <w:tab w:leader="none" w:pos="2377"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Free Writing Prospectuses</w:t>
      </w:r>
      <w:r>
        <w:rPr>
          <w:rFonts w:ascii="Arial" w:cs="Arial" w:eastAsia="Arial" w:hAnsi="Arial"/>
          <w:sz w:val="16"/>
          <w:szCs w:val="16"/>
          <w:color w:val="auto"/>
        </w:rPr>
        <w:t xml:space="preserve">. The Company represents and agrees that it has not made and will not make any offer relating to the Public Shares that would constitute an issuer free writing prospectus, as defined in Rule 433 of the rules and regulations under the Securities Act, without the prior written consent of the Representative. Any such free writing prospectus consented to by the Representative is herein referred to as a </w:t>
      </w:r>
      <w:r>
        <w:rPr>
          <w:rFonts w:ascii="Arial" w:cs="Arial" w:eastAsia="Arial" w:hAnsi="Arial"/>
          <w:sz w:val="16"/>
          <w:szCs w:val="16"/>
          <w:b w:val="1"/>
          <w:bCs w:val="1"/>
          <w:color w:val="auto"/>
        </w:rPr>
        <w:t>“</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The Company represents that it will treat each Permitted Free Writing Prospectus as an “issuer free writing</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prospectus” as defined in rule and regulations under the Securities Act, and has complied and will comply with the applicable requirements of Rule 433 of the Securities Act, including timely Commission filing where required, legending and record keeping.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7" w:name="page28"/>
    <w:bookmarkEnd w:id="27"/>
    <w:p>
      <w:pPr>
        <w:ind w:right="260" w:firstLine="648"/>
        <w:spacing w:after="0" w:line="294"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Delivery to the Underwriters of Prospectuses</w:t>
      </w:r>
      <w:r>
        <w:rPr>
          <w:rFonts w:ascii="Arial" w:cs="Arial" w:eastAsia="Arial" w:hAnsi="Arial"/>
          <w:sz w:val="16"/>
          <w:szCs w:val="16"/>
          <w:color w:val="auto"/>
        </w:rPr>
        <w:t>. The Company will deliver to the Underwriters, without charge, from time to time during the period when the Prospectus is required to be delivered under the Securities Act or the Exchange Act such number of copies of each Prospectus as the Underwriters may reasonably request and, as soon as the Registration Statement or any amendment or supplement thereto becomes effective, deliver to you two original executed Registration Statements, including exhibits, and all post-effective amendments thereto and copies of all exhibits filed therewith or incorporated therein by reference and all original executed consents of certified experts.</w:t>
      </w:r>
    </w:p>
    <w:p>
      <w:pPr>
        <w:spacing w:after="0" w:line="19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Effectiveness and Events Requiring Notice to the Underwriters</w:t>
      </w:r>
      <w:r>
        <w:rPr>
          <w:rFonts w:ascii="Arial" w:cs="Arial" w:eastAsia="Arial" w:hAnsi="Arial"/>
          <w:sz w:val="16"/>
          <w:szCs w:val="16"/>
          <w:color w:val="auto"/>
        </w:rPr>
        <w:t>. The Company will use its best efforts to cause the Registration Statement to remain effective with a current prospectus until nine (9) months from the Execution Date, and will notify the Underwriters immediately and confirm the notice in writing: (i) of the effectiveness of the Registration Statement and any amendment thereto; (ii) of the issuance by the Commission of any stop order or of the initiation, or the threatening, of any proceeding for that purpose; (iii) of the issuance by any state securities commission of any proceedings for the suspension of the qualification of the Public Shares for offering or sale in any jurisdiction or of the initiation, or the threatening, of any proceeding for that purpose; (iv) of the mailing and delivery to the Commission for filing of any amendment or supplement to the Registration Statement or Prospectus; (v) of the receipt of any comments or request for any additional information from the Commission; and (vi) of the happening of any event during the period described in this Section 4.4 that, in the judgment of the Company, makes any statement of a material fact made in the Registration Statement, the Prospectus, or the Prospectus Supplement untrue or that requires the making of any changes in the Registration Statement, the Prospectus, or the Prospectus Supplement in order to make the statements therein, in light of the circumstances under which they were made, not misleading. If the Commission or any state securities commission shall enter a stop order or suspend such qualification at any time, the Company will make every reasonable effort to obtain promptly the lifting of such order.</w:t>
      </w:r>
    </w:p>
    <w:p>
      <w:pPr>
        <w:spacing w:after="0" w:line="207"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Review of Financial Statements</w:t>
      </w:r>
      <w:r>
        <w:rPr>
          <w:rFonts w:ascii="Arial" w:cs="Arial" w:eastAsia="Arial" w:hAnsi="Arial"/>
          <w:sz w:val="18"/>
          <w:szCs w:val="18"/>
          <w:color w:val="auto"/>
        </w:rPr>
        <w:t>. For a period of five (5) years from the Execution Date, the Company, at its expense, shall cause its regularly engaged independent registered public accountants to review (but not audit) the Company’s financial statements for each of the first three fiscal quarters prior to the announcement of quarterly financial information.</w:t>
      </w:r>
    </w:p>
    <w:p>
      <w:pPr>
        <w:spacing w:after="0" w:line="22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5"/>
          <w:szCs w:val="15"/>
          <w:u w:val="single" w:color="auto"/>
          <w:color w:val="auto"/>
        </w:rPr>
        <w:t>Reports to the Underwriters; Expenses of the Offering</w:t>
      </w:r>
      <w:r>
        <w:rPr>
          <w:rFonts w:ascii="Arial" w:cs="Arial" w:eastAsia="Arial" w:hAnsi="Arial"/>
          <w:sz w:val="15"/>
          <w:szCs w:val="15"/>
          <w:color w:val="auto"/>
        </w:rPr>
        <w:t>.</w:t>
      </w:r>
    </w:p>
    <w:p>
      <w:pPr>
        <w:spacing w:after="0" w:line="252" w:lineRule="exact"/>
        <w:rPr>
          <w:sz w:val="20"/>
          <w:szCs w:val="20"/>
          <w:color w:val="auto"/>
        </w:rPr>
      </w:pPr>
    </w:p>
    <w:p>
      <w:pPr>
        <w:ind w:left="660" w:firstLine="1292"/>
        <w:spacing w:after="0" w:line="287" w:lineRule="auto"/>
        <w:tabs>
          <w:tab w:leader="none" w:pos="2367"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Periodic Reports, etc</w:t>
      </w:r>
      <w:r>
        <w:rPr>
          <w:rFonts w:ascii="Arial" w:cs="Arial" w:eastAsia="Arial" w:hAnsi="Arial"/>
          <w:sz w:val="16"/>
          <w:szCs w:val="16"/>
          <w:color w:val="auto"/>
        </w:rPr>
        <w:t>. For a period of three (3) years from the Execution Date, the Company will furnish or make available to the Underwriters copies of such financial statements and other periodic and special reports as the Company from time to time furnishes generally to holders of any class of its securities and also promptly furnish or make available to the Underwriters, upon their reasonable request: (i) a copy of each periodic report the Company shall be required to file with the Commission; (ii) a copy of every press release and every news item and article with respect to the Company or its affairs which was released by the Company; (iii) a copy of each Form 8-K prepared and filed by the Company; (iv) a copy of each registration statement filed by the Company under the Securities Act; (v) such additional documents and information with respect to the Company and the affairs of any future Subsidiaries of the Company as the Representative may from time to time reasonably request; provided that the Underwriters shall each sign, if requested by the Company, a Regulation FD compliant confidentiality agreement which is reasonably acceptable to the Representative in connection with such Underwriter’s receipt of such additional documents and information. Documents filed with the Commission pursuant to its EDGAR system shall be deemed to have been delivered to the Underwriters pursuant to this Section.</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90" w:right="379" w:bottom="1440" w:gutter="0" w:footer="0" w:header="0"/>
        </w:sectPr>
      </w:pPr>
    </w:p>
    <w:bookmarkStart w:id="28" w:name="page29"/>
    <w:bookmarkEnd w:id="28"/>
    <w:p>
      <w:pPr>
        <w:ind w:left="660" w:right="40" w:firstLine="1292"/>
        <w:spacing w:after="0" w:line="335" w:lineRule="auto"/>
        <w:tabs>
          <w:tab w:leader="none" w:pos="2377" w:val="left"/>
        </w:tabs>
        <w:numPr>
          <w:ilvl w:val="1"/>
          <w:numId w:val="26"/>
        </w:numPr>
        <w:rPr>
          <w:rFonts w:ascii="Arial" w:cs="Arial" w:eastAsia="Arial" w:hAnsi="Arial"/>
          <w:sz w:val="15"/>
          <w:szCs w:val="15"/>
          <w:color w:val="auto"/>
        </w:rPr>
      </w:pPr>
      <w:r>
        <w:rPr>
          <w:rFonts w:ascii="Arial" w:cs="Arial" w:eastAsia="Arial" w:hAnsi="Arial"/>
          <w:sz w:val="15"/>
          <w:szCs w:val="15"/>
          <w:u w:val="single" w:color="auto"/>
          <w:color w:val="auto"/>
        </w:rPr>
        <w:t>Transfer Sheets</w:t>
      </w:r>
      <w:r>
        <w:rPr>
          <w:rFonts w:ascii="Arial" w:cs="Arial" w:eastAsia="Arial" w:hAnsi="Arial"/>
          <w:sz w:val="15"/>
          <w:szCs w:val="15"/>
          <w:color w:val="auto"/>
        </w:rPr>
        <w:t>. For a period of three (3) years from the Execution Date, the Company shall retain the Transfer Agent or a similar transfer and registrar agent and will furnish to the Underwriters at the Company’s sole cost and expense such transfer sheets of the Company’s securities as an Underwriter may reasonably request, including the daily and monthly consolidated transfer sheets of the Transfer Agent and the DTC.</w:t>
      </w:r>
    </w:p>
    <w:p>
      <w:pPr>
        <w:spacing w:after="0" w:line="168" w:lineRule="exact"/>
        <w:rPr>
          <w:rFonts w:ascii="Arial" w:cs="Arial" w:eastAsia="Arial" w:hAnsi="Arial"/>
          <w:sz w:val="15"/>
          <w:szCs w:val="15"/>
          <w:color w:val="auto"/>
        </w:rPr>
      </w:pPr>
    </w:p>
    <w:p>
      <w:pPr>
        <w:ind w:left="660" w:right="120" w:firstLine="1292"/>
        <w:spacing w:after="0" w:line="259" w:lineRule="auto"/>
        <w:tabs>
          <w:tab w:leader="none" w:pos="2367"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Trading Reports</w:t>
      </w:r>
      <w:r>
        <w:rPr>
          <w:rFonts w:ascii="Arial" w:cs="Arial" w:eastAsia="Arial" w:hAnsi="Arial"/>
          <w:sz w:val="18"/>
          <w:szCs w:val="18"/>
          <w:color w:val="auto"/>
        </w:rPr>
        <w:t>. During such time as the Closing Shares and the Option Shares are listed on the Trading Market, the Company shall provide to the Underwriters, at the Company’s expense, such reports published by the Trading Market relating to price and trading of such shares, as the Underwriters shall reasonably request.</w:t>
      </w:r>
    </w:p>
    <w:p>
      <w:pPr>
        <w:spacing w:after="0" w:line="220" w:lineRule="exact"/>
        <w:rPr>
          <w:rFonts w:ascii="Arial" w:cs="Arial" w:eastAsia="Arial" w:hAnsi="Arial"/>
          <w:sz w:val="18"/>
          <w:szCs w:val="18"/>
          <w:color w:val="auto"/>
        </w:rPr>
      </w:pPr>
    </w:p>
    <w:p>
      <w:pPr>
        <w:jc w:val="both"/>
        <w:ind w:left="660" w:right="140" w:firstLine="1292"/>
        <w:spacing w:after="0" w:line="304" w:lineRule="auto"/>
        <w:tabs>
          <w:tab w:leader="none" w:pos="2377" w:val="left"/>
        </w:tabs>
        <w:numPr>
          <w:ilvl w:val="1"/>
          <w:numId w:val="26"/>
        </w:numPr>
        <w:rPr>
          <w:rFonts w:ascii="Arial" w:cs="Arial" w:eastAsia="Arial" w:hAnsi="Arial"/>
          <w:sz w:val="15"/>
          <w:szCs w:val="15"/>
          <w:color w:val="auto"/>
        </w:rPr>
      </w:pPr>
      <w:r>
        <w:rPr>
          <w:rFonts w:ascii="Arial" w:cs="Arial" w:eastAsia="Arial" w:hAnsi="Arial"/>
          <w:sz w:val="15"/>
          <w:szCs w:val="15"/>
          <w:color w:val="auto"/>
        </w:rPr>
        <w:t>The Company hereby agrees to pay on each of the Closing Date and each Option Closing Date, if any, to the extent not paid at the Closing Date, all expenses incident to the performance of the obligations of the Company under this Agreement, including, but not limited to:</w:t>
      </w:r>
    </w:p>
    <w:p>
      <w:pPr>
        <w:spacing w:after="0" w:line="1" w:lineRule="exact"/>
        <w:rPr>
          <w:rFonts w:ascii="Arial" w:cs="Arial" w:eastAsia="Arial" w:hAnsi="Arial"/>
          <w:sz w:val="15"/>
          <w:szCs w:val="15"/>
          <w:color w:val="auto"/>
        </w:rPr>
      </w:pPr>
    </w:p>
    <w:p>
      <w:pPr>
        <w:ind w:left="660" w:hanging="4"/>
        <w:spacing w:after="0" w:line="284" w:lineRule="auto"/>
        <w:tabs>
          <w:tab w:leader="none" w:pos="89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filing fees and communication expenses relating to the registration of the Public Shares to be sold in the Offering (including the Option Shares) with the Commission; (b) all FINRA Public Offering Filing System fees associated with the review of the Offering by FINRA; all fees and expenses relating to the listing of such Closing Shares and Option Shares on the Trading Market and such other stock exchanges as the Company and the Representative together determine; (c) all fees, expenses and disbursements relating to the registration or qualification of such Public Shares under any foreign jurisdictions as the Representative may reasonably designate; (d) the costs of all mailing and printing of the underwriting documents (including, without limitation, the Underwriting Agreement, any Blue Sky Surveys and, if appropriate, any Agreement Among Underwriters, Selected Dealers’ Agreement, Underwriters’ Questionnaire and Power of Attorney), Registration Statements, Prospectuses and all amendments, supplements and exhibits thereto and as many preliminary and final Prospectuses as the Representative may reasonably deem necessary; (e) the costs and expenses of the Company’s public relations firm; (f) the costs of preparing, printing and delivering the Public Shares; (g) fees and expenses of the Transfer Agent for the Public Shares (including, without limitation, any fees required for same-day processing of any instruction letter delivered by the Company); (h) stock transfer and/or stamp taxes, if any, payable upon the transfer of securities from the Company to the Underwriters; (i) the fees and expenses of the Company’s accountants; (j) the fees and expenses of the Company’s legal counsel and other agents and representatives; (k) the Underwriters’ costs of mailing prospectuses to prospective investors; (l) the costs associated with advertising the Offering in the national editions of the Wall Street Journal and New York Times after the Closing Date; (m) $50,000 for the fees and expenses of EGS; and (n) the Underwriters’ actual “road show” expenses for the Offering. The Underwriters may also deduct from the net proceeds of the Offering payable to the Company on the Closing Date, or each Option Closing Date, if any, the expenses set forth herein to be paid by the Company to the Underwriters.</w:t>
      </w:r>
    </w:p>
    <w:p>
      <w:pPr>
        <w:spacing w:after="0" w:line="209" w:lineRule="exact"/>
        <w:rPr>
          <w:sz w:val="20"/>
          <w:szCs w:val="20"/>
          <w:color w:val="auto"/>
        </w:rPr>
      </w:pPr>
    </w:p>
    <w:p>
      <w:pPr>
        <w:ind w:right="600" w:firstLine="648"/>
        <w:spacing w:after="0" w:line="268"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Application of Net Proceeds</w:t>
      </w:r>
      <w:r>
        <w:rPr>
          <w:rFonts w:ascii="Arial" w:cs="Arial" w:eastAsia="Arial" w:hAnsi="Arial"/>
          <w:sz w:val="18"/>
          <w:szCs w:val="18"/>
          <w:color w:val="auto"/>
        </w:rPr>
        <w:t>. The Company will apply the net proceeds from the Offering received by it in a manner consistent with the application described under the caption “Use of Proceeds” in the Prospectus and the Prospectus Supplement.</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6" w:right="359" w:bottom="1440" w:gutter="0" w:footer="0" w:header="0"/>
        </w:sectPr>
      </w:pPr>
    </w:p>
    <w:bookmarkStart w:id="29" w:name="page30"/>
    <w:bookmarkEnd w:id="29"/>
    <w:p>
      <w:pPr>
        <w:ind w:right="40" w:firstLine="648"/>
        <w:spacing w:after="0" w:line="254"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Delivery of Earnings Statements to Security Holders</w:t>
      </w:r>
      <w:r>
        <w:rPr>
          <w:rFonts w:ascii="Arial" w:cs="Arial" w:eastAsia="Arial" w:hAnsi="Arial"/>
          <w:sz w:val="18"/>
          <w:szCs w:val="18"/>
          <w:color w:val="auto"/>
        </w:rPr>
        <w:t>. The Company will make generally available to its security holders as soon as practicable, but not later than the first day of the fifteenth full calendar month following the Execution Date, an earnings statement (which need not be certified by independent public or independent certified public accountants unless required by the Securities Act or the Rules and Regulations under the Securities Act, but which shall satisfy the provisions of Rule 158(a) under Section 11(a) of the Securities Act) covering a period of at least twelve consecutive months beginning after the Execution Date.</w:t>
      </w:r>
    </w:p>
    <w:p>
      <w:pPr>
        <w:spacing w:after="0" w:line="228"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Stabilization</w:t>
      </w:r>
      <w:r>
        <w:rPr>
          <w:rFonts w:ascii="Arial" w:cs="Arial" w:eastAsia="Arial" w:hAnsi="Arial"/>
          <w:sz w:val="18"/>
          <w:szCs w:val="18"/>
          <w:color w:val="auto"/>
        </w:rPr>
        <w:t>. Neither the Company, nor, to its knowledge, any of its employees, directors or shareholders (without the consent of the Representative)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Public Shares.</w:t>
      </w:r>
    </w:p>
    <w:p>
      <w:pPr>
        <w:spacing w:after="0" w:line="37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5"/>
          <w:szCs w:val="15"/>
          <w:u w:val="single" w:color="auto"/>
          <w:color w:val="auto"/>
        </w:rPr>
        <w:t>Internal Controls</w:t>
      </w:r>
      <w:r>
        <w:rPr>
          <w:rFonts w:ascii="Arial" w:cs="Arial" w:eastAsia="Arial" w:hAnsi="Arial"/>
          <w:sz w:val="15"/>
          <w:szCs w:val="15"/>
          <w:color w:val="auto"/>
        </w:rPr>
        <w:t>. The Company will maintain a system of internal accounting controls sufficient to provide reasonable assurances that:</w:t>
      </w:r>
    </w:p>
    <w:p>
      <w:pPr>
        <w:spacing w:after="0" w:line="15" w:lineRule="exact"/>
        <w:rPr>
          <w:sz w:val="20"/>
          <w:szCs w:val="20"/>
          <w:color w:val="auto"/>
        </w:rPr>
      </w:pPr>
    </w:p>
    <w:p>
      <w:pPr>
        <w:ind w:firstLine="8"/>
        <w:spacing w:after="0" w:line="253" w:lineRule="auto"/>
        <w:tabs>
          <w:tab w:leader="none" w:pos="21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228"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Accountants</w:t>
      </w:r>
      <w:r>
        <w:rPr>
          <w:rFonts w:ascii="Arial" w:cs="Arial" w:eastAsia="Arial" w:hAnsi="Arial"/>
          <w:sz w:val="18"/>
          <w:szCs w:val="18"/>
          <w:color w:val="auto"/>
        </w:rPr>
        <w:t>. The Company shall continue to retain a qualified independent certified public accounting firm for a period of at least three (3) years after the Execution Date. The Underwriters acknowledge that the Company Auditor is acceptable to the Underwriters.</w:t>
      </w:r>
    </w:p>
    <w:p>
      <w:pPr>
        <w:spacing w:after="0" w:line="213"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FINRA</w:t>
      </w:r>
      <w:r>
        <w:rPr>
          <w:rFonts w:ascii="Arial" w:cs="Arial" w:eastAsia="Arial" w:hAnsi="Arial"/>
          <w:sz w:val="18"/>
          <w:szCs w:val="18"/>
          <w:color w:val="auto"/>
        </w:rPr>
        <w:t>. The Company shall advise the Underwriters (who shall make an appropriate filing with FINRA) if it is aware that any 5% or greater shareholder of the Company becomes an affiliate or associated person of an Underwriter.</w:t>
      </w:r>
    </w:p>
    <w:p>
      <w:pPr>
        <w:spacing w:after="0" w:line="213"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No Fiduciary Duties</w:t>
      </w:r>
      <w:r>
        <w:rPr>
          <w:rFonts w:ascii="Arial" w:cs="Arial" w:eastAsia="Arial" w:hAnsi="Arial"/>
          <w:sz w:val="16"/>
          <w:szCs w:val="16"/>
          <w:color w:val="auto"/>
        </w:rPr>
        <w:t>. The Company acknowledges and agrees that the Underwriters’ responsibility to the Company is solely contractual and commercial in nature, based on arms-length negotiations and that neither the Underwriters nor their affiliates or any selected dealer shall be deemed to be acting in a fiduciary capacity, or otherwise owes any fiduciary duty to the Company or any of its affiliates in connection with the Offering and the other transactions contemplated by this Agreement. Notwithstanding anything in this Agreement to the contrary, the Company acknowledges that the Underwriters may have financial interests in the success of the Offering that are not limited to the difference between the price to the public and the purchase price paid to the Company by the Underwriters for the shares and the Underwriters have no obligation to disclose, or account to the Company for, any of such additional financial interests. The Company hereby waives and releases, to the fullest extent permitted by law, any claims that the Company may have against the Underwriters with respect to any breach or alleged breach of fiduciary duty.</w:t>
      </w:r>
    </w:p>
    <w:p>
      <w:pPr>
        <w:spacing w:after="0" w:line="205"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Board Composition and Board Designations</w:t>
      </w:r>
      <w:r>
        <w:rPr>
          <w:rFonts w:ascii="Arial" w:cs="Arial" w:eastAsia="Arial" w:hAnsi="Arial"/>
          <w:sz w:val="16"/>
          <w:szCs w:val="16"/>
          <w:color w:val="auto"/>
        </w:rPr>
        <w:t>. The Company shall ensure that: (i) the qualifications of the persons serving as board members and the overall composition of the Board of Directors comply with the Sarbanes-Oxley Act of 2002 and the rules promulgated thereunder and with the listing requirements of the Trading Market and (ii) if applicable, at least one member of the Board of Directors qualifies as a “financial expert” as such term is defined under the Sarbanes-Oxley Act of 2002 and the rules promulgated thereunder.</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06" w:right="379" w:bottom="1440" w:gutter="0" w:footer="0" w:header="0"/>
        </w:sectPr>
      </w:pPr>
    </w:p>
    <w:bookmarkStart w:id="30" w:name="page31"/>
    <w:bookmarkEnd w:id="30"/>
    <w:p>
      <w:pPr>
        <w:ind w:right="60" w:firstLine="648"/>
        <w:spacing w:after="0" w:line="258"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u w:val="single" w:color="auto"/>
          <w:color w:val="auto"/>
        </w:rPr>
        <w:t>Securities Laws Disclosure; Publicity</w:t>
      </w:r>
      <w:r>
        <w:rPr>
          <w:rFonts w:ascii="Arial" w:cs="Arial" w:eastAsia="Arial" w:hAnsi="Arial"/>
          <w:sz w:val="17"/>
          <w:szCs w:val="17"/>
          <w:color w:val="auto"/>
        </w:rPr>
        <w:t>. At the request of the Representative, by 9:00 a.m. (New York City time) on the date hereof, the Company shall issue a press release disclosing the material terms of the Offering. The Company and the Representative shall consult with each other in issuing any other press releases with respect to the Offering, and neither the Company nor any Underwriter shall issue any such press release nor otherwise make any such public statement without the prior consent of the Company, with respect to any press release of such Underwriter, or without the prior consent of such Underwriter,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The Company will not issue press releases or engage in any other publicity, without the prior written consent of EGS, for a period ending at 5:00 p.m. (New York City time) on the first business day following the fifth (5</w:t>
      </w:r>
      <w:r>
        <w:rPr>
          <w:rFonts w:ascii="Arial" w:cs="Arial" w:eastAsia="Arial" w:hAnsi="Arial"/>
          <w:sz w:val="23"/>
          <w:szCs w:val="23"/>
          <w:color w:val="auto"/>
          <w:vertAlign w:val="superscript"/>
        </w:rPr>
        <w:t>th</w:t>
      </w:r>
      <w:r>
        <w:rPr>
          <w:rFonts w:ascii="Arial" w:cs="Arial" w:eastAsia="Arial" w:hAnsi="Arial"/>
          <w:sz w:val="17"/>
          <w:szCs w:val="17"/>
          <w:color w:val="auto"/>
        </w:rPr>
        <w:t>) day following the Closing Date, other than normal and customary releases issued in the ordinary course of the Company’s business.</w:t>
      </w:r>
    </w:p>
    <w:p>
      <w:pPr>
        <w:spacing w:after="0" w:line="154"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color w:val="auto"/>
        </w:rPr>
        <w:t xml:space="preserve">4.16 </w:t>
      </w:r>
      <w:r>
        <w:rPr>
          <w:rFonts w:ascii="Arial" w:cs="Arial" w:eastAsia="Arial" w:hAnsi="Arial"/>
          <w:sz w:val="16"/>
          <w:szCs w:val="16"/>
          <w:u w:val="single" w:color="auto"/>
          <w:color w:val="auto"/>
        </w:rPr>
        <w:t>Shareholder Rights Plan</w:t>
      </w:r>
      <w:r>
        <w:rPr>
          <w:rFonts w:ascii="Arial" w:cs="Arial" w:eastAsia="Arial" w:hAnsi="Arial"/>
          <w:sz w:val="16"/>
          <w:szCs w:val="16"/>
          <w:color w:val="auto"/>
        </w:rPr>
        <w:t>. No claim will be made or enforced by the Company or, with the consent of the Company, any other Person, that any Underwriter of the Public Shares is an “Acquiring Person” under any control share acquisition, business combination, poison pill (including any distribution under a rights agreement) or similar anti-takeover plan or arrangement in effect or hereafter adopted by the Company, or that any Underwriter of Public Shares could be deemed to trigger the provisions of any such plan or arrangement, by virtue of receiving Public Shares.</w:t>
      </w:r>
    </w:p>
    <w:p>
      <w:pPr>
        <w:spacing w:after="0" w:line="12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Option Shares pursuant to the Over-Allotment Option.</w:t>
      </w:r>
    </w:p>
    <w:p>
      <w:pPr>
        <w:spacing w:after="0" w:line="15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4.18 </w:t>
      </w:r>
      <w:r>
        <w:rPr>
          <w:rFonts w:ascii="Arial" w:cs="Arial" w:eastAsia="Arial" w:hAnsi="Arial"/>
          <w:sz w:val="16"/>
          <w:szCs w:val="16"/>
          <w:u w:val="single" w:color="auto"/>
          <w:color w:val="auto"/>
        </w:rPr>
        <w:t>Listing of Common Stock</w:t>
      </w:r>
      <w:r>
        <w:rPr>
          <w:rFonts w:ascii="Arial" w:cs="Arial" w:eastAsia="Arial" w:hAnsi="Arial"/>
          <w:sz w:val="16"/>
          <w:szCs w:val="16"/>
          <w:color w:val="auto"/>
        </w:rPr>
        <w:t>. The Company hereby agrees to use best efforts to maintain the listing or quotation of the Common Stock on the Trading Market on which it is currently listed, and concurrently with the Closing, the Company shall apply to list or quote all of the Closing Shares and Option Shares on such Trading Market and promptly secure the listing of all of the Closing Shares and Option Shares on such Trading Market. The Company further agrees, if the Company applies to have the Common Stock traded on any other Trading Market, it will then include in such application all of the Closing Shares and Option Shares, and will take such other action as is necessary to cause all of the Closing Shares and Option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3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5"/>
          <w:szCs w:val="15"/>
          <w:u w:val="single" w:color="auto"/>
          <w:color w:val="auto"/>
        </w:rPr>
        <w:t>Subsequent Equity Sales</w:t>
      </w:r>
      <w:r>
        <w:rPr>
          <w:rFonts w:ascii="Arial" w:cs="Arial" w:eastAsia="Arial" w:hAnsi="Arial"/>
          <w:sz w:val="15"/>
          <w:szCs w:val="15"/>
          <w:color w:val="auto"/>
        </w:rPr>
        <w:t>.</w:t>
      </w:r>
    </w:p>
    <w:p>
      <w:pPr>
        <w:spacing w:after="0" w:line="185" w:lineRule="exact"/>
        <w:rPr>
          <w:sz w:val="20"/>
          <w:szCs w:val="20"/>
          <w:color w:val="auto"/>
        </w:rPr>
      </w:pPr>
    </w:p>
    <w:p>
      <w:pPr>
        <w:ind w:left="660" w:right="320" w:firstLine="1292"/>
        <w:spacing w:after="0" w:line="259" w:lineRule="auto"/>
        <w:tabs>
          <w:tab w:leader="none" w:pos="23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From the date hereof until the three (3) month anniversary from the later of (i) the Closing Date, and (ii) the last Option Closing Date (if any), neither the Company nor any Subsidiary shall issue, enter into any agreement to issue or announce the issuance or proposed issuance of any shares of Common Stock or Common Stock Equivalents.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31" w:name="page32"/>
    <w:bookmarkEnd w:id="31"/>
    <w:p>
      <w:pPr>
        <w:ind w:left="660" w:firstLine="1292"/>
        <w:spacing w:after="0" w:line="286" w:lineRule="auto"/>
        <w:tabs>
          <w:tab w:leader="none" w:pos="2377" w:val="left"/>
        </w:tabs>
        <w:numPr>
          <w:ilvl w:val="0"/>
          <w:numId w:val="30"/>
        </w:numPr>
        <w:rPr>
          <w:rFonts w:ascii="Arial" w:cs="Arial" w:eastAsia="Arial" w:hAnsi="Arial"/>
          <w:sz w:val="16"/>
          <w:szCs w:val="16"/>
          <w:color w:val="auto"/>
        </w:rPr>
      </w:pPr>
      <w:r>
        <w:rPr>
          <w:rFonts w:ascii="Arial" w:cs="Arial" w:eastAsia="Arial" w:hAnsi="Arial"/>
          <w:sz w:val="16"/>
          <w:szCs w:val="16"/>
          <w:color w:val="auto"/>
        </w:rPr>
        <w:t>From the date hereof until the four (4) month anniversary from the later of (i) the Closing Date, and (ii) the last Option Closing Date (if any),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Arial" w:cs="Arial" w:eastAsia="Arial" w:hAnsi="Arial"/>
          <w:sz w:val="16"/>
          <w:szCs w:val="16"/>
          <w:u w:val="single" w:color="auto"/>
          <w:color w:val="auto"/>
        </w:rPr>
        <w:t>Variable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Rate Transaction</w:t>
      </w:r>
      <w:r>
        <w:rPr>
          <w:rFonts w:ascii="Arial" w:cs="Arial" w:eastAsia="Arial" w:hAnsi="Arial"/>
          <w:sz w:val="16"/>
          <w:szCs w:val="16"/>
          <w:color w:val="auto"/>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whereby the Company may issue securities at a future determined price. Any Underwriter shall be entitled to obtain injunctive relief against the Company to preclude any such issuance, which remedy shall be in addition to any right to collect damages.</w:t>
      </w:r>
    </w:p>
    <w:p>
      <w:pPr>
        <w:spacing w:after="0" w:line="139" w:lineRule="exact"/>
        <w:rPr>
          <w:rFonts w:ascii="Arial" w:cs="Arial" w:eastAsia="Arial" w:hAnsi="Arial"/>
          <w:sz w:val="16"/>
          <w:szCs w:val="16"/>
          <w:color w:val="auto"/>
        </w:rPr>
      </w:pPr>
    </w:p>
    <w:p>
      <w:pPr>
        <w:ind w:left="660" w:right="300" w:firstLine="1292"/>
        <w:spacing w:after="0" w:line="268" w:lineRule="auto"/>
        <w:tabs>
          <w:tab w:leader="none" w:pos="23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Notwithstanding the foregoing, this Section 4.19 shall not apply in respect of an Exempt Issuance, except that no Variable Rate Transaction shall be an Exempt Issuance.</w:t>
      </w:r>
    </w:p>
    <w:p>
      <w:pPr>
        <w:spacing w:after="0" w:line="14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4.20 </w:t>
      </w:r>
      <w:r>
        <w:rPr>
          <w:rFonts w:ascii="Arial" w:cs="Arial" w:eastAsia="Arial" w:hAnsi="Arial"/>
          <w:sz w:val="16"/>
          <w:szCs w:val="16"/>
          <w:u w:val="single" w:color="auto"/>
          <w:color w:val="auto"/>
        </w:rPr>
        <w:t>Research Independence</w:t>
      </w:r>
      <w:r>
        <w:rPr>
          <w:rFonts w:ascii="Arial" w:cs="Arial" w:eastAsia="Arial" w:hAnsi="Arial"/>
          <w:sz w:val="16"/>
          <w:szCs w:val="16"/>
          <w:color w:val="auto"/>
        </w:rPr>
        <w:t>. The Company acknowledges that each Underwriter’s research analysts and research departments, if any, are required to be independent from their respective investment banking divisions and are subject to certain regulations and internal policies, and that such Underwriter’s research analysts may hold and make statements or investment recommendations and/or publish research reports with respect to the Company and/or the offering that differ from the views of its investment bankers. The Company hereby waives and releases, to the fullest extent permitted by law, any claims that the Company may have against such Underwriter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divisions. The Company acknowledges that the Representative is a full service securities firm and as such from time to time, subject to applicable securities laws, may effect transactions for its own account or the account of its customers and hold long or short position in debt or equity securities of the Company.</w:t>
      </w:r>
    </w:p>
    <w:p>
      <w:pPr>
        <w:spacing w:after="0" w:line="200"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Capital Changes</w:t>
      </w:r>
      <w:r>
        <w:rPr>
          <w:rFonts w:ascii="Arial" w:cs="Arial" w:eastAsia="Arial" w:hAnsi="Arial"/>
          <w:sz w:val="18"/>
          <w:szCs w:val="18"/>
          <w:color w:val="auto"/>
        </w:rPr>
        <w:t>. Until 180 days following the later of (i) the Closing Date, and (ii) the last Option Closing Date (if any), the Company shall not undertake a reverse or forward stock split or reclassification of the Common Stock without the prior written consent of the Representative, which consent will not be unreasonably withheld.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39" w:right="35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DEFAULT BY UNDERWRITERS</w:t>
      </w:r>
    </w:p>
    <w:p>
      <w:pPr>
        <w:spacing w:after="0" w:line="219" w:lineRule="exact"/>
        <w:rPr>
          <w:sz w:val="20"/>
          <w:szCs w:val="20"/>
          <w:color w:val="auto"/>
        </w:rPr>
      </w:pPr>
    </w:p>
    <w:p>
      <w:pPr>
        <w:ind w:firstLine="648"/>
        <w:spacing w:after="0" w:line="304" w:lineRule="auto"/>
        <w:rPr>
          <w:sz w:val="20"/>
          <w:szCs w:val="20"/>
          <w:color w:val="auto"/>
        </w:rPr>
      </w:pPr>
      <w:r>
        <w:rPr>
          <w:rFonts w:ascii="Arial" w:cs="Arial" w:eastAsia="Arial" w:hAnsi="Arial"/>
          <w:sz w:val="15"/>
          <w:szCs w:val="15"/>
          <w:color w:val="auto"/>
        </w:rPr>
        <w:t>If on the Closing Date or any Option Closing Date, if any, any Underwriter shall fail to purchase and pay for the portion of the Closing Shares or Option Shares, as the case may be, which such Underwriter has agreed to purchase and pay for on such date (otherwise than by reason of any default on the part of the Company), the Representative, or if the Representative is the defaulting Underwriter, the non-defaulting Underwriters, shall use their reasonable efforts to procure within thirty-six (36) hours thereafter one or more of the other Underwriters, or any others, to purchase from the Company such amounts as may be agreed upon and upon the terms set forth herein, the Closing Shares or Option Shares, as the case may be, which the defaulting Underwriter or Underwriters failed to purchase. If during such thirty-six (36) hours the Representative shall not have procured such other Underwriters, or any others, to purchase the Closing Shares or Option Shares, as the case may be, agreed to be purchased by the defaulting Underwriter or Underwriters, then (a) if the aggregate number of Closing Shares or Option Shares, as the case may be, with respect to which such default shall occur does not exceed ten percent (10%) of the Closing Shares or Option Shares, as the case may be, covered hereby, the other Underwriters shall be obligated, severally, in proportion to the respective numbers of Closing Shares or Option Shares, as the case may be, which they are obligated to purchase hereunder, to purchase the Closing Shares or Option Shares, as the case may be, which such defaulting Underwriter or Underwriters failed to purchase, or (b) if the aggregate number of Closing Shares or Option Shares, as the case may be, with respect to which such default shall occur exceeds ten percent (10%) of the Closing Shares or Option Shares, as the case may be, covered hereby, the Company or the Representative will have the right to terminate this Agreement without liability on the part of the non-defaulting Underwriters or of the Company except to the extent provided in Article VI hereof. In the event of a default by any Underwriter or Underwriters, as set forth in this Article V, the applicable Closing Date may be postponed for such period, not exceeding seven (7) days, as the Representative, or if the Representative is the defaulting Underwriter, the non-defaulting Underwriters, may determine in order that the required changes in the Prospectus or in any other documents or arrangements may be effected. The term “Underwriter” includes any person substituted for a defaulting Underwriter. Any action taken under this Section shall not relieve any defaulting Underwriter from liability in respect of any default of such Underwriter under this Agreement.</w:t>
      </w: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327"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Indemnification of the Underwriters</w:t>
      </w:r>
      <w:r>
        <w:rPr>
          <w:rFonts w:ascii="Arial" w:cs="Arial" w:eastAsia="Arial" w:hAnsi="Arial"/>
          <w:sz w:val="16"/>
          <w:szCs w:val="16"/>
          <w:color w:val="auto"/>
        </w:rPr>
        <w:t>. Subject to the conditions set forth below, the Company agrees to indemnify and hold harmless the Underwriters, and each dealer selected by each Underwriter that participates in the offer and sale of the Public Shares (each a “</w:t>
      </w:r>
      <w:r>
        <w:rPr>
          <w:rFonts w:ascii="Arial" w:cs="Arial" w:eastAsia="Arial" w:hAnsi="Arial"/>
          <w:sz w:val="16"/>
          <w:szCs w:val="16"/>
          <w:u w:val="single" w:color="auto"/>
          <w:color w:val="auto"/>
        </w:rPr>
        <w:t>Selected Dealer</w:t>
      </w:r>
      <w:r>
        <w:rPr>
          <w:rFonts w:ascii="Arial" w:cs="Arial" w:eastAsia="Arial" w:hAnsi="Arial"/>
          <w:sz w:val="16"/>
          <w:szCs w:val="16"/>
          <w:color w:val="auto"/>
        </w:rPr>
        <w:t>”) and each of their respective directors, officers and employees and each Person, if any, who controls such Underwriter or any Selected Dealer (“</w:t>
      </w:r>
      <w:r>
        <w:rPr>
          <w:rFonts w:ascii="Arial" w:cs="Arial" w:eastAsia="Arial" w:hAnsi="Arial"/>
          <w:sz w:val="16"/>
          <w:szCs w:val="16"/>
          <w:u w:val="single" w:color="auto"/>
          <w:color w:val="auto"/>
        </w:rPr>
        <w:t>Controlling Person</w:t>
      </w:r>
      <w:r>
        <w:rPr>
          <w:rFonts w:ascii="Arial" w:cs="Arial" w:eastAsia="Arial" w:hAnsi="Arial"/>
          <w:sz w:val="16"/>
          <w:szCs w:val="16"/>
          <w:color w:val="auto"/>
        </w:rPr>
        <w:t>”) within the meaning of Section 15 of the Securities Act or Section 20 of the Exchange Act,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such Underwriter and the Company or between such Underwriter and any third party or otherwise) to which they or any of them may become subject under the Securities Act, the Exchange Act or any other statute or at common law or otherwise or under the laws of foreign countries, arising out of or based upon any untrue statement or alleged untrue statement of a material fact contained in (i) any Preliminary Prospectus, if any, the Registration Statement, the Prospectus (as from time to time each may be amended and supplemented), or the Prospectus Supplement; (ii) any materials or information provided to investors by, or with the approval of, the Company in connection with the marketing of the offering of the Public Shares, including any “road show” or investor presentations made to investors by the Company (whether in person or electronically); or (iii) any application or other document or written communication (in this Article VI, collectively called “</w:t>
      </w:r>
      <w:r>
        <w:rPr>
          <w:rFonts w:ascii="Arial" w:cs="Arial" w:eastAsia="Arial" w:hAnsi="Arial"/>
          <w:sz w:val="16"/>
          <w:szCs w:val="16"/>
          <w:u w:val="single" w:color="auto"/>
          <w:color w:val="auto"/>
        </w:rPr>
        <w:t>application</w:t>
      </w:r>
      <w:r>
        <w:rPr>
          <w:rFonts w:ascii="Arial" w:cs="Arial" w:eastAsia="Arial" w:hAnsi="Arial"/>
          <w:sz w:val="16"/>
          <w:szCs w:val="16"/>
          <w:color w:val="auto"/>
        </w:rPr>
        <w:t>”) executed by the Company or based upon written information furnished by the Company in any jurisdiction in order to qualify the Public Shares under the securities laws thereof or filed with the Commission, any state securities commission or agency, Trading Market or any securities exchange; or the omission or alleged omission therefrom of a material fact required to be stated therein or necessary to make the statements therein, in light of the circumstances under which they were made, not misleading, unless such statement or omission was made in reliance upon and in conformity with written information furnished to the Company with respect to the applicable Underwriter by or on behalf of such Underwriter expressly for use in any Preliminary Prospectus, if any, the Registration Statement or Prospectus, or any amendment or supplement thereto, or in any application, as the case may be. With respect to any untrue statement or omission or alleged untrue statement or omission made in the Preliminary Prospectus, if any, the indemnity agreement contained in this Section 6.1 shall not inure to the benefit of an Underwriter to the extent that any loss, liability, claim, damage or expense of such Underwriter results from the fact that a copy of the Prospectus was not given or sent to the Person asserting any such loss, liability, claim or damage at or prior to the written confirmation of sale of the Public Shares to such Person as required by the Securities Act and the rules and regulations thereunder, and if the untrue statement or omission has been corrected in the Prospectus, unless such failure to deliver the Prospectus was a result of non-compliance by the Company with its obligations under this Agreement. The Company agrees promptly to notify each Underwriter of the commencement of any litigation or proceedings against the Company or any of its officers, directors or Controlling Persons in connection with the issue and sale of the Public Shares or in connection with the Registration Statement, the Prospectus, or the Prospectus Supplement.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4" w:name="page35"/>
    <w:bookmarkEnd w:id="34"/>
    <w:p>
      <w:pPr>
        <w:ind w:firstLine="648"/>
        <w:spacing w:after="0" w:line="285"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Procedure</w:t>
      </w:r>
      <w:r>
        <w:rPr>
          <w:rFonts w:ascii="Arial" w:cs="Arial" w:eastAsia="Arial" w:hAnsi="Arial"/>
          <w:sz w:val="16"/>
          <w:szCs w:val="16"/>
          <w:color w:val="auto"/>
        </w:rPr>
        <w:t>. If any action is brought against an Underwriter, a Selected Dealer or a Controlling Person in respect of which indemnity may be sought against the Company pursuant to Section 6.1, such Underwriter, such Selected Dealer or Controlling Person, as the case may be, shall promptly notify the Company in writing of the institution of such action and the Company shall assume the defense of such action, including the employment and fees of counsel (subject to the reasonable approval of such Underwriter or such Selected Dealer, as the case may be) and payment of actual expenses. Such Underwriter, such Selected Dealer or Controlling Person shall have the right to employ its or their own counsel in any such case, but the fees and expenses of such counsel shall be at the expense of such Underwriter, such Selected Dealer or Controlling Person unless (i) the employment of such counsel at the expense of the Company shall have been authorized in writing by the Company in connection with the defense of such action, or (ii) the Company shall not have employed counsel to have charge of the defense of such action, or (iii) such indemnified party or parties shall have reasonably concluded that there may be defenses available to it or them which are different from or additional to those available to the Company (in which case the Company shall not have the right to direct the defense of such action on behalf of the indemnified party or parties), in any of which events the reasonable fees and expenses of not more than one additional firm of attorneys selected by such Underwriter (in addition to local counsel), Selected Dealer and/or Controlling Person shall be borne by the Company. Notwithstanding anything to the contrary contained herein, if any Underwriter, Selected Dealer or Controlling Person shall assume the defense of such action as provided above, the Company shall have the right to approve the terms of any settlement of such action which approval shall not be unreasonably withheld.</w:t>
      </w:r>
    </w:p>
    <w:p>
      <w:pPr>
        <w:spacing w:after="0" w:line="141"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Indemnification of the Company</w:t>
      </w:r>
      <w:r>
        <w:rPr>
          <w:rFonts w:ascii="Arial" w:cs="Arial" w:eastAsia="Arial" w:hAnsi="Arial"/>
          <w:sz w:val="16"/>
          <w:szCs w:val="16"/>
          <w:color w:val="auto"/>
        </w:rPr>
        <w:t>. Each Underwriter severally and not jointly agrees to indemnify and hold harmless the Company, its directors, officers and employees and agents who control the Company within the meaning of Section 15 of the Securities Act or Section 20 of the Exchange Act against any and all loss, liability, claim, damage and expense described in the foregoing indemnity from the Company to such Underwriter, as incurred, but only with respect to untrue statements or omissions, or alleged untrue statements or omissions made in any Preliminary Prospectus, if any, the Registration Statement or Prospectus or any amendment or supplement thereto or in any application, in reliance upon, and in strict conformity with, written information furnished to the Company with respect to such Underwriter by or on behalf of such Underwriter expressly for use in such Preliminary Prospectus, if any, the Registration Statement or Prospectus or any amendment or supplement thereto or in any such application. In case any action shall be brought against the Company or any other Person so indemnified based on any Preliminary Prospectus, if any, the Registration Statement or Prospectus or any amendment or supplement thereto or any application, and in respect of which indemnity may be sought against such Underwriter, such Underwriter shall have the rights and duties given to the Company, and the Company and each other Person so indemnified shall have the rights and duties given to such Underwriter by the provisions of this Article VI. Notwithstanding the provisions of this Section 6.3, no Underwriter shall be required to indemnify the Company for any amount in excess of the underwriting discounts and commissions applicable to the Public Shares purchased by such Underwriter. The Underwriters' obligations in this Section 6.3 to indemnify the Company are several in proportion to their respective underwriting obligations and not joint.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35" w:name="page36"/>
    <w:bookmarkEnd w:id="35"/>
    <w:p>
      <w:pPr>
        <w:ind w:left="660"/>
        <w:spacing w:after="0"/>
        <w:tabs>
          <w:tab w:leader="none" w:pos="10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Contribution</w:t>
      </w:r>
      <w:r>
        <w:rPr>
          <w:rFonts w:ascii="Arial" w:cs="Arial" w:eastAsia="Arial" w:hAnsi="Arial"/>
          <w:sz w:val="16"/>
          <w:szCs w:val="16"/>
          <w:color w:val="auto"/>
        </w:rPr>
        <w:t>.</w:t>
      </w:r>
    </w:p>
    <w:p>
      <w:pPr>
        <w:spacing w:after="0" w:line="185" w:lineRule="exact"/>
        <w:rPr>
          <w:sz w:val="20"/>
          <w:szCs w:val="20"/>
          <w:color w:val="auto"/>
        </w:rPr>
      </w:pPr>
    </w:p>
    <w:p>
      <w:pPr>
        <w:ind w:left="660" w:right="140" w:firstLine="1292"/>
        <w:spacing w:after="0" w:line="283" w:lineRule="auto"/>
        <w:tabs>
          <w:tab w:leader="none" w:pos="2367"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Contribution Rights</w:t>
      </w:r>
      <w:r>
        <w:rPr>
          <w:rFonts w:ascii="Arial" w:cs="Arial" w:eastAsia="Arial" w:hAnsi="Arial"/>
          <w:sz w:val="16"/>
          <w:szCs w:val="16"/>
          <w:color w:val="auto"/>
        </w:rPr>
        <w:t>. In order to provide for just and equitable contribution under the Securities Act in any case in which (i) any Person entitled to indemnification under this Article VI makes a claim for indemnification pursuant hereto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Article VI provides for indemnification in such case, or</w:t>
      </w:r>
    </w:p>
    <w:p>
      <w:pPr>
        <w:spacing w:after="0" w:line="2" w:lineRule="exact"/>
        <w:rPr>
          <w:rFonts w:ascii="Arial" w:cs="Arial" w:eastAsia="Arial" w:hAnsi="Arial"/>
          <w:sz w:val="16"/>
          <w:szCs w:val="16"/>
          <w:color w:val="auto"/>
        </w:rPr>
      </w:pPr>
    </w:p>
    <w:p>
      <w:pPr>
        <w:ind w:left="660" w:right="140" w:hanging="4"/>
        <w:spacing w:after="0" w:line="285" w:lineRule="auto"/>
        <w:tabs>
          <w:tab w:leader="none" w:pos="918"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contribution under the Securities Act, the Exchange Act or otherwise may be required on the part of any such Person in circumstances for which indemnification is provided under this Article VI, then, and in each such case, the Company and each Underwriter, severally and not jointly, shall contribute to the aggregate losses, liabilities, claims, damages and expenses of the nature contemplated by said indemnity agreement incurred by the Company and such Underwriter, as incurred, in such proportions that such Underwriter is responsible for that portion represented by the percentage that the underwriting discount appearing on the cover page of the Prospectus bears to the initial offering price appearing thereon and the Company is responsible for the balance; provided, that, no Person guilty of a fraudulent misrepresentation (within the meaning of Section 11(f) of the Securities Act) shall be entitled to contribution from any Person who was not guilty of such fraudulent misrepresentation. For purposes of this Section, each director, officer and employee of such Underwriter or the Company, as applicable, and each Person, if any, who controls such Underwriter or the Company, as applicable, within the meaning of Section 15 of the Securities Act shall have the same rights to contribution as such Underwriter or the Company, as applicable. Notwithstanding the provisions of this Section 6.4, no Underwriter shall be required to contribute any amount in excess of the underwriting discounts and commissions applicable to the Public Shares purchased by such Underwriter. The Underwriters' obligations in this Section 6.4 to contribute are several in proportion to their respective underwriting obligations and not joint.</w:t>
      </w:r>
    </w:p>
    <w:p>
      <w:pPr>
        <w:spacing w:after="0" w:line="139" w:lineRule="exact"/>
        <w:rPr>
          <w:rFonts w:ascii="Arial" w:cs="Arial" w:eastAsia="Arial" w:hAnsi="Arial"/>
          <w:sz w:val="16"/>
          <w:szCs w:val="16"/>
          <w:color w:val="auto"/>
        </w:rPr>
      </w:pPr>
    </w:p>
    <w:p>
      <w:pPr>
        <w:ind w:left="660" w:firstLine="1292"/>
        <w:spacing w:after="0" w:line="287" w:lineRule="auto"/>
        <w:tabs>
          <w:tab w:leader="none" w:pos="2377"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Contribution Procedure</w:t>
      </w:r>
      <w:r>
        <w:rPr>
          <w:rFonts w:ascii="Arial" w:cs="Arial" w:eastAsia="Arial" w:hAnsi="Arial"/>
          <w:sz w:val="16"/>
          <w:szCs w:val="16"/>
          <w:color w:val="auto"/>
        </w:rPr>
        <w:t>. Within fifteen (15) days after receipt by any party to this Agreement (or its representative) of notice of the commencement of any action, suit or proceeding, such party will, if a claim for contribution in respect thereof is to be made against another party (“</w:t>
      </w:r>
      <w:r>
        <w:rPr>
          <w:rFonts w:ascii="Arial" w:cs="Arial" w:eastAsia="Arial" w:hAnsi="Arial"/>
          <w:sz w:val="16"/>
          <w:szCs w:val="16"/>
          <w:u w:val="single" w:color="auto"/>
          <w:color w:val="auto"/>
        </w:rPr>
        <w:t>Contributing Party</w:t>
      </w:r>
      <w:r>
        <w:rPr>
          <w:rFonts w:ascii="Arial" w:cs="Arial" w:eastAsia="Arial" w:hAnsi="Arial"/>
          <w:sz w:val="16"/>
          <w:szCs w:val="16"/>
          <w:color w:val="auto"/>
        </w:rPr>
        <w:t>”), notify the contributing party of the commencement thereof, but the failure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fifteen (15)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affected by such party seeking contribution without the written consent of such Contributing Party. The contribution provisions contained in this Section 6.4 are intended to supersede, to the extent permitted by law, any right to contribution under the Securities Act, the Exchange Act or otherwise available.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4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185" w:lineRule="exact"/>
        <w:rPr>
          <w:sz w:val="20"/>
          <w:szCs w:val="20"/>
          <w:color w:val="auto"/>
        </w:rPr>
      </w:pPr>
    </w:p>
    <w:p>
      <w:pPr>
        <w:ind w:left="2360" w:hanging="408"/>
        <w:spacing w:after="0"/>
        <w:tabs>
          <w:tab w:leader="none" w:pos="2360"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Termination Right</w:t>
      </w:r>
      <w:r>
        <w:rPr>
          <w:rFonts w:ascii="Arial" w:cs="Arial" w:eastAsia="Arial" w:hAnsi="Arial"/>
          <w:sz w:val="16"/>
          <w:szCs w:val="16"/>
          <w:color w:val="auto"/>
        </w:rPr>
        <w:t>. The Representative shall have the right to terminate this Agreement at any time prior to any Closing Date,</w:t>
      </w:r>
    </w:p>
    <w:p>
      <w:pPr>
        <w:spacing w:after="0" w:line="38" w:lineRule="exact"/>
        <w:rPr>
          <w:rFonts w:ascii="Arial" w:cs="Arial" w:eastAsia="Arial" w:hAnsi="Arial"/>
          <w:sz w:val="16"/>
          <w:szCs w:val="16"/>
          <w:color w:val="auto"/>
        </w:rPr>
      </w:pPr>
    </w:p>
    <w:p>
      <w:pPr>
        <w:ind w:left="660" w:right="20" w:hanging="4"/>
        <w:spacing w:after="0" w:line="285" w:lineRule="auto"/>
        <w:tabs>
          <w:tab w:leader="none" w:pos="87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any domestic or international event or act or occurrence has materially disrupted, or in its opinion will in the immediate future materially disrupt, general securities markets in the United States; or (ii) if trading on any Trading Market shall have been suspended or materially limited, or minimum or maximum prices for trading shall have been fixed, or maximum ranges for prices for securities shall have been required by FINRA or by order of the Commission or any other government authority having jurisdiction, or (iii) if the United States shall have become involved in a new war or an increase in major hostilities, or (iv) if a banking moratorium has been declared by a New York State or federal authority, or (v) if a moratorium on foreign exchange trading has been declared which materially adversely impacts the United States securities markets, or (vi) if the Company shall have sustained a material loss by fire, flood, accident, hurricane, earthquake, theft, sabotage or other calamity or malicious act which, whether or not such loss shall have been insured, will, in the Representative’s opinion, make it inadvisable to proceed with the delivery of the Public Shares, or (vii) if the Company is in material breach of any of its representations, warranties or covenants hereunder, or (viii) if the Representative shall have become aware after the date hereof of such a material adverse change in the conditions or prospects of the Company, or such adverse material change in general market conditions as in the Representative’s judgment would make it impracticable to proceed with the offering, sale and/or delivery of the Public Shares or to enforce contracts made by the Underwriters for the sale of the Public Shares.</w:t>
      </w:r>
    </w:p>
    <w:p>
      <w:pPr>
        <w:spacing w:after="0" w:line="139" w:lineRule="exact"/>
        <w:rPr>
          <w:rFonts w:ascii="Arial" w:cs="Arial" w:eastAsia="Arial" w:hAnsi="Arial"/>
          <w:sz w:val="16"/>
          <w:szCs w:val="16"/>
          <w:color w:val="auto"/>
        </w:rPr>
      </w:pPr>
    </w:p>
    <w:p>
      <w:pPr>
        <w:jc w:val="both"/>
        <w:ind w:left="660" w:right="80" w:firstLine="1292"/>
        <w:spacing w:after="0" w:line="298" w:lineRule="auto"/>
        <w:tabs>
          <w:tab w:leader="none" w:pos="2377"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In the event this Agreement shall be terminated pursuant to Section 7.1(a), within the time specified herein or any extensions thereof pursuant to the terms herein, the Company shall be obligated to pay to the Representative its actual and accountable out of pocket expenses related to the transactions contemplated herein then due and payable, including the fees and disbursements of EGS up to $10,000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expense cap in no way limits or impairs the indemnification and contribution provisions of this Agreement).</w:t>
      </w:r>
    </w:p>
    <w:p>
      <w:pPr>
        <w:spacing w:after="0" w:line="125" w:lineRule="exact"/>
        <w:rPr>
          <w:rFonts w:ascii="Arial" w:cs="Arial" w:eastAsia="Arial" w:hAnsi="Arial"/>
          <w:sz w:val="16"/>
          <w:szCs w:val="16"/>
          <w:color w:val="auto"/>
        </w:rPr>
      </w:pPr>
    </w:p>
    <w:p>
      <w:pPr>
        <w:ind w:left="660" w:right="560" w:firstLine="1292"/>
        <w:spacing w:after="0" w:line="306" w:lineRule="auto"/>
        <w:tabs>
          <w:tab w:leader="none" w:pos="2367"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Notwithstanding any contrary provision contained in this Agreement, any election hereunder or any termination of this Agreement, and whether or not this Agreement is otherwise carried out, the provisions of Article VI shall not be in any way effected by such election or termination or failure to carry out the terms of this Agreement or any part hereof.</w:t>
      </w:r>
    </w:p>
    <w:p>
      <w:pPr>
        <w:spacing w:after="0" w:line="12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 Notwithstanding anything herein to the contrary, the Engagement Agreement, dated July 29, 2020, by and between the Company and the Representative, shall continue to be effective and the terms therein shall continue to survive and be enforceable by the Representative in accordance with its terms, provided that, in the event of a conflict between the terms of the Engagement Agreement and this Agreement, the terms of this Agreement shall prevail.</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775" w:gutter="0" w:footer="0" w:header="0"/>
        </w:sectPr>
      </w:pPr>
    </w:p>
    <w:bookmarkStart w:id="36" w:name="page37"/>
    <w:bookmarkEnd w:id="36"/>
    <w:p>
      <w:pPr>
        <w:ind w:firstLine="648"/>
        <w:spacing w:after="0" w:line="256"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Notices</w:t>
      </w:r>
      <w:r>
        <w:rPr>
          <w:rFonts w:ascii="Arial" w:cs="Arial" w:eastAsia="Arial" w:hAnsi="Arial"/>
          <w:sz w:val="17"/>
          <w:szCs w:val="17"/>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or e-mail attachment at the email address set forth on the signature pages attached hereto at or prior to 5:30 p.m. (New York City time) on a Trading Day, (b) the next Trading Day after the date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second (2</w:t>
      </w:r>
      <w:r>
        <w:rPr>
          <w:rFonts w:ascii="Arial" w:cs="Arial" w:eastAsia="Arial" w:hAnsi="Arial"/>
          <w:sz w:val="23"/>
          <w:szCs w:val="23"/>
          <w:color w:val="auto"/>
          <w:vertAlign w:val="superscript"/>
        </w:rPr>
        <w:t>nd</w:t>
      </w:r>
      <w:r>
        <w:rPr>
          <w:rFonts w:ascii="Arial" w:cs="Arial" w:eastAsia="Arial" w:hAnsi="Arial"/>
          <w:sz w:val="17"/>
          <w:szCs w:val="17"/>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62" w:lineRule="exact"/>
        <w:rPr>
          <w:sz w:val="20"/>
          <w:szCs w:val="20"/>
          <w:color w:val="auto"/>
        </w:rPr>
      </w:pPr>
    </w:p>
    <w:p>
      <w:pPr>
        <w:ind w:firstLine="648"/>
        <w:spacing w:after="0" w:line="323" w:lineRule="auto"/>
        <w:rPr>
          <w:sz w:val="20"/>
          <w:szCs w:val="20"/>
          <w:color w:val="auto"/>
        </w:rPr>
      </w:pPr>
      <w:r>
        <w:rPr>
          <w:rFonts w:ascii="Arial" w:cs="Arial" w:eastAsia="Arial" w:hAnsi="Arial"/>
          <w:sz w:val="15"/>
          <w:szCs w:val="15"/>
          <w:color w:val="auto"/>
        </w:rPr>
        <w:t xml:space="preserve">7.4 </w:t>
      </w:r>
      <w:r>
        <w:rPr>
          <w:rFonts w:ascii="Arial" w:cs="Arial" w:eastAsia="Arial" w:hAnsi="Arial"/>
          <w:sz w:val="15"/>
          <w:szCs w:val="15"/>
          <w:u w:val="single" w:color="auto"/>
          <w:color w:val="auto"/>
        </w:rPr>
        <w:t>Amendments; Waivers</w:t>
      </w:r>
      <w:r>
        <w:rPr>
          <w:rFonts w:ascii="Arial" w:cs="Arial" w:eastAsia="Arial" w:hAnsi="Arial"/>
          <w:sz w:val="15"/>
          <w:szCs w:val="15"/>
          <w:color w:val="auto"/>
        </w:rPr>
        <w:t>. No provision of this Agreement may be waived, modified, supplemented or amended except in a written instrument signed, in the case of an amendment, by the Company and the Representative.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11" w:lineRule="exact"/>
        <w:rPr>
          <w:sz w:val="20"/>
          <w:szCs w:val="20"/>
          <w:color w:val="auto"/>
        </w:rPr>
      </w:pPr>
    </w:p>
    <w:p>
      <w:pPr>
        <w:ind w:right="260" w:firstLine="648"/>
        <w:spacing w:after="0" w:line="268"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4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This Agreement shall be binding upon and inure to the benefit of the parties and their successors and permitted assigns.</w:t>
      </w:r>
    </w:p>
    <w:p>
      <w:pPr>
        <w:spacing w:after="0" w:line="18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Governing Law</w:t>
      </w:r>
      <w:r>
        <w:rPr>
          <w:rFonts w:ascii="Arial" w:cs="Arial" w:eastAsia="Arial" w:hAnsi="Arial"/>
          <w:sz w:val="16"/>
          <w:szCs w:val="16"/>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suit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an action or proceeding to enforce any provisions of the Transaction Documents, then, in addition to the obligations of the Company under Article VI, the prevailing party in such action, suit or proceeding shall be reimbursed by the other party for its reasonable attorneys’ fees and other costs and expenses incurred with the investigation, preparation and prosecution of such action or proceeding.</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39" w:right="359" w:bottom="1440" w:gutter="0" w:footer="0" w:header="0"/>
        </w:sectPr>
      </w:pPr>
    </w:p>
    <w:bookmarkStart w:id="37" w:name="page38"/>
    <w:bookmarkEnd w:id="37"/>
    <w:p>
      <w:pPr>
        <w:ind w:right="180" w:firstLine="648"/>
        <w:spacing w:after="0" w:line="268"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contained herein shall survive the Closing and the Option Closing, if any, and the delivery of the Public Shares.</w:t>
      </w:r>
    </w:p>
    <w:p>
      <w:pPr>
        <w:spacing w:after="0" w:line="145" w:lineRule="exact"/>
        <w:rPr>
          <w:sz w:val="20"/>
          <w:szCs w:val="20"/>
          <w:color w:val="auto"/>
        </w:rPr>
      </w:pPr>
    </w:p>
    <w:p>
      <w:pPr>
        <w:ind w:right="200" w:firstLine="648"/>
        <w:spacing w:after="0" w:line="294"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u w:val="single" w:color="auto"/>
          <w:color w:val="auto"/>
        </w:rPr>
        <w:t>Execution</w:t>
      </w:r>
      <w:r>
        <w:rPr>
          <w:rFonts w:ascii="Arial" w:cs="Arial" w:eastAsia="Arial" w:hAnsi="Arial"/>
          <w:sz w:val="16"/>
          <w:szCs w:val="16"/>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7.10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33"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Remedies</w:t>
      </w:r>
      <w:r>
        <w:rPr>
          <w:rFonts w:ascii="Arial" w:cs="Arial" w:eastAsia="Arial" w:hAnsi="Arial"/>
          <w:sz w:val="16"/>
          <w:szCs w:val="16"/>
          <w:color w:val="auto"/>
        </w:rPr>
        <w:t>. In addition to being entitled to exercise all rights provided herein or granted by law, including recovery of damages, the Underwriters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26" w:lineRule="exact"/>
        <w:rPr>
          <w:sz w:val="20"/>
          <w:szCs w:val="20"/>
          <w:color w:val="auto"/>
        </w:rPr>
      </w:pPr>
    </w:p>
    <w:p>
      <w:pPr>
        <w:ind w:right="280" w:firstLine="648"/>
        <w:spacing w:after="0" w:line="331" w:lineRule="auto"/>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00"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 xml:space="preserve">7.13 </w:t>
      </w:r>
      <w:r>
        <w:rPr>
          <w:rFonts w:ascii="Arial" w:cs="Arial" w:eastAsia="Arial" w:hAnsi="Arial"/>
          <w:sz w:val="16"/>
          <w:szCs w:val="16"/>
          <w:u w:val="single" w:color="auto"/>
          <w:color w:val="auto"/>
        </w:rPr>
        <w:t>Construction</w:t>
      </w:r>
      <w:r>
        <w:rPr>
          <w:rFonts w:ascii="Arial" w:cs="Arial" w:eastAsia="Arial" w:hAnsi="Arial"/>
          <w:sz w:val="16"/>
          <w:szCs w:val="16"/>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23"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b w:val="1"/>
          <w:bCs w:val="1"/>
          <w:color w:val="auto"/>
        </w:rPr>
        <w:t xml:space="preserve">7.14 </w:t>
      </w:r>
      <w:r>
        <w:rPr>
          <w:rFonts w:ascii="Arial" w:cs="Arial" w:eastAsia="Arial" w:hAnsi="Arial"/>
          <w:sz w:val="16"/>
          <w:szCs w:val="16"/>
          <w:b w:val="1"/>
          <w:bCs w:val="1"/>
          <w:u w:val="single" w:color="auto"/>
          <w:color w:val="auto"/>
        </w:rPr>
        <w:t>WAIVER OF JURY TRIAL</w:t>
      </w:r>
      <w:r>
        <w:rPr>
          <w:rFonts w:ascii="Arial" w:cs="Arial" w:eastAsia="Arial" w:hAnsi="Arial"/>
          <w:sz w:val="16"/>
          <w:szCs w:val="16"/>
          <w:b w:val="1"/>
          <w:bCs w:val="1"/>
          <w:color w:val="auto"/>
        </w:rPr>
        <w:t>. IN ANY ACTION, SUIT, OR PROCEEDING IN ANY JURISDICTION BROUGHT BY ANY PARTY AGAINST ANY OTHER PARTY ARISING OUT OF OR RELATING TO THIS AGREEMENT OR THE TRANSACTIONS CONTEMPLATED HEREBY, THE PARTIES EACH KNOWINGLY AND INTENTIONALLY, TO THE GREATEST EXTENT PERMITTED BY APPLICABLE LAW, HEREBY ABSOLUTELY, UNCONDITIONALLY, IRREVOCABLY AND EXPRESSLY WAIVE FOREVER ANY RIGHT TO TRIAL BY JURY.</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39" w:right="359" w:bottom="1440" w:gutter="0" w:footer="0" w:header="0"/>
        </w:sectPr>
      </w:pPr>
    </w:p>
    <w:bookmarkStart w:id="38" w:name="page39"/>
    <w:bookmarkEnd w:id="38"/>
    <w:p>
      <w:pPr>
        <w:ind w:firstLine="648"/>
        <w:spacing w:after="0" w:line="331" w:lineRule="auto"/>
        <w:rPr>
          <w:sz w:val="20"/>
          <w:szCs w:val="20"/>
          <w:color w:val="auto"/>
        </w:rPr>
      </w:pPr>
      <w:r>
        <w:rPr>
          <w:rFonts w:ascii="Arial" w:cs="Arial" w:eastAsia="Arial" w:hAnsi="Arial"/>
          <w:sz w:val="16"/>
          <w:szCs w:val="16"/>
          <w:color w:val="auto"/>
        </w:rPr>
        <w:t>If the foregoing correctly sets forth the understanding between the Underwriters and the Company, please so indicate in the space provided below for that purpose, whereupon this letter shall constitute a binding agreement among the Company and the several Underwriters in accordance with its terms.</w:t>
      </w:r>
    </w:p>
    <w:p>
      <w:pPr>
        <w:spacing w:after="0" w:line="14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THERAPEUTICS,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Shawn K.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343 Allerton Ave.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Shawn K. Singh,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ssingh@vistagen.com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Disclosure Law Group, a Professional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655 West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870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Jessica Sudweeks</w:t>
      </w:r>
      <w:r>
        <w:rPr>
          <w:rFonts w:ascii="Arial" w:cs="Arial" w:eastAsia="Arial" w:hAnsi="Arial"/>
          <w:sz w:val="18"/>
          <w:szCs w:val="18"/>
          <w:b w:val="1"/>
          <w:bCs w:val="1"/>
          <w:color w:val="auto"/>
        </w:rPr>
        <w:t>,</w:t>
      </w:r>
      <w:r>
        <w:rPr>
          <w:rFonts w:ascii="Arial" w:cs="Arial" w:eastAsia="Arial" w:hAnsi="Arial"/>
          <w:sz w:val="18"/>
          <w:szCs w:val="18"/>
          <w:color w:val="auto"/>
        </w:rPr>
        <w:t xml:space="preserve">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jsudweeks@disclosurelawgroup.com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Accepted on the date first above written.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 GROUP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the Representative of the several Underwriters listed on Schedule I</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Clifford Teller</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Name: Clifford Teller</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Title: Executive Managing Director &amp; Head of Investment Banking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405 Lexington Avenue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James Siegel,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jsiegel@maximgrp.com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Ellenoff Grossman &amp; Schole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1345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Barry I. Grossman,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bigrossman@egsllp.com</w:t>
      </w: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63" w:right="4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SCHEDULE I</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 OF</w:t>
      </w:r>
      <w:r>
        <w:rPr>
          <w:rFonts w:ascii="Arial" w:cs="Arial" w:eastAsia="Arial" w:hAnsi="Arial"/>
          <w:sz w:val="18"/>
          <w:szCs w:val="18"/>
          <w:color w:val="auto"/>
        </w:rPr>
        <w:t xml:space="preserve"> U</w:t>
      </w:r>
      <w:r>
        <w:rPr>
          <w:rFonts w:ascii="Arial" w:cs="Arial" w:eastAsia="Arial" w:hAnsi="Arial"/>
          <w:sz w:val="12"/>
          <w:szCs w:val="12"/>
          <w:color w:val="auto"/>
        </w:rPr>
        <w:t>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422275</wp:posOffset>
            </wp:positionV>
            <wp:extent cx="1276985" cy="3003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698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2280" w:type="dxa"/>
            <w:vAlign w:val="bottom"/>
            <w:tcBorders>
              <w:top w:val="single" w:sz="8" w:color="auto"/>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Underwriters</w:t>
            </w:r>
          </w:p>
        </w:tc>
        <w:tc>
          <w:tcPr>
            <w:tcW w:w="2480" w:type="dxa"/>
            <w:vAlign w:val="bottom"/>
            <w:tcBorders>
              <w:top w:val="single" w:sz="8" w:color="auto"/>
              <w:right w:val="single" w:sz="8" w:color="auto"/>
            </w:tcBorders>
          </w:tcPr>
          <w:p>
            <w:pPr>
              <w:jc w:val="right"/>
              <w:ind w:right="632"/>
              <w:spacing w:after="0"/>
              <w:rPr>
                <w:sz w:val="20"/>
                <w:szCs w:val="20"/>
                <w:color w:val="auto"/>
              </w:rPr>
            </w:pPr>
            <w:r>
              <w:rPr>
                <w:rFonts w:ascii="Arial" w:cs="Arial" w:eastAsia="Arial" w:hAnsi="Arial"/>
                <w:sz w:val="18"/>
                <w:szCs w:val="18"/>
                <w:color w:val="auto"/>
              </w:rPr>
              <w:t>Closing Shares</w:t>
            </w:r>
          </w:p>
        </w:tc>
        <w:tc>
          <w:tcPr>
            <w:tcW w:w="2140" w:type="dxa"/>
            <w:vAlign w:val="bottom"/>
            <w:tcBorders>
              <w:top w:val="single" w:sz="8" w:color="auto"/>
              <w:right w:val="single" w:sz="8" w:color="auto"/>
            </w:tcBorders>
          </w:tcPr>
          <w:p>
            <w:pPr>
              <w:jc w:val="right"/>
              <w:ind w:right="172"/>
              <w:spacing w:after="0"/>
              <w:rPr>
                <w:sz w:val="20"/>
                <w:szCs w:val="20"/>
                <w:color w:val="auto"/>
              </w:rPr>
            </w:pPr>
            <w:r>
              <w:rPr>
                <w:rFonts w:ascii="Arial" w:cs="Arial" w:eastAsia="Arial" w:hAnsi="Arial"/>
                <w:sz w:val="18"/>
                <w:szCs w:val="18"/>
                <w:color w:val="auto"/>
                <w:w w:val="99"/>
              </w:rPr>
              <w:t>Closing Purchase Price</w:t>
            </w:r>
          </w:p>
        </w:tc>
        <w:tc>
          <w:tcPr>
            <w:tcW w:w="2340" w:type="dxa"/>
            <w:vAlign w:val="bottom"/>
            <w:tcBorders>
              <w:top w:val="single" w:sz="8" w:color="auto"/>
            </w:tcBorders>
          </w:tcPr>
          <w:p>
            <w:pPr>
              <w:jc w:val="right"/>
              <w:ind w:right="552"/>
              <w:spacing w:after="0"/>
              <w:rPr>
                <w:sz w:val="20"/>
                <w:szCs w:val="20"/>
                <w:color w:val="auto"/>
              </w:rPr>
            </w:pPr>
            <w:r>
              <w:rPr>
                <w:rFonts w:ascii="Arial" w:cs="Arial" w:eastAsia="Arial" w:hAnsi="Arial"/>
                <w:sz w:val="18"/>
                <w:szCs w:val="18"/>
                <w:color w:val="auto"/>
              </w:rPr>
              <w:t>Options Shares</w:t>
            </w:r>
          </w:p>
        </w:tc>
        <w:tc>
          <w:tcPr>
            <w:tcW w:w="2000" w:type="dxa"/>
            <w:vAlign w:val="bottom"/>
          </w:tcPr>
          <w:p>
            <w:pPr>
              <w:jc w:val="right"/>
              <w:ind w:right="112"/>
              <w:spacing w:after="0"/>
              <w:rPr>
                <w:sz w:val="20"/>
                <w:szCs w:val="20"/>
                <w:color w:val="auto"/>
              </w:rPr>
            </w:pPr>
            <w:r>
              <w:rPr>
                <w:rFonts w:ascii="Arial" w:cs="Arial" w:eastAsia="Arial" w:hAnsi="Arial"/>
                <w:sz w:val="18"/>
                <w:szCs w:val="18"/>
                <w:color w:val="auto"/>
                <w:w w:val="95"/>
              </w:rPr>
              <w:t>Option Share Purchase</w:t>
            </w:r>
          </w:p>
        </w:tc>
      </w:tr>
      <w:tr>
        <w:trPr>
          <w:trHeight w:val="231"/>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000" w:type="dxa"/>
            <w:vAlign w:val="bottom"/>
          </w:tcPr>
          <w:p>
            <w:pPr>
              <w:jc w:val="right"/>
              <w:ind w:right="732"/>
              <w:spacing w:after="0"/>
              <w:rPr>
                <w:sz w:val="20"/>
                <w:szCs w:val="20"/>
                <w:color w:val="auto"/>
              </w:rPr>
            </w:pPr>
            <w:r>
              <w:rPr>
                <w:rFonts w:ascii="Arial" w:cs="Arial" w:eastAsia="Arial" w:hAnsi="Arial"/>
                <w:sz w:val="18"/>
                <w:szCs w:val="18"/>
                <w:color w:val="auto"/>
              </w:rPr>
              <w:t>Price</w:t>
            </w:r>
          </w:p>
        </w:tc>
      </w:tr>
      <w:tr>
        <w:trPr>
          <w:trHeight w:val="223"/>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Maxim Group LLC</w:t>
            </w:r>
          </w:p>
        </w:tc>
        <w:tc>
          <w:tcPr>
            <w:tcW w:w="2480" w:type="dxa"/>
            <w:vAlign w:val="bottom"/>
            <w:tcBorders>
              <w:bottom w:val="single" w:sz="8" w:color="auto"/>
              <w:right w:val="single" w:sz="8" w:color="auto"/>
            </w:tcBorders>
          </w:tcPr>
          <w:p>
            <w:pPr>
              <w:jc w:val="right"/>
              <w:ind w:right="1612"/>
              <w:spacing w:after="0"/>
              <w:rPr>
                <w:sz w:val="20"/>
                <w:szCs w:val="20"/>
                <w:color w:val="auto"/>
              </w:rPr>
            </w:pPr>
            <w:r>
              <w:rPr>
                <w:rFonts w:ascii="Arial" w:cs="Arial" w:eastAsia="Arial" w:hAnsi="Arial"/>
                <w:sz w:val="18"/>
                <w:szCs w:val="18"/>
                <w:color w:val="auto"/>
                <w:w w:val="84"/>
              </w:rPr>
              <w:t>15,625,000</w:t>
            </w:r>
          </w:p>
        </w:tc>
        <w:tc>
          <w:tcPr>
            <w:tcW w:w="2140" w:type="dxa"/>
            <w:vAlign w:val="bottom"/>
            <w:tcBorders>
              <w:bottom w:val="single" w:sz="8" w:color="auto"/>
              <w:right w:val="single" w:sz="8" w:color="auto"/>
            </w:tcBorders>
          </w:tcPr>
          <w:p>
            <w:pPr>
              <w:jc w:val="right"/>
              <w:ind w:right="1172"/>
              <w:spacing w:after="0"/>
              <w:rPr>
                <w:sz w:val="20"/>
                <w:szCs w:val="20"/>
                <w:color w:val="auto"/>
              </w:rPr>
            </w:pPr>
            <w:r>
              <w:rPr>
                <w:rFonts w:ascii="Arial" w:cs="Arial" w:eastAsia="Arial" w:hAnsi="Arial"/>
                <w:sz w:val="18"/>
                <w:szCs w:val="18"/>
                <w:color w:val="auto"/>
                <w:w w:val="85"/>
              </w:rPr>
              <w:t>$12,500,000</w:t>
            </w:r>
          </w:p>
        </w:tc>
        <w:tc>
          <w:tcPr>
            <w:tcW w:w="2340" w:type="dxa"/>
            <w:vAlign w:val="bottom"/>
            <w:tcBorders>
              <w:bottom w:val="single" w:sz="8" w:color="auto"/>
              <w:right w:val="single" w:sz="8" w:color="auto"/>
            </w:tcBorders>
          </w:tcPr>
          <w:p>
            <w:pPr>
              <w:jc w:val="right"/>
              <w:ind w:right="1552"/>
              <w:spacing w:after="0"/>
              <w:rPr>
                <w:sz w:val="20"/>
                <w:szCs w:val="20"/>
                <w:color w:val="auto"/>
              </w:rPr>
            </w:pPr>
            <w:r>
              <w:rPr>
                <w:rFonts w:ascii="Arial" w:cs="Arial" w:eastAsia="Arial" w:hAnsi="Arial"/>
                <w:sz w:val="18"/>
                <w:szCs w:val="18"/>
                <w:color w:val="auto"/>
                <w:w w:val="84"/>
              </w:rPr>
              <w:t>2,343,750</w:t>
            </w:r>
          </w:p>
        </w:tc>
        <w:tc>
          <w:tcPr>
            <w:tcW w:w="2000" w:type="dxa"/>
            <w:vAlign w:val="bottom"/>
            <w:tcBorders>
              <w:bottom w:val="single" w:sz="8" w:color="auto"/>
              <w:right w:val="single" w:sz="8" w:color="auto"/>
            </w:tcBorders>
          </w:tcPr>
          <w:p>
            <w:pPr>
              <w:jc w:val="right"/>
              <w:ind w:right="1132"/>
              <w:spacing w:after="0"/>
              <w:rPr>
                <w:sz w:val="20"/>
                <w:szCs w:val="20"/>
                <w:color w:val="auto"/>
              </w:rPr>
            </w:pPr>
            <w:r>
              <w:rPr>
                <w:rFonts w:ascii="Arial" w:cs="Arial" w:eastAsia="Arial" w:hAnsi="Arial"/>
                <w:sz w:val="18"/>
                <w:szCs w:val="18"/>
                <w:color w:val="auto"/>
                <w:w w:val="84"/>
              </w:rPr>
              <w:t>$1,875,000</w:t>
            </w:r>
          </w:p>
        </w:tc>
      </w:tr>
      <w:tr>
        <w:trPr>
          <w:trHeight w:val="223"/>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480" w:type="dxa"/>
            <w:vAlign w:val="bottom"/>
            <w:tcBorders>
              <w:bottom w:val="single" w:sz="8" w:color="auto"/>
              <w:right w:val="single" w:sz="8" w:color="auto"/>
            </w:tcBorders>
          </w:tcPr>
          <w:p>
            <w:pPr>
              <w:jc w:val="right"/>
              <w:ind w:right="1612"/>
              <w:spacing w:after="0"/>
              <w:rPr>
                <w:sz w:val="20"/>
                <w:szCs w:val="20"/>
                <w:color w:val="auto"/>
              </w:rPr>
            </w:pPr>
            <w:r>
              <w:rPr>
                <w:rFonts w:ascii="Arial" w:cs="Arial" w:eastAsia="Arial" w:hAnsi="Arial"/>
                <w:sz w:val="18"/>
                <w:szCs w:val="18"/>
                <w:color w:val="auto"/>
                <w:w w:val="84"/>
              </w:rPr>
              <w:t>15,625,000</w:t>
            </w:r>
          </w:p>
        </w:tc>
        <w:tc>
          <w:tcPr>
            <w:tcW w:w="2140" w:type="dxa"/>
            <w:vAlign w:val="bottom"/>
            <w:tcBorders>
              <w:bottom w:val="single" w:sz="8" w:color="auto"/>
              <w:right w:val="single" w:sz="8" w:color="auto"/>
            </w:tcBorders>
          </w:tcPr>
          <w:p>
            <w:pPr>
              <w:jc w:val="right"/>
              <w:ind w:right="1172"/>
              <w:spacing w:after="0"/>
              <w:rPr>
                <w:sz w:val="20"/>
                <w:szCs w:val="20"/>
                <w:color w:val="auto"/>
              </w:rPr>
            </w:pPr>
            <w:r>
              <w:rPr>
                <w:rFonts w:ascii="Arial" w:cs="Arial" w:eastAsia="Arial" w:hAnsi="Arial"/>
                <w:sz w:val="18"/>
                <w:szCs w:val="18"/>
                <w:color w:val="auto"/>
                <w:w w:val="85"/>
              </w:rPr>
              <w:t>$12,500,000</w:t>
            </w:r>
          </w:p>
        </w:tc>
        <w:tc>
          <w:tcPr>
            <w:tcW w:w="2340" w:type="dxa"/>
            <w:vAlign w:val="bottom"/>
            <w:tcBorders>
              <w:bottom w:val="single" w:sz="8" w:color="auto"/>
              <w:right w:val="single" w:sz="8" w:color="auto"/>
            </w:tcBorders>
          </w:tcPr>
          <w:p>
            <w:pPr>
              <w:jc w:val="right"/>
              <w:ind w:right="1552"/>
              <w:spacing w:after="0"/>
              <w:rPr>
                <w:sz w:val="20"/>
                <w:szCs w:val="20"/>
                <w:color w:val="auto"/>
              </w:rPr>
            </w:pPr>
            <w:r>
              <w:rPr>
                <w:rFonts w:ascii="Arial" w:cs="Arial" w:eastAsia="Arial" w:hAnsi="Arial"/>
                <w:sz w:val="18"/>
                <w:szCs w:val="18"/>
                <w:color w:val="auto"/>
                <w:w w:val="84"/>
              </w:rPr>
              <w:t>2,343,750</w:t>
            </w:r>
          </w:p>
        </w:tc>
        <w:tc>
          <w:tcPr>
            <w:tcW w:w="2000" w:type="dxa"/>
            <w:vAlign w:val="bottom"/>
            <w:tcBorders>
              <w:bottom w:val="single" w:sz="8" w:color="auto"/>
              <w:right w:val="single" w:sz="8" w:color="auto"/>
            </w:tcBorders>
          </w:tcPr>
          <w:p>
            <w:pPr>
              <w:jc w:val="right"/>
              <w:ind w:right="1132"/>
              <w:spacing w:after="0"/>
              <w:rPr>
                <w:sz w:val="20"/>
                <w:szCs w:val="20"/>
                <w:color w:val="auto"/>
              </w:rPr>
            </w:pPr>
            <w:r>
              <w:rPr>
                <w:rFonts w:ascii="Arial" w:cs="Arial" w:eastAsia="Arial" w:hAnsi="Arial"/>
                <w:sz w:val="18"/>
                <w:szCs w:val="18"/>
                <w:color w:val="auto"/>
                <w:w w:val="84"/>
              </w:rPr>
              <w:t>$1,875,000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151765</wp:posOffset>
            </wp:positionV>
            <wp:extent cx="1619885" cy="13455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1988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August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94090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You have requested our opinion, as counsel to VistaGen Therapeutics, Inc., a Nevada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with respect to certain matters in connection with the offering by the Company of 17,968,750 shares of its common stock, par value $0.001 (the “</w:t>
      </w:r>
      <w:r>
        <w:rPr>
          <w:rFonts w:ascii="Arial" w:cs="Arial" w:eastAsia="Arial" w:hAnsi="Arial"/>
          <w:sz w:val="16"/>
          <w:szCs w:val="16"/>
          <w:i w:val="1"/>
          <w:iCs w:val="1"/>
          <w:color w:val="auto"/>
        </w:rPr>
        <w:t>Shares</w:t>
      </w:r>
      <w:r>
        <w:rPr>
          <w:rFonts w:ascii="Arial" w:cs="Arial" w:eastAsia="Arial" w:hAnsi="Arial"/>
          <w:sz w:val="16"/>
          <w:szCs w:val="16"/>
          <w:color w:val="auto"/>
        </w:rPr>
        <w:t>”), including up to 2,343,750 Shares that may be sold pursuant to the exercise of an option to purchase additional shares, each pursuant to the Registration Statement on Form S-3 (No. 333-234025)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 filed with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under the Securities Act of 1933 (the “</w:t>
      </w:r>
      <w:r>
        <w:rPr>
          <w:rFonts w:ascii="Arial" w:cs="Arial" w:eastAsia="Arial" w:hAnsi="Arial"/>
          <w:sz w:val="16"/>
          <w:szCs w:val="16"/>
          <w:i w:val="1"/>
          <w:iCs w:val="1"/>
          <w:color w:val="auto"/>
        </w:rPr>
        <w:t>Act</w:t>
      </w:r>
      <w:r>
        <w:rPr>
          <w:rFonts w:ascii="Arial" w:cs="Arial" w:eastAsia="Arial" w:hAnsi="Arial"/>
          <w:sz w:val="16"/>
          <w:szCs w:val="16"/>
          <w:color w:val="auto"/>
        </w:rPr>
        <w:t>”), the prospectus included within the Registration Statement declared effective October 7, 2019 (the “</w:t>
      </w:r>
      <w:r>
        <w:rPr>
          <w:rFonts w:ascii="Arial" w:cs="Arial" w:eastAsia="Arial" w:hAnsi="Arial"/>
          <w:sz w:val="16"/>
          <w:szCs w:val="16"/>
          <w:i w:val="1"/>
          <w:iCs w:val="1"/>
          <w:color w:val="auto"/>
        </w:rPr>
        <w:t>Base Prospectus</w:t>
      </w:r>
      <w:r>
        <w:rPr>
          <w:rFonts w:ascii="Arial" w:cs="Arial" w:eastAsia="Arial" w:hAnsi="Arial"/>
          <w:sz w:val="16"/>
          <w:szCs w:val="16"/>
          <w:color w:val="auto"/>
        </w:rPr>
        <w:t>”) and the prospectus supplement dated August 4, 2020 filed with the Commission pursuant to Rule 424(b) of the Rules and Regulations of the Act (the “</w:t>
      </w:r>
      <w:r>
        <w:rPr>
          <w:rFonts w:ascii="Arial" w:cs="Arial" w:eastAsia="Arial" w:hAnsi="Arial"/>
          <w:sz w:val="16"/>
          <w:szCs w:val="16"/>
          <w:i w:val="1"/>
          <w:iCs w:val="1"/>
          <w:color w:val="auto"/>
        </w:rPr>
        <w:t>Prospectus Supplement</w:t>
      </w:r>
      <w:r>
        <w:rPr>
          <w:rFonts w:ascii="Arial" w:cs="Arial" w:eastAsia="Arial" w:hAnsi="Arial"/>
          <w:sz w:val="16"/>
          <w:szCs w:val="16"/>
          <w:color w:val="auto"/>
        </w:rPr>
        <w:t>”) (the Base Prospectus and Prospectus Supplement are collectively referred to as the “</w:t>
      </w:r>
      <w:r>
        <w:rPr>
          <w:rFonts w:ascii="Arial" w:cs="Arial" w:eastAsia="Arial" w:hAnsi="Arial"/>
          <w:sz w:val="16"/>
          <w:szCs w:val="16"/>
          <w:i w:val="1"/>
          <w:iCs w:val="1"/>
          <w:color w:val="auto"/>
        </w:rPr>
        <w:t>Prospectus</w:t>
      </w:r>
      <w:r>
        <w:rPr>
          <w:rFonts w:ascii="Arial" w:cs="Arial" w:eastAsia="Arial" w:hAnsi="Arial"/>
          <w:sz w:val="16"/>
          <w:szCs w:val="16"/>
          <w:color w:val="auto"/>
        </w:rPr>
        <w:t>”). The Shares are to be sold by the Company as described in the Registration Statement and the Prospectus.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examined and relied upon the Registration Statement and the Prospectus, the Company’s Amended and Restated Certificate of Incorporation, as amended, and Bylaws, as currently in effect, and the originals or copies certified to our satisfaction of such records, documents, certificates, memoranda and other instruments as we have deemed relevant in connection with this opinion. We have assumed the genuineness and authenticity of all documents submitted to us as originals, the conformity to originals of all documents submitted to us as copies, and the accuracy, completeness and authenticity of certificates of public officials.</w:t>
      </w:r>
    </w:p>
    <w:p>
      <w:pPr>
        <w:spacing w:after="0" w:line="20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opinions set forth in this letter are limited to the Nevada Revised States and the law of the State of California, in each case as in effect on the date hereof. We are not rendering any opinion as to compliance with any federal or state antifraud law, rule or regulation relating to securities or to the sale or issuance thereof. On the basis of the foregoing, and in reliance thereon, and subject to the qualifications herein stated, we are of the opinion that the Shares have been duly authorized by all necessary corporate action on the part of the Company and when sold, issued and delivered against payment therefor as described in the Registration Statement and the Prospectus, will be validly issued, fully paid and non-assessable.</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consent to the reference to our firm under the caption “</w:t>
      </w:r>
      <w:r>
        <w:rPr>
          <w:rFonts w:ascii="Arial" w:cs="Arial" w:eastAsia="Arial" w:hAnsi="Arial"/>
          <w:sz w:val="18"/>
          <w:szCs w:val="18"/>
          <w:i w:val="1"/>
          <w:iCs w:val="1"/>
          <w:color w:val="auto"/>
        </w:rPr>
        <w:t>Legal Matters</w:t>
      </w:r>
      <w:r>
        <w:rPr>
          <w:rFonts w:ascii="Arial" w:cs="Arial" w:eastAsia="Arial" w:hAnsi="Arial"/>
          <w:sz w:val="18"/>
          <w:szCs w:val="18"/>
          <w:color w:val="auto"/>
        </w:rPr>
        <w:t>” in the Prospectus and to the filing of this opinion as an exhibit to a Current Report on Form 8-K to be filed with the Commission for incorporation by reference into the Registration Statement. In giving this consent, we do not admit that we are “experts” within the meaning of Section 11 of the Act or within the category of persons whose consent is required by Section 7 of the Securities Act.</w:t>
      </w:r>
    </w:p>
    <w:p>
      <w:pPr>
        <w:spacing w:after="0" w:line="19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1960"/>
        <w:spacing w:after="0"/>
        <w:rPr>
          <w:sz w:val="20"/>
          <w:szCs w:val="20"/>
          <w:color w:val="auto"/>
        </w:rPr>
      </w:pPr>
      <w:r>
        <w:rPr>
          <w:rFonts w:ascii="Arial" w:cs="Arial" w:eastAsia="Arial" w:hAnsi="Arial"/>
          <w:sz w:val="18"/>
          <w:szCs w:val="18"/>
          <w:u w:val="single" w:color="auto"/>
          <w:color w:val="auto"/>
        </w:rPr>
        <w:t>/s/ Disclosure Law Group</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Disclosure Law Group, a 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ind w:left="10340"/>
        <w:spacing w:after="0"/>
        <w:rPr>
          <w:sz w:val="20"/>
          <w:szCs w:val="20"/>
          <w:color w:val="auto"/>
        </w:rPr>
      </w:pPr>
      <w:r>
        <w:rPr>
          <w:rFonts w:ascii="Arial" w:cs="Arial" w:eastAsia="Arial" w:hAnsi="Arial"/>
          <w:sz w:val="16"/>
          <w:szCs w:val="16"/>
          <w:b w:val="1"/>
          <w:bCs w:val="1"/>
          <w:color w:val="auto"/>
        </w:rPr>
        <w:t>Exhibit 99.1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Therapeutics Announces Pricing of $12.5 Million Underwritten Public Offering of Common Stock</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SOUTH SAN FRANCISCO, Calif., August 2, 2020 -- (BUSINESS WIRE)—VistaGen Therapeutics, Inc. (Nasdaq: VTGN), a biopharmaceutical company developing new generation medicines for anxiety, depression and other central nervous system (CNS) disorders, today announced the pricing of its underwritten public offering of 15,625,000 shares of its common stock at a public offering price of $0.80 per share. Gross proceeds from the offering, before underwriting discounts and commissions and estimated offering expenses, are expected to be $12.5 million. In addition, VistaGen has granted the underwriter a 45-day option to purchase up to an additional 2,343,750 shares of common stock at the per share public offering price, less discounts and commissions.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VistaGen currently intends to use the net proceeds from the offering for the continued development of its CNS pipeline programs, and for general research and development, working capital and general corporate purposes.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Maxim Group LLC is acting as sole book-running manager for the offering.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public offering is being made pursuant to an effective shelf registration statement on Form S-3 (File No. 333-234025), previously filed with the U.S. Securities and Exchange Commission (SEC) on September 30, 2019 and declared effective on October 7, 2019. The securities may be offered only by means of a prospectus. A preliminary prospectus supplement describing the terms of the public offering has been filed with the SEC. A final prospectus supplement will be filed with the SEC and will form a part of the effective registration statement. Copies of the final prospectus supplement and accompanying prospectus relating to the public offering may be obtained, when available, by contacting Maxim Group LLC, at 405 Lexington Avenue, 2nd Floor, New York, NY 10174, Attention: Prospectus Department, or by telephone at (212) 895-3745 or by email at syndicate@maximgrp.com.</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press release shall not constitute an offer to sell or the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 Therapeutics, Inc.</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VistaGen Therapeutics, Inc. (“VistaGen”) is a clinical-stage biopharmaceutical company developing new generation medicines for anxiety, depression and certain CNS diseases and disorders where current treatments are believed by VistaGen to be inadequate, resulting in high unmet need. Each of VistaGen's three drug candidates has a differentiated mechanism of action, an exceptional safety profile in all clinical studies to date, and therapeutic potential in multiple CNS markets. For more information, please visit www.vistagen.com and connect with VistaGen on Twitter, LinkedIn and Facebook.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Certain of the statements made in this press release are forward-looking, such as those, among others, relating to our expectations regarding the completion of the proposed public offering. Actual results or developments may differ materially from those projected or implied in these forward-looking statements. Factors that may cause such a difference include, without limitation, risks and uncertainties related to whether or not we will be able to raise capital through the sale of shares of common stock, the final terms of the proposed public offering, market and other conditions, the satisfaction of customary closing conditions related to the proposed public offering and the impact of general economic, industry or political conditions in the United States or internationally. There can be no assurance that we will be able to complete the proposed public offering on the anticipated terms, or at all. We will need to raise additional capital to fund our operations and may be unable to raise capital when needed, which would force us to delay, reduce or eliminate our product development programs or commercialization efforts. You should not place undue reliance on these forward-looking statements, which apply only as of the date of this press release. Certain other risks are more fully discussed in the section entitled "Risk Factors" in the preliminary prospectus supplement and the final prospectus supplement relating to the public offering, our most recent annual report on Form 10-K, as well as discussions of potential risks, uncertainties, and other important factors in our other filings with the SEC. Our SEC filings are available on the SEC's website at www.sec.gov.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IR@vistagen.com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99.2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Therapeutics Announces Closing of $12.5 Million Underwritten Public Offering</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SOUTH SAN FRANCISCO, Calif., August 5, 2020 -- (BUSINESS WIRE) -- VistaGen Therapeutics, Inc. (Nasdaq: VTGN), a biopharmaceutical company developing new generation medicines for anxiety, depression and other central nervous system (CNS) disorders, today announced the closing of its previously announced underwritten public offering of 15,625,000 shares of its common stock at a public offering price of $0.80 per share. Gross proceeds from the offering were $12.5 million, before underwriting discounts and commissions and estimated offering expenses. In addition, VistaGen granted the underwriter a 45-day option to purchase up to an additional 2,343,750 shares of common stock at the per share public offering price, less discounts and commissions.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VistaGen currently intends to use the net proceeds from the offering for the continued development of its CNS pipeline programs, general research and development, working capital and general corporate purposes.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Maxim Group LLC acted as sole book-running manager for the offering.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securities described above were offered by VistaGen pursuant to an effective shelf registration statement on Form S-3 (File No. 333-234025), previously filed with the U.S. Securities and Exchange Commission (SEC) on September 30, 2019 and declared effective on October 7, 2019. The securities were offered by means of a prospectus supplement and accompanying prospectus, forming part of the registration statement. The prospectus supplement and accompanying prospectus relating to this public offering have been filed with the SEC. Copies of the final prospectus supplement and accompanying prospectus relating to the public offering may be obtained by contacting Maxim Group LLC, at 405 Lexington Avenue, 2nd Floor, New York, NY 10174, Attention: Prospectus Department, by telephone at (212) 895-3745, or by email at syndicate@maximgrp.com.</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press release shall not constitute an offer to sell or the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 Therapeutics, Inc.</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VistaGen Therapeutics, Inc. is a clinical-stage biopharmaceutical company developing new generation medicines for anxiety, depression and certain CNS diseases and disorders where current treatments are believed by VistaGen to be inadequate, resulting in high unmet need. Each of VistaGen's three drug candidates has a differentiated mechanism of action, an exceptional safety profile in all clinical studies to date, and therapeutic potential in multiple CNS markets. For more information, please visit www.vistagen.com and connect with VistaGen on Twitter, LinkedIn and Facebook.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Certain of the statements made in this press release are forward-looking, such as those, among others, relating to our expectations regarding the underwriters’ potential exercise of their 45-day option to purchase up to an additional 2,343,750 shares of our common stock at the per share public offering price, less discounts and commissions (the “Over-allotment Option”). Actual results or developments may differ materially from those projected or implied in these forward-looking statements. Factors that may cause such a difference include, without limitation, risks and uncertainties related to whether or not we will be able to raise capital through the sale of additional shares of common stock to the underwriters pursuant to the Over-allotment Option, market and other conditions, and the impact of general economic, industry or political conditions in the United States or internationally. Therefore, there can be no assurance that the underwriters will exercise the Over-allotment Option. We will need to raise additional capital to fund our operations and may be unable to raise capital when needed, which would force us to delay, reduce or eliminate our product development programs or commercialization efforts. You should not place undue reliance on these forward-looking statements, which apply only as of the date of this press release. Certain other risks are more fully discussed in the section entitled "Risk Factors" in the final prospectus supplement and accompanying prospectus relating to the public offering, our most recent annual report on Form 10-K, as well as discussions of potential risks, uncertainties, and other important factors in our other filings with the SEC. Our SEC filings are available on the SEC's website at www.sec.gov.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IR@vistagen.com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294130" cy="8312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9413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340" w:right="60"/>
        <w:spacing w:after="0" w:line="275" w:lineRule="auto"/>
        <w:rPr>
          <w:sz w:val="20"/>
          <w:szCs w:val="20"/>
          <w:color w:val="auto"/>
        </w:rPr>
      </w:pPr>
      <w:r>
        <w:rPr>
          <w:rFonts w:ascii="Arial" w:cs="Arial" w:eastAsia="Arial" w:hAnsi="Arial"/>
          <w:sz w:val="18"/>
          <w:szCs w:val="18"/>
          <w:b w:val="1"/>
          <w:bCs w:val="1"/>
          <w:color w:val="auto"/>
        </w:rPr>
        <w:t>VistaGen Therapeutics Announces Receipt of $5 Million Non-Dilutive Upfront License Payment from EverInsight Therapeutics for PH94B Strategic Collaboration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intended to support Phase 3 development and commercialization of PH94B for anxiety-related disorders in key Asian markets</w:t>
      </w:r>
    </w:p>
    <w:p>
      <w:pPr>
        <w:spacing w:after="0" w:line="21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color w:val="auto"/>
        </w:rPr>
        <w:t xml:space="preserve">SOUTH SAN FRANCISCO, Calif. and Shanghai, China, August 4, 2020 </w:t>
      </w:r>
      <w:r>
        <w:rPr>
          <w:rFonts w:ascii="Arial" w:cs="Arial" w:eastAsia="Arial" w:hAnsi="Arial"/>
          <w:sz w:val="16"/>
          <w:szCs w:val="16"/>
          <w:color w:val="auto"/>
        </w:rPr>
        <w:t>– VistaGen Therapeutics (NASDAQ: VTGN), a clinical-stage biopharmaceutical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developing new generation medicines for anxiety, depression and other central nervous system (CNS) disorders, today announced receipt of a $5 million non-dilutive upfront license payment from EverInsight Therapeutics Inc., the Company’s strategic partner focusing on development and commercialization of PH94B for treatment of anxiety-related disorders in multiple key markets in Asia.</w:t>
      </w:r>
    </w:p>
    <w:p>
      <w:pPr>
        <w:spacing w:after="0" w:line="16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Previously, VistaGen and EverInsight announced that EverInsight is responsible for clinical development, regulatory submissions and commercialization of PH94B, VistaGen’s investigational rapid-onset neuroactive nasal spray, initially for acute treatment of anxiety in adults with social anxiety disorder, in Greater China (Mainland China, Hong Kong, Macau and Taiwan), South Korea and Southeast Asia (Indonesia, Malaysia, Philippines, Thailand and Vietnam). VistaGen is eligible to receive potential milestone payments, in addition to tiered royalties on commercial sales, upon achievement of certain development and commercialization milestones.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VistaGen Therapeutics is a clinical-stage biopharmaceutical company developing new generation medicines for anxiety, depression and certain CNS diseases and disorders where current treatments are believed by VistaGen to be inadequate, resulting in high unmet need. Each of VistaGen’s three drug candidates has a differentiated mechanism of action, an exceptional safety profile, and therapeutic potential in multiple CNS markets. For more information, please visit </w:t>
      </w:r>
      <w:r>
        <w:rPr>
          <w:rFonts w:ascii="Arial" w:cs="Arial" w:eastAsia="Arial" w:hAnsi="Arial"/>
          <w:sz w:val="18"/>
          <w:szCs w:val="18"/>
          <w:u w:val="single" w:color="auto"/>
          <w:color w:val="auto"/>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Facebook</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EverInsight Therapeutics</w:t>
      </w:r>
    </w:p>
    <w:p>
      <w:pPr>
        <w:spacing w:after="0" w:line="21" w:lineRule="exact"/>
        <w:rPr>
          <w:sz w:val="20"/>
          <w:szCs w:val="20"/>
          <w:color w:val="auto"/>
        </w:rPr>
      </w:pPr>
    </w:p>
    <w:p>
      <w:pPr>
        <w:ind w:right="140"/>
        <w:spacing w:after="0" w:line="320" w:lineRule="auto"/>
        <w:rPr>
          <w:sz w:val="20"/>
          <w:szCs w:val="20"/>
          <w:color w:val="auto"/>
        </w:rPr>
      </w:pPr>
      <w:r>
        <w:rPr>
          <w:rFonts w:ascii="Arial" w:cs="Arial" w:eastAsia="Arial" w:hAnsi="Arial"/>
          <w:sz w:val="15"/>
          <w:szCs w:val="15"/>
          <w:color w:val="auto"/>
        </w:rPr>
        <w:t>EverInsight Therapeutics Inc. is a biopharmaceutical company focused on developing and commercializing transformative pharmaceutical products that address critical unmet medical needs in CNS and ophthalmology for patients in Greater China and other Asian markets. The management team of EverInsight Therapeutics has deep expertise and an extensive track record of high-quality clinical development, regulatory affairs, CMC, business development and operations both in China and with leading global pharmaceutical companies. EverInsight Therapeutics is currently funded by the CBC Group.</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CBC Group</w:t>
      </w:r>
    </w:p>
    <w:p>
      <w:pPr>
        <w:spacing w:after="0" w:line="2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CBC Group (formerly C-Bridge Capital) is one of the largest and most active healthcare-dedicated investment firms in Asia focused on platform-building and buyout opportunities across three core areas within the healthcare sector: pharmaceutical &amp; biotech, medtech and healthcare services. CBC’s operationally intensive approach empowers healthcare sector champions to make transformative changes to enable sustainable long-term growth, fulfill unmet medical needs and continuously improve the standard of living and quality of care in China and the rest of Asia. Founded in 2014, CBC has a strong team of investment, healthcare and portfolio management professionals based across Singapore, Shanghai, Beijing, Hong Kong and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About PH94B</w:t>
      </w:r>
    </w:p>
    <w:p>
      <w:pPr>
        <w:spacing w:after="0" w:line="21"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PH94B is a rapid-onset (within approximately 15 minutes) synthetic neurosteroid nasal spray with therapeutic potential across a broad range of anxiety-related disorders. Easily self-administered in microgram-level doses, PH94B does not require systemic uptake and distribution to produce its rapid-onset anti-anxiety effects.</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VistaGen is preparing for Phase 3 clinical development of PH94B as a potential new generation fast-acting, non-sedating, non-addictive acute treatment of anxiety in adults with social anxiety disorder (SAD). The FDA has granted Fast Track designation for development of PH94B for this indication, the first such designation by the FDA for a drug candidate for SAD.</w:t>
      </w:r>
    </w:p>
    <w:p>
      <w:pPr>
        <w:spacing w:after="0" w:line="194" w:lineRule="exact"/>
        <w:rPr>
          <w:sz w:val="20"/>
          <w:szCs w:val="20"/>
          <w:color w:val="auto"/>
        </w:rPr>
      </w:pPr>
    </w:p>
    <w:p>
      <w:pPr>
        <w:ind w:right="740"/>
        <w:spacing w:after="0" w:line="331" w:lineRule="auto"/>
        <w:rPr>
          <w:sz w:val="20"/>
          <w:szCs w:val="20"/>
          <w:color w:val="auto"/>
        </w:rPr>
      </w:pPr>
      <w:r>
        <w:rPr>
          <w:rFonts w:ascii="Arial" w:cs="Arial" w:eastAsia="Arial" w:hAnsi="Arial"/>
          <w:sz w:val="16"/>
          <w:szCs w:val="16"/>
          <w:color w:val="auto"/>
        </w:rPr>
        <w:t>With its rapid-onset pharmacology, lack of systemic exposure and excellent safety profile in earlier studies, PH94B has potential as a novel treatment for multiple anxiety-related disorders. VistaGen is also preparing for Phase 2A development of PH94B for adjustment disorder.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Various statements in this release are "forward-looking statements" concerning VistaGen's future expectations, plans and prospects, including the potential for successful Phase 3 development and commercialization of PH94B. These forward-looking statements are neither promises nor guarantees of future performance, and are subject to a variety of risks and uncertainties which could cause actual results to differ materially from those contemplated in these forward-looking statements, including the risks that: development and approval of PH94B may not be achieved in any market; the FDA may decide that the results of the Company's PH94B Phase 3 development program, including EverInsight’s contributions to the Company’s Phase 3 development program, are not sufficient for regulatory approval for acute treatment of anxiety in adult patients with SAD or any other anxiety-related disorder in any market; development of PH94B may not be successful in any indication; success in nonclinical studies or in earlier-stage clinical trials may not be repeated or observed in future studies which may not support further development or be sufficient to gain regulatory approval to market PH94B in any jurisdiction; adverse events may be encountered at any stage of development that negatively impact further development. Other risks and uncertainties include, but are not limited to, issues related to: adverse healthcare reforms and changes of laws and regulations; general industry and market conditions; manufacturing and marketing risks, which may include, but are not limited to, unavailability of or delays in delivery of raw materials for manufacture of PH94B; inadequate and/or untimely supply of PH94B to meet clinical development or commercial demand; entry of competitive products; and other technical and unexpected hurdles in the development, manufacture and commercialization of PH94B, as well as those risks more fully discussed in the section entitled "Risk Factors" in VistaGen's most recent Annual Report on Form 10-K for the year ended March 31, 2020, as well as discussions of potential risks, uncertainties, and other important factors in either company's other filings with the Securities and Exchange Commission. In addition, any forward-looking statements represent the Company's views only as of today and should not be relied upon as representing its views as of any subsequent date. The Company explicitly disclaims any obligation to update any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55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lowerLetter"/>
      <w:start w:val="1"/>
    </w:lvl>
  </w:abstractNum>
  <w:abstractNum w:abstractNumId="2">
    <w:nsid w:val="3F2DBA31"/>
    <w:multiLevelType w:val="hybridMultilevel"/>
    <w:lvl w:ilvl="0">
      <w:lvlJc w:val="left"/>
      <w:lvlText w:val="(%1)"/>
      <w:numFmt w:val="lowerLetter"/>
      <w:start w:val="1"/>
    </w:lvl>
  </w:abstractNum>
  <w:abstractNum w:abstractNumId="3">
    <w:nsid w:val="7C83E458"/>
    <w:multiLevelType w:val="hybridMultilevel"/>
    <w:lvl w:ilvl="0">
      <w:lvlJc w:val="left"/>
      <w:lvlText w:val="(%1)"/>
      <w:numFmt w:val="lowerRoman"/>
      <w:start w:val="1"/>
    </w:lvl>
  </w:abstractNum>
  <w:abstractNum w:abstractNumId="4">
    <w:nsid w:val="257130A3"/>
    <w:multiLevelType w:val="hybridMultilevel"/>
    <w:lvl w:ilvl="0">
      <w:lvlJc w:val="left"/>
      <w:lvlText w:val="(%1)"/>
      <w:numFmt w:val="lowerRoman"/>
      <w:start w:val="3"/>
    </w:lvl>
  </w:abstractNum>
  <w:abstractNum w:abstractNumId="5">
    <w:nsid w:val="62BBD95A"/>
    <w:multiLevelType w:val="hybridMultilevel"/>
    <w:lvl w:ilvl="0">
      <w:lvlJc w:val="left"/>
      <w:lvlText w:val="(%1)"/>
      <w:numFmt w:val="lowerRoman"/>
      <w:start w:val="1"/>
    </w:lvl>
  </w:abstractNum>
  <w:abstractNum w:abstractNumId="6">
    <w:nsid w:val="436C6125"/>
    <w:multiLevelType w:val="hybridMultilevel"/>
    <w:lvl w:ilvl="0">
      <w:lvlJc w:val="left"/>
      <w:lvlText w:val="(%1)"/>
      <w:numFmt w:val="lowerRoman"/>
      <w:start w:val="5"/>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1)"/>
      <w:numFmt w:val="lowerLetter"/>
      <w:start w:val="2"/>
    </w:lvl>
  </w:abstractNum>
  <w:abstractNum w:abstractNumId="9">
    <w:nsid w:val="721DA317"/>
    <w:multiLevelType w:val="hybridMultilevel"/>
    <w:lvl w:ilvl="0">
      <w:lvlJc w:val="left"/>
      <w:lvlText w:val="(%1)"/>
      <w:numFmt w:val="lowerLetter"/>
      <w:start w:val="5"/>
    </w:lvl>
  </w:abstractNum>
  <w:abstractNum w:abstractNumId="10">
    <w:nsid w:val="2443A858"/>
    <w:multiLevelType w:val="hybridMultilevel"/>
    <w:lvl w:ilvl="0">
      <w:lvlJc w:val="left"/>
      <w:lvlText w:val="(%1)"/>
      <w:numFmt w:val="lowerLetter"/>
      <w:start w:val="8"/>
    </w:lvl>
  </w:abstractNum>
  <w:abstractNum w:abstractNumId="11">
    <w:nsid w:val="2D1D5AE9"/>
    <w:multiLevelType w:val="hybridMultilevel"/>
    <w:lvl w:ilvl="0">
      <w:lvlJc w:val="left"/>
      <w:lvlText w:val="(%1)"/>
      <w:numFmt w:val="lowerLetter"/>
      <w:start w:val="10"/>
    </w:lvl>
  </w:abstractNum>
  <w:abstractNum w:abstractNumId="12">
    <w:nsid w:val="6763845E"/>
    <w:multiLevelType w:val="hybridMultilevel"/>
    <w:lvl w:ilvl="0">
      <w:lvlJc w:val="left"/>
      <w:lvlText w:val="(%1)"/>
      <w:numFmt w:val="lowerLetter"/>
      <w:start w:val="11"/>
    </w:lvl>
  </w:abstractNum>
  <w:abstractNum w:abstractNumId="13">
    <w:nsid w:val="75A2A8D4"/>
    <w:multiLevelType w:val="hybridMultilevel"/>
    <w:lvl w:ilvl="0">
      <w:lvlJc w:val="left"/>
      <w:lvlText w:val="(%1)"/>
      <w:numFmt w:val="lowerLetter"/>
      <w:start w:val="14"/>
    </w:lvl>
  </w:abstractNum>
  <w:abstractNum w:abstractNumId="14">
    <w:nsid w:val="8EDBDAB"/>
    <w:multiLevelType w:val="hybridMultilevel"/>
    <w:lvl w:ilvl="0">
      <w:lvlJc w:val="left"/>
      <w:lvlText w:val="(%1)"/>
      <w:numFmt w:val="lowerLetter"/>
      <w:start w:val="18"/>
    </w:lvl>
  </w:abstractNum>
  <w:abstractNum w:abstractNumId="15">
    <w:nsid w:val="79838CB2"/>
    <w:multiLevelType w:val="hybridMultilevel"/>
    <w:lvl w:ilvl="0">
      <w:lvlJc w:val="left"/>
      <w:lvlText w:val="(%1)"/>
      <w:numFmt w:val="lowerLetter"/>
      <w:start w:val="21"/>
    </w:lvl>
  </w:abstractNum>
  <w:abstractNum w:abstractNumId="16">
    <w:nsid w:val="4353D0CD"/>
    <w:multiLevelType w:val="hybridMultilevel"/>
    <w:lvl w:ilvl="0">
      <w:lvlJc w:val="left"/>
      <w:lvlText w:val="(%1)"/>
      <w:numFmt w:val="lowerLetter"/>
      <w:start w:val="26"/>
    </w:lvl>
  </w:abstractNum>
  <w:abstractNum w:abstractNumId="17">
    <w:nsid w:val="B03E0C6"/>
    <w:multiLevelType w:val="hybridMultilevel"/>
    <w:lvl w:ilvl="0">
      <w:lvlJc w:val="left"/>
      <w:lvlText w:val="(%1)"/>
      <w:numFmt w:val="lowerLetter"/>
      <w:start w:val="27"/>
    </w:lvl>
  </w:abstractNum>
  <w:abstractNum w:abstractNumId="18">
    <w:nsid w:val="189A769B"/>
    <w:multiLevelType w:val="hybridMultilevel"/>
    <w:lvl w:ilvl="0">
      <w:lvlJc w:val="left"/>
      <w:lvlText w:val="(%1)"/>
      <w:numFmt w:val="lowerLetter"/>
      <w:start w:val="28"/>
    </w:lvl>
  </w:abstractNum>
  <w:abstractNum w:abstractNumId="19">
    <w:nsid w:val="54E49EB4"/>
    <w:multiLevelType w:val="hybridMultilevel"/>
    <w:lvl w:ilvl="0">
      <w:lvlJc w:val="left"/>
      <w:lvlText w:val="(%1)"/>
      <w:numFmt w:val="lowerLetter"/>
      <w:start w:val="31"/>
    </w:lvl>
  </w:abstractNum>
  <w:abstractNum w:abstractNumId="20">
    <w:nsid w:val="71F32454"/>
    <w:multiLevelType w:val="hybridMultilevel"/>
    <w:lvl w:ilvl="0">
      <w:lvlJc w:val="left"/>
      <w:lvlText w:val="(%1)"/>
      <w:numFmt w:val="lowerLetter"/>
      <w:start w:val="34"/>
    </w:lvl>
  </w:abstractNum>
  <w:abstractNum w:abstractNumId="21">
    <w:nsid w:val="2CA88611"/>
    <w:multiLevelType w:val="hybridMultilevel"/>
    <w:lvl w:ilvl="0">
      <w:lvlJc w:val="left"/>
      <w:lvlText w:val="(%1)"/>
      <w:numFmt w:val="lowerLetter"/>
      <w:start w:val="38"/>
    </w:lvl>
  </w:abstractNum>
  <w:abstractNum w:abstractNumId="22">
    <w:nsid w:val="836C40E"/>
    <w:multiLevelType w:val="hybridMultilevel"/>
    <w:lvl w:ilvl="0">
      <w:lvlJc w:val="left"/>
      <w:lvlText w:val="(%1)"/>
      <w:numFmt w:val="lowerLetter"/>
      <w:start w:val="41"/>
    </w:lvl>
  </w:abstractNum>
  <w:abstractNum w:abstractNumId="23">
    <w:nsid w:val="2901D82"/>
    <w:multiLevelType w:val="hybridMultilevel"/>
    <w:lvl w:ilvl="0">
      <w:lvlJc w:val="left"/>
      <w:lvlText w:val="(%1)"/>
      <w:numFmt w:val="lowerLetter"/>
      <w:start w:val="1"/>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lowerLetter"/>
      <w:start w:val="1"/>
    </w:lvl>
    <w:lvl w:ilvl="1">
      <w:lvlJc w:val="left"/>
      <w:lvlText w:val="(%2)"/>
      <w:numFmt w:val="lowerLetter"/>
      <w:start w:val="2"/>
    </w:lvl>
  </w:abstractNum>
  <w:abstractNum w:abstractNumId="26">
    <w:nsid w:val="1E7FF521"/>
    <w:multiLevelType w:val="hybridMultilevel"/>
    <w:lvl w:ilvl="0">
      <w:lvlJc w:val="left"/>
      <w:lvlText w:val="(%1)"/>
      <w:numFmt w:val="lowerLetter"/>
      <w:start w:val="1"/>
    </w:lvl>
    <w:lvl w:ilvl="1">
      <w:lvlJc w:val="left"/>
      <w:lvlText w:val="%2"/>
      <w:numFmt w:val="lowerLetter"/>
      <w:start w:val="1"/>
    </w:lvl>
  </w:abstractNum>
  <w:abstractNum w:abstractNumId="27">
    <w:nsid w:val="7C3DBD3D"/>
    <w:multiLevelType w:val="hybridMultilevel"/>
    <w:lvl w:ilvl="0">
      <w:lvlJc w:val="left"/>
      <w:lvlText w:val="(%1)"/>
      <w:numFmt w:val="lowerRoman"/>
      <w:start w:val="1"/>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lowerLetter"/>
      <w:start w:val="2"/>
    </w:lvl>
  </w:abstractNum>
  <w:abstractNum w:abstractNumId="30">
    <w:nsid w:val="22221A70"/>
    <w:multiLevelType w:val="hybridMultilevel"/>
    <w:lvl w:ilvl="0">
      <w:lvlJc w:val="left"/>
      <w:lvlText w:val="%1"/>
      <w:numFmt w:val="lowerLetter"/>
      <w:start w:val="1"/>
    </w:lvl>
    <w:lvl w:ilvl="1">
      <w:lvlJc w:val="left"/>
      <w:lvlText w:val="(%2)"/>
      <w:numFmt w:val="lowerLetter"/>
      <w:start w:val="1"/>
    </w:lvl>
  </w:abstractNum>
  <w:abstractNum w:abstractNumId="31">
    <w:nsid w:val="4516DDE9"/>
    <w:multiLevelType w:val="hybridMultilevel"/>
    <w:lvl w:ilvl="0">
      <w:lvlJc w:val="left"/>
      <w:lvlText w:val="(%1)"/>
      <w:numFmt w:val="lowerLetter"/>
      <w:start w:val="35"/>
    </w:lvl>
    <w:lvl w:ilvl="1">
      <w:lvlJc w:val="left"/>
      <w:lvlText w:val="(%2)"/>
      <w:numFmt w:val="lowerLetter"/>
      <w:start w:val="2"/>
    </w:lvl>
  </w:abstractNum>
  <w:abstractNum w:abstractNumId="32">
    <w:nsid w:val="3006C83E"/>
    <w:multiLevelType w:val="hybridMultilevel"/>
    <w:lvl w:ilvl="0">
      <w:lvlJc w:val="left"/>
      <w:lvlText w:val="%1"/>
      <w:numFmt w:val="lowerLetter"/>
      <w:start w:val="1"/>
    </w:lvl>
    <w:lvl w:ilvl="1">
      <w:lvlJc w:val="left"/>
      <w:lvlText w:val="(%2)"/>
      <w:numFmt w:val="lowerLetter"/>
      <w:start w:val="1"/>
    </w:lvl>
  </w:abstractNum>
  <w:abstractNum w:abstractNumId="33">
    <w:nsid w:val="614FD4A1"/>
    <w:multiLevelType w:val="hybridMultilevel"/>
    <w:lvl w:ilvl="0">
      <w:lvlJc w:val="left"/>
      <w:lvlText w:val="(%1)"/>
      <w:numFmt w:val="lowerLetter"/>
      <w:start w:val="9"/>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2020-08-06T05:22:40Z</dcterms:created>
  <dcterms:modified xsi:type="dcterms:W3CDTF">2020-08-06T05:22:40Z</dcterms:modified>
</cp:coreProperties>
</file>