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333-234025</w:t>
      </w:r>
    </w:p>
    <w:p>
      <w:pPr>
        <w:spacing w:after="0" w:line="229" w:lineRule="exact"/>
        <w:rPr>
          <w:sz w:val="24"/>
          <w:szCs w:val="24"/>
          <w:color w:val="auto"/>
        </w:rPr>
      </w:pPr>
    </w:p>
    <w:p>
      <w:pPr>
        <w:ind w:left="1"/>
        <w:spacing w:after="0"/>
        <w:rPr>
          <w:sz w:val="20"/>
          <w:szCs w:val="20"/>
          <w:color w:val="auto"/>
        </w:rPr>
      </w:pPr>
      <w:r>
        <w:rPr>
          <w:rFonts w:ascii="Arial" w:cs="Arial" w:eastAsia="Arial" w:hAnsi="Arial"/>
          <w:sz w:val="16"/>
          <w:szCs w:val="16"/>
          <w:color w:val="auto"/>
        </w:rPr>
        <w:t>Prospectus Supplement</w:t>
      </w:r>
    </w:p>
    <w:p>
      <w:pPr>
        <w:spacing w:after="0" w:line="21" w:lineRule="exact"/>
        <w:rPr>
          <w:sz w:val="24"/>
          <w:szCs w:val="24"/>
          <w:color w:val="auto"/>
        </w:rPr>
      </w:pPr>
    </w:p>
    <w:p>
      <w:pPr>
        <w:ind w:left="1"/>
        <w:spacing w:after="0"/>
        <w:rPr>
          <w:sz w:val="20"/>
          <w:szCs w:val="20"/>
          <w:color w:val="auto"/>
        </w:rPr>
      </w:pPr>
      <w:r>
        <w:rPr>
          <w:rFonts w:ascii="Arial" w:cs="Arial" w:eastAsia="Arial" w:hAnsi="Arial"/>
          <w:sz w:val="16"/>
          <w:szCs w:val="16"/>
          <w:color w:val="auto"/>
        </w:rPr>
        <w:t>(To Prospectus Dated September 30, 2019,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43750" cy="499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15,625,000 Shares of Common Stock</w:t>
      </w:r>
    </w:p>
    <w:p>
      <w:pPr>
        <w:spacing w:after="0" w:line="216" w:lineRule="exact"/>
        <w:rPr>
          <w:sz w:val="24"/>
          <w:szCs w:val="24"/>
          <w:color w:val="auto"/>
        </w:rPr>
      </w:pPr>
    </w:p>
    <w:p>
      <w:pPr>
        <w:ind w:left="601"/>
        <w:spacing w:after="0"/>
        <w:rPr>
          <w:sz w:val="20"/>
          <w:szCs w:val="20"/>
          <w:color w:val="auto"/>
        </w:rPr>
      </w:pPr>
      <w:r>
        <w:rPr>
          <w:rFonts w:ascii="Arial" w:cs="Arial" w:eastAsia="Arial" w:hAnsi="Arial"/>
          <w:sz w:val="16"/>
          <w:szCs w:val="16"/>
          <w:color w:val="auto"/>
        </w:rPr>
        <w:t>We are offering 15,625,000 shares of our common stock pursuant to this prospectus supplement and accompanying prospectus.</w:t>
      </w:r>
    </w:p>
    <w:p>
      <w:pPr>
        <w:spacing w:after="0" w:line="212" w:lineRule="exact"/>
        <w:rPr>
          <w:sz w:val="24"/>
          <w:szCs w:val="24"/>
          <w:color w:val="auto"/>
        </w:rPr>
      </w:pPr>
    </w:p>
    <w:p>
      <w:pPr>
        <w:ind w:left="1" w:firstLine="593"/>
        <w:spacing w:after="0" w:line="285" w:lineRule="auto"/>
        <w:rPr>
          <w:sz w:val="20"/>
          <w:szCs w:val="20"/>
          <w:color w:val="auto"/>
        </w:rPr>
      </w:pPr>
      <w:r>
        <w:rPr>
          <w:rFonts w:ascii="Arial" w:cs="Arial" w:eastAsia="Arial" w:hAnsi="Arial"/>
          <w:sz w:val="16"/>
          <w:szCs w:val="16"/>
          <w:color w:val="auto"/>
        </w:rPr>
        <w:t>Our common stock is presently traded on the Nasdaq Capital Market under the symbol “VTGN.” On August 3, 2020, the last reported sale price of our common stock was $0.805 per share.</w:t>
      </w:r>
    </w:p>
    <w:p>
      <w:pPr>
        <w:spacing w:after="0" w:line="152" w:lineRule="exact"/>
        <w:rPr>
          <w:sz w:val="24"/>
          <w:szCs w:val="24"/>
          <w:color w:val="auto"/>
        </w:rPr>
      </w:pPr>
    </w:p>
    <w:p>
      <w:pPr>
        <w:ind w:left="1" w:firstLine="593"/>
        <w:spacing w:after="0" w:line="290" w:lineRule="auto"/>
        <w:rPr>
          <w:sz w:val="20"/>
          <w:szCs w:val="20"/>
          <w:color w:val="auto"/>
        </w:rPr>
      </w:pPr>
      <w:r>
        <w:rPr>
          <w:rFonts w:ascii="Arial" w:cs="Arial" w:eastAsia="Arial" w:hAnsi="Arial"/>
          <w:sz w:val="16"/>
          <w:szCs w:val="16"/>
          <w:b w:val="1"/>
          <w:bCs w:val="1"/>
          <w:color w:val="auto"/>
        </w:rPr>
        <w:t>Investing in our common stock involves a high degree of risk. See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beginning on page S-4 of this prospectus supplement and under similar headings in the documents incorporated by reference into this prospectus supplement.</w:t>
      </w:r>
    </w:p>
    <w:p>
      <w:pPr>
        <w:spacing w:after="0" w:line="174" w:lineRule="exact"/>
        <w:rPr>
          <w:sz w:val="24"/>
          <w:szCs w:val="24"/>
          <w:color w:val="auto"/>
        </w:rPr>
      </w:pPr>
    </w:p>
    <w:tbl>
      <w:tblPr>
        <w:tblLayout w:type="fixed"/>
        <w:tblInd w:w="1"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Per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r>
      <w:tr>
        <w:trPr>
          <w:trHeight w:val="198"/>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Public Offering Price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12,500,000</w:t>
            </w:r>
          </w:p>
        </w:tc>
      </w:tr>
      <w:tr>
        <w:trPr>
          <w:trHeight w:val="198"/>
        </w:trPr>
        <w:tc>
          <w:tcPr>
            <w:tcW w:w="6240" w:type="dxa"/>
            <w:vAlign w:val="bottom"/>
          </w:tcPr>
          <w:p>
            <w:pPr>
              <w:ind w:left="140"/>
              <w:spacing w:after="0"/>
              <w:rPr>
                <w:sz w:val="20"/>
                <w:szCs w:val="20"/>
                <w:color w:val="auto"/>
              </w:rPr>
            </w:pPr>
            <w:r>
              <w:rPr>
                <w:rFonts w:ascii="Arial" w:cs="Arial" w:eastAsia="Arial" w:hAnsi="Arial"/>
                <w:sz w:val="16"/>
                <w:szCs w:val="16"/>
                <w:color w:val="auto"/>
              </w:rPr>
              <w:t>Underwriting Discounts and Commissions (1)</w:t>
            </w:r>
          </w:p>
        </w:tc>
        <w:tc>
          <w:tcPr>
            <w:tcW w:w="2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(0.068)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(1,062,500)</w:t>
            </w:r>
          </w:p>
        </w:tc>
      </w:tr>
      <w:tr>
        <w:trPr>
          <w:trHeight w:val="198"/>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to VistaGen Therapeutics, Inc. before expenses</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11,437,500</w:t>
            </w:r>
          </w:p>
        </w:tc>
      </w:tr>
    </w:tbl>
    <w:p>
      <w:pPr>
        <w:spacing w:after="0" w:line="189" w:lineRule="exact"/>
        <w:rPr>
          <w:sz w:val="24"/>
          <w:szCs w:val="24"/>
          <w:color w:val="auto"/>
        </w:rPr>
      </w:pPr>
    </w:p>
    <w:p>
      <w:pPr>
        <w:ind w:left="601" w:hanging="601"/>
        <w:spacing w:after="0"/>
        <w:tabs>
          <w:tab w:leader="none" w:pos="601"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Underwriting</w:t>
      </w:r>
      <w:r>
        <w:rPr>
          <w:rFonts w:ascii="Arial" w:cs="Arial" w:eastAsia="Arial" w:hAnsi="Arial"/>
          <w:sz w:val="16"/>
          <w:szCs w:val="16"/>
          <w:color w:val="auto"/>
        </w:rPr>
        <w:t>” for additional information regarding underwriting compensation.</w:t>
      </w:r>
    </w:p>
    <w:p>
      <w:pPr>
        <w:spacing w:after="0" w:line="212" w:lineRule="exact"/>
        <w:rPr>
          <w:sz w:val="24"/>
          <w:szCs w:val="24"/>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The underwriters may also purchase up to an additional 2,343,750 shares of common stock from us, at the public offering price, less the underwriting discount, within 45 days from the date of this prospectus supplement.</w:t>
      </w:r>
    </w:p>
    <w:p>
      <w:pPr>
        <w:spacing w:after="0" w:line="156" w:lineRule="exact"/>
        <w:rPr>
          <w:sz w:val="24"/>
          <w:szCs w:val="24"/>
          <w:color w:val="auto"/>
        </w:rPr>
      </w:pPr>
    </w:p>
    <w:p>
      <w:pPr>
        <w:jc w:val="both"/>
        <w:ind w:left="1" w:firstLine="593"/>
        <w:spacing w:after="0" w:line="263" w:lineRule="auto"/>
        <w:rPr>
          <w:sz w:val="20"/>
          <w:szCs w:val="20"/>
          <w:color w:val="auto"/>
        </w:rPr>
      </w:pPr>
      <w:r>
        <w:rPr>
          <w:rFonts w:ascii="Arial" w:cs="Arial" w:eastAsia="Arial" w:hAnsi="Arial"/>
          <w:sz w:val="16"/>
          <w:szCs w:val="16"/>
          <w:color w:val="auto"/>
        </w:rPr>
        <w:t>As of July 31, 2020, the aggregate market value of our voting and non-voting common stock held by non-affiliates pursuant to General Instruction I.B.6. of Form S-3 was $51,947,217 which was calculated based on 55,857,223 outstanding shares of our common stock held by non-affiliates and at a price of $0.93 per share, the closing sale price of our common stock reported on the Nasdaq Capital Market on July 31, 2020. As a result, we are eligible to offer and sell up to an aggregate of $17,314,008 of shares of our common stock pursuant to General Instruction I.B.6. of Form S-3. Following this offering, we will have sold securities with an aggregate market value of $15,250,000, including this offering, pursuant to General Instruction I.B.6. of Form S-3 during the prior 12 calendar month period that ends on, and includes, the date of this prospectus supplement.</w:t>
      </w:r>
    </w:p>
    <w:p>
      <w:pPr>
        <w:spacing w:after="0" w:line="171" w:lineRule="exact"/>
        <w:rPr>
          <w:sz w:val="24"/>
          <w:szCs w:val="24"/>
          <w:color w:val="auto"/>
        </w:rPr>
      </w:pPr>
    </w:p>
    <w:p>
      <w:pPr>
        <w:jc w:val="both"/>
        <w:ind w:left="1" w:firstLine="593"/>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241"/>
          </w:cols>
          <w:pgMar w:left="319" w:top="646" w:right="339" w:bottom="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Delivery of the shares of common stock will be made on or about August 5, 2020, subject to the satisfaction of certain closing conditions.</w:t>
      </w:r>
    </w:p>
    <w:p>
      <w:pPr>
        <w:sectPr>
          <w:pgSz w:w="11900" w:h="16838" w:orient="portrait"/>
          <w:cols w:equalWidth="0" w:num="1">
            <w:col w:w="9699"/>
          </w:cols>
          <w:pgMar w:left="760" w:top="131" w:right="1440" w:bottom="1440" w:gutter="0" w:footer="0" w:header="0"/>
        </w:sectPr>
      </w:pPr>
    </w:p>
    <w:p>
      <w:pPr>
        <w:spacing w:after="0" w:line="235"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i w:val="1"/>
          <w:iCs w:val="1"/>
          <w:color w:val="auto"/>
        </w:rPr>
        <w:t>Sole Book-running Manager</w:t>
      </w:r>
    </w:p>
    <w:p>
      <w:pPr>
        <w:spacing w:after="0" w:line="208"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Maxim Group LLC</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____________________</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4"/>
          <w:szCs w:val="14"/>
          <w:color w:val="auto"/>
        </w:rPr>
        <w:t>The date of this prospectus supplement is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405765</wp:posOffset>
            </wp:positionV>
            <wp:extent cx="714375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699"/>
          </w:cols>
          <w:pgMar w:left="760" w:top="131"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872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872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720" w:type="dxa"/>
            <w:vAlign w:val="bottom"/>
          </w:tcPr>
          <w:p>
            <w:pPr>
              <w:spacing w:after="0"/>
              <w:rPr>
                <w:sz w:val="20"/>
                <w:szCs w:val="20"/>
                <w:color w:val="auto"/>
              </w:rPr>
            </w:pPr>
            <w:r>
              <w:rPr>
                <w:rFonts w:ascii="Arial" w:cs="Arial" w:eastAsia="Arial" w:hAnsi="Arial"/>
                <w:sz w:val="16"/>
                <w:szCs w:val="16"/>
                <w:b w:val="1"/>
                <w:bCs w:val="1"/>
                <w:color w:val="auto"/>
              </w:rPr>
              <w:t>Prospectus Supplement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720" w:type="dxa"/>
            <w:vAlign w:val="bottom"/>
          </w:tcPr>
          <w:p>
            <w:pPr>
              <w:spacing w:after="0"/>
              <w:rPr>
                <w:sz w:val="24"/>
                <w:szCs w:val="24"/>
                <w:color w:val="auto"/>
              </w:rPr>
            </w:pP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199"/>
        </w:trPr>
        <w:tc>
          <w:tcPr>
            <w:tcW w:w="8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About This Prospectus Supplement</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Prospectus Supplement Summary</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Risk Factors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S-4</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Cautionary Notes Regarding Forward-Looking Statements</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Use of Proceeds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S-8</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Dividend Policy</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S-9</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Capitalization</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S-10</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Dilution</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S-11</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Material U.S. Federal Income Tax Consequences to Non-U.S. Holder</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S-12</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Underwriting</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S-16</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Legal Matters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S-20</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Experts</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Where You Can Find More Information</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S-21</w:t>
            </w:r>
          </w:p>
        </w:tc>
        <w:tc>
          <w:tcPr>
            <w:tcW w:w="0" w:type="dxa"/>
            <w:vAlign w:val="bottom"/>
          </w:tcPr>
          <w:p>
            <w:pPr>
              <w:spacing w:after="0"/>
              <w:rPr>
                <w:sz w:val="1"/>
                <w:szCs w:val="1"/>
                <w:color w:val="auto"/>
              </w:rPr>
            </w:pPr>
          </w:p>
        </w:tc>
      </w:tr>
      <w:tr>
        <w:trPr>
          <w:trHeight w:val="205"/>
        </w:trPr>
        <w:tc>
          <w:tcPr>
            <w:tcW w:w="8720" w:type="dxa"/>
            <w:vAlign w:val="bottom"/>
          </w:tcPr>
          <w:p>
            <w:pPr>
              <w:spacing w:after="0"/>
              <w:rPr>
                <w:sz w:val="20"/>
                <w:szCs w:val="20"/>
                <w:color w:val="auto"/>
              </w:rPr>
            </w:pPr>
            <w:r>
              <w:rPr>
                <w:rFonts w:ascii="Arial" w:cs="Arial" w:eastAsia="Arial" w:hAnsi="Arial"/>
                <w:sz w:val="16"/>
                <w:szCs w:val="16"/>
                <w:color w:val="0000FF"/>
              </w:rPr>
              <w:t>Incorporation of Certain Information by Reference</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S-21</w:t>
            </w:r>
          </w:p>
        </w:tc>
        <w:tc>
          <w:tcPr>
            <w:tcW w:w="0" w:type="dxa"/>
            <w:vAlign w:val="bottom"/>
          </w:tcPr>
          <w:p>
            <w:pPr>
              <w:spacing w:after="0"/>
              <w:rPr>
                <w:sz w:val="1"/>
                <w:szCs w:val="1"/>
                <w:color w:val="auto"/>
              </w:rPr>
            </w:pPr>
          </w:p>
        </w:tc>
      </w:tr>
      <w:tr>
        <w:trPr>
          <w:trHeight w:val="387"/>
        </w:trPr>
        <w:tc>
          <w:tcPr>
            <w:tcW w:w="8720" w:type="dxa"/>
            <w:vAlign w:val="bottom"/>
          </w:tcPr>
          <w:p>
            <w:pPr>
              <w:spacing w:after="0"/>
              <w:rPr>
                <w:sz w:val="20"/>
                <w:szCs w:val="20"/>
                <w:color w:val="auto"/>
              </w:rPr>
            </w:pPr>
            <w:r>
              <w:rPr>
                <w:rFonts w:ascii="Arial" w:cs="Arial" w:eastAsia="Arial" w:hAnsi="Arial"/>
                <w:sz w:val="16"/>
                <w:szCs w:val="16"/>
                <w:b w:val="1"/>
                <w:bCs w:val="1"/>
                <w:color w:val="auto"/>
              </w:rPr>
              <w:t>Prospectus</w:t>
            </w:r>
          </w:p>
        </w:tc>
        <w:tc>
          <w:tcPr>
            <w:tcW w:w="2520" w:type="dxa"/>
            <w:vAlign w:val="bottom"/>
            <w:vMerge w:val="restart"/>
          </w:tcPr>
          <w:p>
            <w:pPr>
              <w:jc w:val="center"/>
              <w:ind w:left="1340"/>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About This Prospectus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Company Overview</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Risk Factors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Cautionary Notes Regarding Forward-Looking Statements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Use of Proceeds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Description of our Capital Stock</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Description of our Warrants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Description of our Units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Description of Certain Provisions of Nevada Law and our Articles of Incorporation and Bylaws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Plan of Distribution</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Legal Matters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Experts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Where You Can Find More Information</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5"/>
        </w:trPr>
        <w:tc>
          <w:tcPr>
            <w:tcW w:w="8720" w:type="dxa"/>
            <w:vAlign w:val="bottom"/>
          </w:tcPr>
          <w:p>
            <w:pPr>
              <w:spacing w:after="0"/>
              <w:rPr>
                <w:sz w:val="20"/>
                <w:szCs w:val="20"/>
                <w:color w:val="auto"/>
              </w:rPr>
            </w:pPr>
            <w:r>
              <w:rPr>
                <w:rFonts w:ascii="Arial" w:cs="Arial" w:eastAsia="Arial" w:hAnsi="Arial"/>
                <w:sz w:val="16"/>
                <w:szCs w:val="16"/>
                <w:color w:val="0000FF"/>
              </w:rPr>
              <w:t>Incorporation of Certain Information by Reference</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591"/>
        </w:trPr>
        <w:tc>
          <w:tcPr>
            <w:tcW w:w="8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S-21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4"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We have not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4"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the context otherwise requires, references in this prospectus supplement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340360</wp:posOffset>
            </wp:positionV>
            <wp:extent cx="7143750" cy="807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8070215"/>
                    </a:xfrm>
                    <a:prstGeom prst="rect">
                      <a:avLst/>
                    </a:prstGeom>
                    <a:noFill/>
                  </pic:spPr>
                </pic:pic>
              </a:graphicData>
            </a:graphic>
          </wp:anchor>
        </w:drawing>
        <w:t>PROS PECTUS SUPPLEMENT SUMMARY</w:t>
      </w:r>
    </w:p>
    <w:p>
      <w:pPr>
        <w:spacing w:after="0" w:line="21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16" w:lineRule="exact"/>
        <w:rPr>
          <w:sz w:val="20"/>
          <w:szCs w:val="20"/>
          <w:color w:val="auto"/>
        </w:rPr>
      </w:pPr>
    </w:p>
    <w:p>
      <w:pPr>
        <w:jc w:val="both"/>
        <w:ind w:firstLine="593"/>
        <w:spacing w:after="0" w:line="300" w:lineRule="auto"/>
        <w:rPr>
          <w:sz w:val="20"/>
          <w:szCs w:val="20"/>
          <w:color w:val="auto"/>
        </w:rPr>
      </w:pPr>
      <w:r>
        <w:rPr>
          <w:rFonts w:ascii="Arial" w:cs="Arial" w:eastAsia="Arial" w:hAnsi="Arial"/>
          <w:sz w:val="14"/>
          <w:szCs w:val="14"/>
          <w:color w:val="auto"/>
        </w:rPr>
        <w:t>We are a clinical-stage biopharmaceutical company committed to developing new generation therapies for anxiety, depression and certain additional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disorders for which we believe current treatment options are inadequate, resulting in high unmet need in large and growing markets worldwide. Our pipeline includes three CNS product candidates, PH94B, PH10 and AV-101, each with a differentiated mechanism of action, an exceptional safety profile in all clinical studies to date, and therapeutic potential in multiple CNS indications. We are currently preparing PH94B for Phase 3 clinical development for the acute treatment of adult patients with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We are also preparing PH94B for an exploratory Phase 2A open-label study in adult patients experiencing adjustment disorder with anxiety (</w:t>
      </w:r>
      <w:r>
        <w:rPr>
          <w:rFonts w:ascii="Arial" w:cs="Arial" w:eastAsia="Arial" w:hAnsi="Arial"/>
          <w:sz w:val="14"/>
          <w:szCs w:val="14"/>
          <w:i w:val="1"/>
          <w:iCs w:val="1"/>
          <w:color w:val="auto"/>
        </w:rPr>
        <w:t>AjDA</w:t>
      </w:r>
      <w:r>
        <w:rPr>
          <w:rFonts w:ascii="Arial" w:cs="Arial" w:eastAsia="Arial" w:hAnsi="Arial"/>
          <w:sz w:val="14"/>
          <w:szCs w:val="14"/>
          <w:color w:val="auto"/>
        </w:rPr>
        <w:t>). PH10 has completed successful exploratory Phase 2A development as a novel treatment for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are currently preparing PH10 for Phase 2B development as a potential stand-alone treatment for MDD. In several clinical studies, we have established that AV-101 is orally available and has an excellent safety profile. Based on successful preclinical studies involving AV-101 alone and in combination with probenecid, we are currently assessing potential Phase 1B and subsequent Phase 2A development of AV-101, in combination with probenecid, for treatment of depression and several other CNS indications involving the NMDAR (</w:t>
      </w:r>
      <w:r>
        <w:rPr>
          <w:rFonts w:ascii="Arial" w:cs="Arial" w:eastAsia="Arial" w:hAnsi="Arial"/>
          <w:sz w:val="14"/>
          <w:szCs w:val="14"/>
          <w:i w:val="1"/>
          <w:iCs w:val="1"/>
          <w:color w:val="auto"/>
        </w:rPr>
        <w:t>N-methyl-D-aspartate receptor</w:t>
      </w:r>
      <w:r>
        <w:rPr>
          <w:rFonts w:ascii="Arial" w:cs="Arial" w:eastAsia="Arial" w:hAnsi="Arial"/>
          <w:sz w:val="14"/>
          <w:szCs w:val="14"/>
          <w:color w:val="auto"/>
        </w:rPr>
        <w:t>). Additionally, our subsidiary, VistaStem Therapeutics (</w:t>
      </w:r>
      <w:r>
        <w:rPr>
          <w:rFonts w:ascii="Arial" w:cs="Arial" w:eastAsia="Arial" w:hAnsi="Arial"/>
          <w:sz w:val="14"/>
          <w:szCs w:val="14"/>
          <w:i w:val="1"/>
          <w:iCs w:val="1"/>
          <w:color w:val="auto"/>
        </w:rPr>
        <w:t>VistaStem</w:t>
      </w:r>
      <w:r>
        <w:rPr>
          <w:rFonts w:ascii="Arial" w:cs="Arial" w:eastAsia="Arial" w:hAnsi="Arial"/>
          <w:sz w:val="14"/>
          <w:szCs w:val="14"/>
          <w:color w:val="auto"/>
        </w:rPr>
        <w:t xml:space="preserve">), has pluripotent stem cell technology focused on assessing and developing small molecule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CNS pipeline, or for out-licensing, by utilizing CardioSafe 3D, VistaStem’s customized human heart cell-based cardiac bioassay system. Our goal is to become a fully integrated biopharmaceutical company that develops and commercializes innovative medicine for large and growing neuropsychiatry and neurology markets worldwide where current treatments are inadequate to meet the needs of millions of patients.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believe that PH94B is a novel, first-in-class neuroactive nasal spray with therapeutic potential in a wide range of indications involving anxiety or phobia. Self-administered in microgram doses, PH94B does not require systemic uptake and distribution to produce its rapid-onset anti-anxiety effects. We are initially developing PH94B as a potential fast-acting, non-sedating, non-addictive new generation acute treatment of SAD, as well as AjDA. With its rapid-onset pharmacology, lack of systemic exposure and excellent safety profile, we believe that PH94B also has potential as a novel treatment for postpartum anxiety (</w:t>
      </w:r>
      <w:r>
        <w:rPr>
          <w:rFonts w:ascii="Arial" w:cs="Arial" w:eastAsia="Arial" w:hAnsi="Arial"/>
          <w:sz w:val="16"/>
          <w:szCs w:val="16"/>
          <w:i w:val="1"/>
          <w:iCs w:val="1"/>
          <w:color w:val="auto"/>
        </w:rPr>
        <w:t>PPA</w:t>
      </w:r>
      <w:r>
        <w:rPr>
          <w:rFonts w:ascii="Arial" w:cs="Arial" w:eastAsia="Arial" w:hAnsi="Arial"/>
          <w:sz w:val="16"/>
          <w:szCs w:val="16"/>
          <w:color w:val="auto"/>
        </w:rPr>
        <w:t>),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 preoperative anxiety (</w:t>
      </w:r>
      <w:r>
        <w:rPr>
          <w:rFonts w:ascii="Arial" w:cs="Arial" w:eastAsia="Arial" w:hAnsi="Arial"/>
          <w:sz w:val="16"/>
          <w:szCs w:val="16"/>
          <w:i w:val="1"/>
          <w:iCs w:val="1"/>
          <w:color w:val="auto"/>
        </w:rPr>
        <w:t>POA</w:t>
      </w:r>
      <w:r>
        <w:rPr>
          <w:rFonts w:ascii="Arial" w:cs="Arial" w:eastAsia="Arial" w:hAnsi="Arial"/>
          <w:sz w:val="16"/>
          <w:szCs w:val="16"/>
          <w:color w:val="auto"/>
        </w:rPr>
        <w:t>), panic disorder and other anxiety-related disorders.</w:t>
      </w:r>
    </w:p>
    <w:p>
      <w:pPr>
        <w:spacing w:after="0" w:line="175"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PH10 is an odorless, fast-acting synthetic neurosteroid delivered intranasally that has therapeutic potential in a wide range of neuropsychiatric indications involving depression. Self-administered in microgram doses, PH10 does not require systemic uptake and distribution to produce its rapid-onset antidepressant effects. We are initially developing PH10 as a potential fast-acting, non-sedating, non-addictive new generation treatment of MDD. With its rapid-onset pharmacology, lack of systemic exposure an exceptional safety profile, we believe that PH10 also has potential as a novel treatment for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suicidal ideation (</w:t>
      </w:r>
      <w:r>
        <w:rPr>
          <w:rFonts w:ascii="Arial" w:cs="Arial" w:eastAsia="Arial" w:hAnsi="Arial"/>
          <w:sz w:val="16"/>
          <w:szCs w:val="16"/>
          <w:i w:val="1"/>
          <w:iCs w:val="1"/>
          <w:color w:val="auto"/>
        </w:rPr>
        <w:t>SI</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303" w:lineRule="auto"/>
        <w:rPr>
          <w:sz w:val="20"/>
          <w:szCs w:val="20"/>
          <w:color w:val="auto"/>
        </w:rPr>
      </w:pPr>
      <w:r>
        <w:rPr>
          <w:rFonts w:ascii="Arial" w:cs="Arial" w:eastAsia="Arial" w:hAnsi="Arial"/>
          <w:sz w:val="14"/>
          <w:szCs w:val="14"/>
          <w:color w:val="auto"/>
        </w:rPr>
        <w:t>We believe that AV-101 (4-Cl-KYN) is a novel, oral prodrug that targets the NMDAR, an ionotropic glutamate receptor in the brain. Abnormal NMDAR function is associated with numerous CNS diseases and disorders. AV-101’s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is a potent and selective full antagonist of the glycine coagonist site of the NMDAR that inhibits the function of the NMDAR, but does not block the NMDAR receptor like ketamine and other NMDAR antagonists. We have demonstrated in clinical trials that AV-101 is orally-available, well-tolerated and does not cause dissociative or hallucinogenic psychological side effects or safety concerns similar to those that may be caused by other NMDAR antagonists. With just a few side effects and excellent safety profile, we believe that AV-101 has potential to be an oral, new generation treatment for multiple large market CNS indications involving abnormal NDAR function and where current treatments are inadequate to meet high unmet patient needs. The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has granted Fast Track designation for development of AV-101 as both a potential adjunctive treatment for MDD and as a non-opioid treatment for neuropathic pain (</w:t>
      </w:r>
      <w:r>
        <w:rPr>
          <w:rFonts w:ascii="Arial" w:cs="Arial" w:eastAsia="Arial" w:hAnsi="Arial"/>
          <w:sz w:val="14"/>
          <w:szCs w:val="14"/>
          <w:i w:val="1"/>
          <w:iCs w:val="1"/>
          <w:color w:val="auto"/>
        </w:rPr>
        <w:t>NP</w:t>
      </w:r>
      <w:r>
        <w:rPr>
          <w:rFonts w:ascii="Arial" w:cs="Arial" w:eastAsia="Arial" w:hAnsi="Arial"/>
          <w:sz w:val="14"/>
          <w:szCs w:val="14"/>
          <w:color w:val="auto"/>
        </w:rPr>
        <w:t>). We are currently assessing AV-101’s potential in combination with probenecid, to treat both MDD and NP, as well as dyskinesia associated with levodopa therapy for Parkinson’s disease, epilepsy and suicidal ideation.</w:t>
      </w:r>
    </w:p>
    <w:p>
      <w:pPr>
        <w:spacing w:after="0" w:line="149" w:lineRule="exact"/>
        <w:rPr>
          <w:sz w:val="20"/>
          <w:szCs w:val="20"/>
          <w:color w:val="auto"/>
        </w:rPr>
      </w:pPr>
    </w:p>
    <w:p>
      <w:pPr>
        <w:jc w:val="both"/>
        <w:ind w:right="20" w:firstLine="593"/>
        <w:spacing w:after="0" w:line="285" w:lineRule="auto"/>
        <w:rPr>
          <w:sz w:val="20"/>
          <w:szCs w:val="20"/>
          <w:color w:val="auto"/>
        </w:rPr>
      </w:pPr>
      <w:r>
        <w:rPr>
          <w:rFonts w:ascii="Arial" w:cs="Arial" w:eastAsia="Arial" w:hAnsi="Arial"/>
          <w:sz w:val="16"/>
          <w:szCs w:val="16"/>
          <w:color w:val="auto"/>
        </w:rPr>
        <w:t>VistaStem is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and CardioSafe 3D, our customized cardiac bioassay system, to discover and develop, novel small molecule NCEs for our CNS pipeline or for out-licensing.</w:t>
      </w:r>
    </w:p>
    <w:p>
      <w:pPr>
        <w:spacing w:after="0" w:line="156" w:lineRule="exact"/>
        <w:rPr>
          <w:sz w:val="20"/>
          <w:szCs w:val="20"/>
          <w:color w:val="auto"/>
        </w:rPr>
      </w:pPr>
    </w:p>
    <w:p>
      <w:pPr>
        <w:jc w:val="both"/>
        <w:ind w:right="20" w:firstLine="593"/>
        <w:spacing w:after="0" w:line="320" w:lineRule="auto"/>
        <w:rPr>
          <w:sz w:val="20"/>
          <w:szCs w:val="20"/>
          <w:color w:val="auto"/>
        </w:rPr>
      </w:pPr>
      <w:r>
        <w:rPr>
          <w:rFonts w:ascii="Arial" w:cs="Arial" w:eastAsia="Arial" w:hAnsi="Arial"/>
          <w:sz w:val="15"/>
          <w:szCs w:val="15"/>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as well as U.S. and foreign patent applications.</w:t>
      </w:r>
    </w:p>
    <w:p>
      <w:pPr>
        <w:spacing w:after="0" w:line="133"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VistaStem, a California corporation, is our wholly-owned subsidiary. Our condensed consolidated financial statements incorporated by reference in this prospectus supplement also include the accounts of VistaStem and VistaStem’s two wholly-owned inactive subsidiaries, Artemis Neuroscience, Inc., a Maryland corporation, and VistaStem Canada, Inc., a corporation organized under the laws of 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20"/>
          </w:cols>
          <w:pgMar w:left="440" w:top="745"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355600</wp:posOffset>
            </wp:positionV>
            <wp:extent cx="7143750" cy="8368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8368665"/>
                    </a:xfrm>
                    <a:prstGeom prst="rect">
                      <a:avLst/>
                    </a:prstGeom>
                    <a:noFill/>
                  </pic:spPr>
                </pic:pic>
              </a:graphicData>
            </a:graphic>
          </wp:anchor>
        </w:drawing>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Spring 2020 Private Placement</w:t>
      </w:r>
    </w:p>
    <w:p>
      <w:pPr>
        <w:spacing w:after="0" w:line="212"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 xml:space="preserve">During April 2020, in a self-placed private placement and pursuant to a subscription agreement between us and an accredited investor, we sold to such investor units, at a purchase price of $0.40 per unit, consisting of 125,000 unregistered shares of our common stock and warrants to purchase up to 125,000 unregistered shares of our common stock at an exercise price of $0.50 per share and a term through April 30, 2024 (the </w:t>
      </w:r>
      <w:r>
        <w:rPr>
          <w:rFonts w:ascii="Arial" w:cs="Arial" w:eastAsia="Arial" w:hAnsi="Arial"/>
          <w:sz w:val="15"/>
          <w:szCs w:val="15"/>
          <w:i w:val="1"/>
          <w:iCs w:val="1"/>
          <w:color w:val="auto"/>
        </w:rPr>
        <w:t>Spring 2020 Private Placement</w:t>
      </w:r>
      <w:r>
        <w:rPr>
          <w:rFonts w:ascii="Arial" w:cs="Arial" w:eastAsia="Arial" w:hAnsi="Arial"/>
          <w:sz w:val="15"/>
          <w:szCs w:val="15"/>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 Purchase Agreement with Lincoln Park</w:t>
      </w:r>
    </w:p>
    <w:p>
      <w:pPr>
        <w:spacing w:after="0" w:line="212"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On March 24, 2020, we entered into a purchase agreement and a registration rights agreement with Lincoln Park Capital Fund (</w:t>
      </w:r>
      <w:r>
        <w:rPr>
          <w:rFonts w:ascii="Arial" w:cs="Arial" w:eastAsia="Arial" w:hAnsi="Arial"/>
          <w:sz w:val="15"/>
          <w:szCs w:val="15"/>
          <w:i w:val="1"/>
          <w:iCs w:val="1"/>
          <w:color w:val="auto"/>
        </w:rPr>
        <w:t>LPC</w:t>
      </w:r>
      <w:r>
        <w:rPr>
          <w:rFonts w:ascii="Arial" w:cs="Arial" w:eastAsia="Arial" w:hAnsi="Arial"/>
          <w:sz w:val="15"/>
          <w:szCs w:val="15"/>
          <w:color w:val="auto"/>
        </w:rPr>
        <w:t xml:space="preserve">) pursuant to which LPC committed to purchase up to $10,250,000 of our common stock at market-based prices over a period of 24 months (the LPC Agreement). On March 24, 2020, we sold 500,000 unregistered shares of our common stock (the </w:t>
      </w:r>
      <w:r>
        <w:rPr>
          <w:rFonts w:ascii="Arial" w:cs="Arial" w:eastAsia="Arial" w:hAnsi="Arial"/>
          <w:sz w:val="15"/>
          <w:szCs w:val="15"/>
          <w:i w:val="1"/>
          <w:iCs w:val="1"/>
          <w:color w:val="auto"/>
        </w:rPr>
        <w:t>Initial Purchase Shares</w:t>
      </w:r>
      <w:r>
        <w:rPr>
          <w:rFonts w:ascii="Arial" w:cs="Arial" w:eastAsia="Arial" w:hAnsi="Arial"/>
          <w:sz w:val="15"/>
          <w:szCs w:val="15"/>
          <w:color w:val="auto"/>
        </w:rPr>
        <w:t xml:space="preserve">) to LPC under the purchase agreement at a price of $0.50 per share for gross cash proceeds of $250,000 (the </w:t>
      </w:r>
      <w:r>
        <w:rPr>
          <w:rFonts w:ascii="Arial" w:cs="Arial" w:eastAsia="Arial" w:hAnsi="Arial"/>
          <w:sz w:val="15"/>
          <w:szCs w:val="15"/>
          <w:i w:val="1"/>
          <w:iCs w:val="1"/>
          <w:color w:val="auto"/>
        </w:rPr>
        <w:t>Initial Purchase</w:t>
      </w:r>
      <w:r>
        <w:rPr>
          <w:rFonts w:ascii="Arial" w:cs="Arial" w:eastAsia="Arial" w:hAnsi="Arial"/>
          <w:sz w:val="15"/>
          <w:szCs w:val="15"/>
          <w:color w:val="auto"/>
        </w:rPr>
        <w:t xml:space="preserve">) and we also issued 750,000 unregistered shares of our common stock to LPC under the terms of the LPC Agreement (the </w:t>
      </w:r>
      <w:r>
        <w:rPr>
          <w:rFonts w:ascii="Arial" w:cs="Arial" w:eastAsia="Arial" w:hAnsi="Arial"/>
          <w:sz w:val="15"/>
          <w:szCs w:val="15"/>
          <w:i w:val="1"/>
          <w:iCs w:val="1"/>
          <w:color w:val="auto"/>
        </w:rPr>
        <w:t>Commitment</w:t>
      </w:r>
      <w:r>
        <w:rPr>
          <w:rFonts w:ascii="Arial" w:cs="Arial" w:eastAsia="Arial" w:hAnsi="Arial"/>
          <w:sz w:val="15"/>
          <w:szCs w:val="15"/>
          <w:color w:val="auto"/>
        </w:rPr>
        <w:t xml:space="preserve"> </w:t>
      </w:r>
      <w:r>
        <w:rPr>
          <w:rFonts w:ascii="Arial" w:cs="Arial" w:eastAsia="Arial" w:hAnsi="Arial"/>
          <w:sz w:val="15"/>
          <w:szCs w:val="15"/>
          <w:i w:val="1"/>
          <w:iCs w:val="1"/>
          <w:color w:val="auto"/>
        </w:rPr>
        <w:t>Shares</w:t>
      </w:r>
      <w:r>
        <w:rPr>
          <w:rFonts w:ascii="Arial" w:cs="Arial" w:eastAsia="Arial" w:hAnsi="Arial"/>
          <w:sz w:val="15"/>
          <w:szCs w:val="15"/>
          <w:color w:val="auto"/>
        </w:rPr>
        <w:t>). To satisfy our obligations under the registration rights agreement, we filed a Registration Statement on Form S-1 (File No. 333-237514) (the</w:t>
      </w:r>
      <w:r>
        <w:rPr>
          <w:rFonts w:ascii="Arial" w:cs="Arial" w:eastAsia="Arial" w:hAnsi="Arial"/>
          <w:sz w:val="15"/>
          <w:szCs w:val="15"/>
          <w:i w:val="1"/>
          <w:iCs w:val="1"/>
          <w:color w:val="auto"/>
        </w:rPr>
        <w:t xml:space="preserve"> LPC Registration Statement</w:t>
      </w:r>
      <w:r>
        <w:rPr>
          <w:rFonts w:ascii="Arial" w:cs="Arial" w:eastAsia="Arial" w:hAnsi="Arial"/>
          <w:sz w:val="15"/>
          <w:szCs w:val="15"/>
          <w:color w:val="auto"/>
        </w:rPr>
        <w:t>) with the SEC on March 31, 2020, which the SEC declared effective on April 14, 2020 (the</w:t>
      </w:r>
      <w:r>
        <w:rPr>
          <w:rFonts w:ascii="Arial" w:cs="Arial" w:eastAsia="Arial" w:hAnsi="Arial"/>
          <w:sz w:val="15"/>
          <w:szCs w:val="15"/>
          <w:i w:val="1"/>
          <w:iCs w:val="1"/>
          <w:color w:val="auto"/>
        </w:rPr>
        <w:t xml:space="preserve"> Commencement Date</w:t>
      </w:r>
      <w:r>
        <w:rPr>
          <w:rFonts w:ascii="Arial" w:cs="Arial" w:eastAsia="Arial" w:hAnsi="Arial"/>
          <w:sz w:val="15"/>
          <w:szCs w:val="15"/>
          <w:color w:val="auto"/>
        </w:rPr>
        <w:t>). The LPC Registration Statement included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registration of the Initial Purchase Shares and the Commitment Shares. Subsequent to the Commencement Date and through August 3, 2020 we sold an additional 6,301,995 registered shares of our common stock to LPC and received aggregate gross cash proceeds of $2,891,200 (the </w:t>
      </w:r>
      <w:r>
        <w:rPr>
          <w:rFonts w:ascii="Arial" w:cs="Arial" w:eastAsia="Arial" w:hAnsi="Arial"/>
          <w:sz w:val="15"/>
          <w:szCs w:val="15"/>
          <w:i w:val="1"/>
          <w:iCs w:val="1"/>
          <w:color w:val="auto"/>
        </w:rPr>
        <w:t>Lincoln Park Agreement Shares</w:t>
      </w:r>
      <w:r>
        <w:rPr>
          <w:rFonts w:ascii="Arial" w:cs="Arial" w:eastAsia="Arial" w:hAnsi="Arial"/>
          <w:sz w:val="15"/>
          <w:szCs w:val="15"/>
          <w:color w:val="auto"/>
        </w:rPr>
        <w:t>). At August 3, 2020, there were approximately 2.0 million registered shares of common stock remaining available for sale under the LPC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PH94B Sublicense Agreement with EverInsight Therapeutics</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 xml:space="preserve">On June 24, 2020, we entered into a strategic licensing and collaboration agreement for the clinical development and commercialization of PH94B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Under the terms of the EverInsight Agreement, EverInsight will be responsible for clinical development, regulatory submissions and commercialization of PH94B for treatment of SAD, and potentially other anxiety-related indications, in markets in Greater China, South Korea and Southeast Asia.</w:t>
      </w:r>
    </w:p>
    <w:p>
      <w:pPr>
        <w:spacing w:after="0" w:line="175"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 xml:space="preserve">Under the terms of the EverInsight Agreement, on August 3, 2020, EverInsight made a non-dilutive upfront payment of $5.0 million (the </w:t>
      </w:r>
      <w:r>
        <w:rPr>
          <w:rFonts w:ascii="Arial" w:cs="Arial" w:eastAsia="Arial" w:hAnsi="Arial"/>
          <w:sz w:val="14"/>
          <w:szCs w:val="14"/>
          <w:i w:val="1"/>
          <w:iCs w:val="1"/>
          <w:color w:val="auto"/>
        </w:rPr>
        <w:t>EverInsight Cash</w:t>
      </w:r>
      <w:r>
        <w:rPr>
          <w:rFonts w:ascii="Arial" w:cs="Arial" w:eastAsia="Arial" w:hAnsi="Arial"/>
          <w:sz w:val="14"/>
          <w:szCs w:val="14"/>
          <w:color w:val="auto"/>
        </w:rPr>
        <w:t xml:space="preserve"> </w:t>
      </w:r>
      <w:r>
        <w:rPr>
          <w:rFonts w:ascii="Arial" w:cs="Arial" w:eastAsia="Arial" w:hAnsi="Arial"/>
          <w:sz w:val="14"/>
          <w:szCs w:val="14"/>
          <w:i w:val="1"/>
          <w:iCs w:val="1"/>
          <w:color w:val="auto"/>
        </w:rPr>
        <w:t>Payment</w:t>
      </w:r>
      <w:r>
        <w:rPr>
          <w:rFonts w:ascii="Arial" w:cs="Arial" w:eastAsia="Arial" w:hAnsi="Arial"/>
          <w:sz w:val="14"/>
          <w:szCs w:val="14"/>
          <w:color w:val="auto"/>
        </w:rPr>
        <w:t>) to us, of which we recognized net cash proceeds of $4.655 million, after sublicense and consulting payments which we were obligated to make pursuant to our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PH94B license from Pherin Pharmaceuticals and a business development consulting agreement. We are also eligible to receive additional development and commercial milestone payments in the future, upon successful attainment of specific milestones. On June 24, 2020, we issued 233,645 unregistered shares of our common stock, valued at $125,000, as partial compensation to a consultant for business development services related to the EverInsight Agreement (the </w:t>
      </w:r>
      <w:r>
        <w:rPr>
          <w:rFonts w:ascii="Arial" w:cs="Arial" w:eastAsia="Arial" w:hAnsi="Arial"/>
          <w:sz w:val="14"/>
          <w:szCs w:val="14"/>
          <w:i w:val="1"/>
          <w:iCs w:val="1"/>
          <w:color w:val="auto"/>
        </w:rPr>
        <w:t>EverInsight Services Shares</w:t>
      </w:r>
      <w:r>
        <w:rPr>
          <w:rFonts w:ascii="Arial" w:cs="Arial" w:eastAsia="Arial" w:hAnsi="Arial"/>
          <w:sz w:val="14"/>
          <w:szCs w:val="14"/>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212"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 xml:space="preserve">Following the approval of our 2019 Employee Stock Purchase Plan (the </w:t>
      </w:r>
      <w:r>
        <w:rPr>
          <w:rFonts w:ascii="Arial" w:cs="Arial" w:eastAsia="Arial" w:hAnsi="Arial"/>
          <w:sz w:val="14"/>
          <w:szCs w:val="14"/>
          <w:i w:val="1"/>
          <w:iCs w:val="1"/>
          <w:color w:val="auto"/>
        </w:rPr>
        <w:t>2019 ESPP</w:t>
      </w:r>
      <w:r>
        <w:rPr>
          <w:rFonts w:ascii="Arial" w:cs="Arial" w:eastAsia="Arial" w:hAnsi="Arial"/>
          <w:sz w:val="14"/>
          <w:szCs w:val="14"/>
          <w:color w:val="auto"/>
        </w:rPr>
        <w:t xml:space="preserve">) by our stockholders in September 2019, the 2019 ESPP became operational effective January 1, 2020. Under our 2019 ESPP, shares of our common stock are available for purchase by eligible employees who participate in the plan. Eligible employees are entitled to purchase, by means of payroll deductions, limited amounts of our common stock at a discount to the market price during periodic option periods under the 2019 ESPP. The initial option period under the 2019 ESPP was completed on June 30, 2020 and participating employees purchased an aggregate of 28,125 shares of our registered common stock (the </w:t>
      </w:r>
      <w:r>
        <w:rPr>
          <w:rFonts w:ascii="Arial" w:cs="Arial" w:eastAsia="Arial" w:hAnsi="Arial"/>
          <w:sz w:val="14"/>
          <w:szCs w:val="14"/>
          <w:i w:val="1"/>
          <w:iCs w:val="1"/>
          <w:color w:val="auto"/>
        </w:rPr>
        <w:t>ESPP Shares</w:t>
      </w:r>
      <w:r>
        <w:rPr>
          <w:rFonts w:ascii="Arial" w:cs="Arial" w:eastAsia="Arial" w:hAnsi="Arial"/>
          <w:sz w:val="14"/>
          <w:szCs w:val="14"/>
          <w:color w:val="auto"/>
        </w:rPr>
        <w:t>) at a price of $0.448 per share in accordance with the provisions of the 2019 ESPP.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 Exercises</w:t>
      </w:r>
    </w:p>
    <w:p>
      <w:pPr>
        <w:spacing w:after="0" w:line="150" w:lineRule="exact"/>
        <w:rPr>
          <w:sz w:val="20"/>
          <w:szCs w:val="20"/>
          <w:color w:val="auto"/>
        </w:rPr>
      </w:pPr>
    </w:p>
    <w:p>
      <w:pPr>
        <w:jc w:val="both"/>
        <w:ind w:firstLine="593"/>
        <w:spacing w:after="0" w:line="360" w:lineRule="auto"/>
        <w:rPr>
          <w:sz w:val="20"/>
          <w:szCs w:val="20"/>
          <w:color w:val="auto"/>
        </w:rPr>
      </w:pPr>
      <w:r>
        <w:rPr>
          <w:rFonts w:ascii="Arial" w:cs="Arial" w:eastAsia="Arial" w:hAnsi="Arial"/>
          <w:sz w:val="14"/>
          <w:szCs w:val="14"/>
          <w:color w:val="auto"/>
        </w:rPr>
        <w:t xml:space="preserve">During July 2020, certain holders of outstanding warrants to purchase shares of our common stock at an exercise price of $0.50 per share exercised such warrants to purchase 228,000 registered shares of our common stock (the </w:t>
      </w:r>
      <w:r>
        <w:rPr>
          <w:rFonts w:ascii="Arial" w:cs="Arial" w:eastAsia="Arial" w:hAnsi="Arial"/>
          <w:sz w:val="14"/>
          <w:szCs w:val="14"/>
          <w:i w:val="1"/>
          <w:iCs w:val="1"/>
          <w:color w:val="auto"/>
        </w:rPr>
        <w:t>Warrant Exercise Shares</w:t>
      </w:r>
      <w:r>
        <w:rPr>
          <w:rFonts w:ascii="Arial" w:cs="Arial" w:eastAsia="Arial" w:hAnsi="Arial"/>
          <w:sz w:val="14"/>
          <w:szCs w:val="14"/>
          <w:color w:val="auto"/>
        </w:rPr>
        <w:t>). We received aggregate cash proceeds of $114,000 from such exercise.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Nasdaq Compliance</w:t>
      </w:r>
    </w:p>
    <w:p>
      <w:pPr>
        <w:spacing w:after="0" w:line="212"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On March 30, 2020, we received a letter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xml:space="preserve">) notifying us that the listing of our shares of common stock was not in compliance with Nasdaq Listing Rule 5550(b)(2) (the </w:t>
      </w:r>
      <w:r>
        <w:rPr>
          <w:rFonts w:ascii="Arial" w:cs="Arial" w:eastAsia="Arial" w:hAnsi="Arial"/>
          <w:sz w:val="16"/>
          <w:szCs w:val="16"/>
          <w:i w:val="1"/>
          <w:iCs w:val="1"/>
          <w:color w:val="auto"/>
        </w:rPr>
        <w:t>MVLS Rule</w:t>
      </w:r>
      <w:r>
        <w:rPr>
          <w:rFonts w:ascii="Arial" w:cs="Arial" w:eastAsia="Arial" w:hAnsi="Arial"/>
          <w:sz w:val="16"/>
          <w:szCs w:val="16"/>
          <w:color w:val="auto"/>
        </w:rPr>
        <w:t>) for continued listing on the Nasdaq Capital Market, as the market value of our listed securities was less than $35 million for the previous 30 consecutive business days.</w:t>
      </w:r>
    </w:p>
    <w:p>
      <w:pPr>
        <w:spacing w:after="0" w:line="16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To regain compliance with the MVLS Rule, the market value of our listed securities must be $35 million or more for a minimum of 10 consecutive business days. Between July 20, 2020 and August 2, 2020, the market value of our listed securities was above $35 million. As a result, on August 3, 2020 we received a letter from Nasdaq’s Listing Qualifications Staff advising that we had regained compliance with the MVLS Rule. Please see “</w:t>
      </w:r>
      <w:r>
        <w:rPr>
          <w:rFonts w:ascii="Arial" w:cs="Arial" w:eastAsia="Arial" w:hAnsi="Arial"/>
          <w:sz w:val="16"/>
          <w:szCs w:val="16"/>
          <w:i w:val="1"/>
          <w:iCs w:val="1"/>
          <w:color w:val="auto"/>
        </w:rPr>
        <w:t>Risk Factors</w:t>
      </w:r>
      <w:r>
        <w:rPr>
          <w:rFonts w:ascii="Arial" w:cs="Arial" w:eastAsia="Arial" w:hAnsi="Arial"/>
          <w:sz w:val="16"/>
          <w:szCs w:val="16"/>
          <w:color w:val="auto"/>
        </w:rPr>
        <w:t>” below for additional disclosure regarding our compliance with Nasdaq Listing Rule 5550(a)(2).</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ind w:firstLine="593"/>
        <w:spacing w:after="0" w:line="300" w:lineRule="auto"/>
        <w:rPr>
          <w:sz w:val="20"/>
          <w:szCs w:val="20"/>
          <w:color w:val="auto"/>
        </w:rPr>
      </w:pPr>
      <w:r>
        <w:rPr>
          <w:rFonts w:ascii="Arial" w:cs="Arial" w:eastAsia="Arial" w:hAnsi="Arial"/>
          <w:sz w:val="14"/>
          <w:szCs w:val="14"/>
          <w:color w:val="auto"/>
        </w:rPr>
        <w:t>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w:t>
      </w:r>
    </w:p>
    <w:p>
      <w:pPr>
        <w:spacing w:after="0" w:line="1" w:lineRule="exact"/>
        <w:rPr>
          <w:sz w:val="20"/>
          <w:szCs w:val="20"/>
          <w:color w:val="auto"/>
        </w:rPr>
      </w:pPr>
    </w:p>
    <w:p>
      <w:pPr>
        <w:ind w:right="20" w:firstLine="3"/>
        <w:spacing w:after="0" w:line="276" w:lineRule="auto"/>
        <w:tabs>
          <w:tab w:leader="none" w:pos="40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20"/>
          </w:cols>
          <w:pgMar w:left="440" w:top="770"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1240"/>
          </w:cols>
          <w:pgMar w:left="320" w:top="522"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200"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15,625,000 shares (or 17,968,750 shares if the underwriters exercise in full their option to purchase additional shares).</w:t>
      </w:r>
    </w:p>
    <w:p>
      <w:pPr>
        <w:spacing w:after="0" w:line="152"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have granted the underwriters a 45-day option to purchase up to 2,343,750 additional shares of common stock at the public offering price, less underwriting discounts and commissions.</w:t>
      </w:r>
    </w:p>
    <w:p>
      <w:pPr>
        <w:spacing w:after="0" w:line="152"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line="290"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71,754,507 shares (or 74,098,557 shares if the underwriters exercise in full their option to purchase additional shares).</w:t>
      </w:r>
    </w:p>
    <w:p>
      <w:pPr>
        <w:spacing w:after="0" w:line="152" w:lineRule="exact"/>
        <w:rPr>
          <w:sz w:val="20"/>
          <w:szCs w:val="20"/>
          <w:color w:val="auto"/>
        </w:rPr>
      </w:pPr>
    </w:p>
    <w:p>
      <w:pPr>
        <w:sectPr>
          <w:pgSz w:w="11900" w:h="16838" w:orient="portrait"/>
          <w:cols w:equalWidth="0" w:num="2">
            <w:col w:w="3940" w:space="440"/>
            <w:col w:w="6860"/>
          </w:cols>
          <w:pgMar w:left="320" w:top="522" w:right="3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5"/>
          <w:szCs w:val="15"/>
          <w:color w:val="auto"/>
        </w:rPr>
        <w:t>We intend to use the net proceeds from this offering primarily for research and development expenses associated with continuing development of PH94B, PH10, AV-101, potential drug rescue candidates, and for other working capital and capital expenditures. See “</w:t>
      </w:r>
      <w:r>
        <w:rPr>
          <w:rFonts w:ascii="Arial" w:cs="Arial" w:eastAsia="Arial" w:hAnsi="Arial"/>
          <w:sz w:val="15"/>
          <w:szCs w:val="15"/>
          <w:i w:val="1"/>
          <w:iCs w:val="1"/>
          <w:color w:val="auto"/>
        </w:rPr>
        <w:t>Use of Proceeds</w:t>
      </w:r>
      <w:r>
        <w:rPr>
          <w:rFonts w:ascii="Arial" w:cs="Arial" w:eastAsia="Arial" w:hAnsi="Arial"/>
          <w:sz w:val="15"/>
          <w:szCs w:val="15"/>
          <w:color w:val="auto"/>
        </w:rPr>
        <w:t>” on page S-8.</w:t>
      </w:r>
    </w:p>
    <w:p>
      <w:pPr>
        <w:spacing w:after="0" w:line="147"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6"/>
          <w:szCs w:val="16"/>
          <w:color w:val="auto"/>
        </w:rPr>
        <w:t>Investing in our common stock involves a high degree of risk. For a discussion of factors that you should consider before buying our securities, see the information under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and under similar headings in the documents incorporated by reference into this prospectus supplement.</w:t>
      </w:r>
    </w:p>
    <w:p>
      <w:pPr>
        <w:spacing w:after="0" w:line="166"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Our common stock is listed on the Nasdaq Capital Market under the symbol “VTGN.”</w:t>
      </w:r>
    </w:p>
    <w:p>
      <w:pPr>
        <w:spacing w:after="0" w:line="200" w:lineRule="exact"/>
        <w:rPr>
          <w:sz w:val="20"/>
          <w:szCs w:val="20"/>
          <w:color w:val="auto"/>
        </w:rPr>
      </w:pPr>
    </w:p>
    <w:p>
      <w:pPr>
        <w:sectPr>
          <w:pgSz w:w="11900" w:h="16838" w:orient="portrait"/>
          <w:cols w:equalWidth="0" w:num="2">
            <w:col w:w="3660" w:space="720"/>
            <w:col w:w="6860"/>
          </w:cols>
          <w:pgMar w:left="320" w:top="522" w:right="339" w:bottom="1440" w:gutter="0" w:footer="0" w:header="0"/>
          <w:type w:val="continuous"/>
        </w:sectPr>
      </w:pPr>
    </w:p>
    <w:p>
      <w:pPr>
        <w:spacing w:after="0" w:line="3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number of shares of our common stock that are and will be outstanding immediately before and after this offering as shown above is based on 56,129,807 shares outstanding as of August 3, 2020. The number of shares outstanding as of August 3, 2020, as used throughout this prospectus supplement, unless otherwise indicated, excludes:</w:t>
      </w:r>
    </w:p>
    <w:p>
      <w:pPr>
        <w:spacing w:after="0" w:line="168" w:lineRule="exact"/>
        <w:rPr>
          <w:sz w:val="20"/>
          <w:szCs w:val="20"/>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Stock, held by two institutional investors, and shares of our common stock which may be issued in payment of accrued dividends upon conversion of the Series B 10% Convertible Preferred Stock;</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Stock held by one institutional investor;</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26,361,834 shares of common stock that have been reserved for issuance upon exercise of outstanding warrants, with a weighted average exercise price of $1.65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11,948,088 shares of common stock reserved for issuance upon exercise of outstanding stock options under our 2019 Omnibus Equity Incentive Plan and our 2016 Equity Incentive Plan, with a weighted average exercise price of $1.21 per share;</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4,785,162 shares of common stock reserved for future issuance in connection with future grants under our 2019 Omnibus Equity Incentive Plan;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36" w:lineRule="exact"/>
        <w:rPr>
          <w:sz w:val="20"/>
          <w:szCs w:val="20"/>
          <w:color w:val="auto"/>
        </w:rPr>
      </w:pPr>
    </w:p>
    <w:p>
      <w:pPr>
        <w:ind w:firstLine="591"/>
        <w:spacing w:after="0" w:line="285" w:lineRule="auto"/>
        <w:rPr>
          <w:sz w:val="20"/>
          <w:szCs w:val="20"/>
          <w:color w:val="auto"/>
        </w:rPr>
      </w:pPr>
      <w:r>
        <w:rPr>
          <w:rFonts w:ascii="Arial" w:cs="Arial" w:eastAsia="Arial" w:hAnsi="Arial"/>
          <w:sz w:val="16"/>
          <w:szCs w:val="16"/>
          <w:color w:val="auto"/>
        </w:rPr>
        <w:t>Unless otherwise indicated, this prospectus supplement reflects and assumes no exercise by the underwriters of their option to purchase additional shares of common stock and no exercise and/or conversion of any outstanding derivative securities as of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i w:val="1"/>
          <w:iCs w:val="1"/>
          <w:color w:val="auto"/>
        </w:rPr>
        <w:t>Our Annual Report on Form 10-K for the fiscal year ended March 31, 2020,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Related to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and may continue to adversely impact our business.</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In recent months,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200"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As the coronavirus pandemic continues to rapidly evolve, we cannot at this time accurately predict the effects of these conditions on our operations. Uncertainties remain as to the ultimate geographic spread of the virus, the severity of the disease, the duration of the outbreak, and the length and scope of the travel restrictions and business closures imposed by the governments of impacted countries. The continued outbreak of COVID-19, or another infectious disease with similar characteristics, may lead to the implementation of further responses, including additional travel restrictions, government-imposed quarantines or stay-at-home orders, and other public health safety measures, which may result in further disruptions to our business and operations. The COVID-19 outbreak has had an impact on our business, and a continuing outbreak or future outbreaks may have several adverse effects on our business, results of operations and financial condition.</w:t>
      </w:r>
    </w:p>
    <w:p>
      <w:pPr>
        <w:spacing w:after="0" w:line="160" w:lineRule="exact"/>
        <w:rPr>
          <w:sz w:val="20"/>
          <w:szCs w:val="20"/>
          <w:color w:val="auto"/>
        </w:rPr>
      </w:pPr>
    </w:p>
    <w:p>
      <w:pPr>
        <w:jc w:val="both"/>
        <w:ind w:left="680" w:hanging="557"/>
        <w:spacing w:after="0" w:line="263"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and may continue to face delays and other disruptions to our ongoing clinical development programs for PH94B, PH10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AV-101 due to the ongoing COVID-19 pandemic. In addition, regulatory oversight and actions regarding our products may be disrupted or delayed in regions impacted by COVID-19, including the U.S.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are advised to continue to work remotely as part of social distancing measures.</w:t>
      </w:r>
    </w:p>
    <w:p>
      <w:pPr>
        <w:spacing w:after="0" w:line="174" w:lineRule="exact"/>
        <w:rPr>
          <w:rFonts w:ascii="Arial" w:cs="Arial" w:eastAsia="Arial" w:hAnsi="Arial"/>
          <w:sz w:val="16"/>
          <w:szCs w:val="16"/>
          <w:color w:val="auto"/>
        </w:rPr>
      </w:pPr>
    </w:p>
    <w:p>
      <w:pPr>
        <w:jc w:val="both"/>
        <w:ind w:left="680" w:hanging="557"/>
        <w:spacing w:after="0" w:line="282"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Negative impacts on our suppliers and employees</w:t>
      </w:r>
      <w:r>
        <w:rPr>
          <w:rFonts w:ascii="Arial" w:cs="Arial" w:eastAsia="Arial" w:hAnsi="Arial"/>
          <w:sz w:val="15"/>
          <w:szCs w:val="15"/>
          <w:color w:val="auto"/>
        </w:rPr>
        <w:t>: COVID-19 or similar infectious diseases may impact the health of our employees, contractors or suppliers,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5"/>
          <w:szCs w:val="15"/>
          <w:i w:val="1"/>
          <w:iCs w:val="1"/>
          <w:color w:val="auto"/>
        </w:rPr>
        <w:t>API</w:t>
      </w:r>
      <w:r>
        <w:rPr>
          <w:rFonts w:ascii="Arial" w:cs="Arial" w:eastAsia="Arial" w:hAnsi="Arial"/>
          <w:sz w:val="15"/>
          <w:szCs w:val="15"/>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64"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COVID-19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 conditions and general economic environment. Our future results of operations and liquidity could be adversely impacted by supply chain disruptions and operational challenges faced by our CROs, CMOs and other contractors. Continued outbreaks of COVID-19 or a significant outbreak of contagious diseases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We will require additional financing to fund future operations, including our research and development activities for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6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56"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The price per share of our common stock being offered may be higher than the net tangible book value per share of our outstanding common stock prior to this offering. Based on the public offering price of $0.80 per share and our net tangible book value as of March 31, 2020 of approximately $(0.12) per share, if you purchase shares of common stock in this offering, you will suffer immediate and substantial dilution of approximately $0.69 per share, representing the difference between the public offering price per share and the net tangible book value per share of our common stock as of March 31, 2020 after giving effect to this offering. See the section entitled “</w:t>
      </w:r>
      <w:r>
        <w:rPr>
          <w:rFonts w:ascii="Arial" w:cs="Arial" w:eastAsia="Arial" w:hAnsi="Arial"/>
          <w:sz w:val="15"/>
          <w:szCs w:val="15"/>
          <w:i w:val="1"/>
          <w:iCs w:val="1"/>
          <w:color w:val="auto"/>
        </w:rPr>
        <w:t>Dilution</w:t>
      </w:r>
      <w:r>
        <w:rPr>
          <w:rFonts w:ascii="Arial" w:cs="Arial" w:eastAsia="Arial" w:hAnsi="Arial"/>
          <w:sz w:val="15"/>
          <w:szCs w:val="15"/>
          <w:color w:val="auto"/>
        </w:rPr>
        <w:t>” below for a more detailed discussion of the dilution you will incur if you purchase common stock in this offering.</w:t>
      </w:r>
    </w:p>
    <w:p>
      <w:pPr>
        <w:spacing w:after="0" w:line="159"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In addition, we expect that significant additional capital will be needed in the future to continue our planned operations.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4"/>
          <w:szCs w:val="14"/>
          <w:b w:val="1"/>
          <w:bCs w:val="1"/>
          <w:color w:val="auto"/>
        </w:rPr>
        <w:t>.</w:t>
      </w:r>
    </w:p>
    <w:p>
      <w:pPr>
        <w:spacing w:after="0" w:line="239"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August 3, 2020, we have 56,129,807 shares of common stock outstanding, as well as outstanding options to purchase an aggregate of 11,948,088 shares of our common stock at a weighted average exercise price of $1.21 per share, up to 4,228,252 shares of common stock issuable upon conversion of outstanding shares of our preferred stock, up to 3,936,498 shares of common stock reserved for issuance as payment of accrued dividends on outstanding shares of our Series B 10% Convertible Preferred Stock, and outstanding warrants to</w:t>
      </w:r>
    </w:p>
    <w:p>
      <w:pPr>
        <w:sectPr>
          <w:pgSz w:w="11900" w:h="16838" w:orient="portrait"/>
          <w:cols w:equalWidth="0" w:num="1">
            <w:col w:w="11240"/>
          </w:cols>
          <w:pgMar w:left="320" w:top="720" w:right="339" w:bottom="0" w:gutter="0" w:footer="0" w:header="0"/>
        </w:sectPr>
      </w:pPr>
    </w:p>
    <w:bookmarkStart w:id="8" w:name="page9"/>
    <w:bookmarkEnd w:id="8"/>
    <w:p>
      <w:pPr>
        <w:spacing w:after="0" w:line="285" w:lineRule="auto"/>
        <w:rPr>
          <w:sz w:val="20"/>
          <w:szCs w:val="20"/>
          <w:color w:val="auto"/>
        </w:rPr>
      </w:pPr>
      <w:r>
        <w:rPr>
          <w:rFonts w:ascii="Arial" w:cs="Arial" w:eastAsia="Arial" w:hAnsi="Arial"/>
          <w:sz w:val="16"/>
          <w:szCs w:val="16"/>
          <w:color w:val="auto"/>
        </w:rPr>
        <w:t>purchase up to an aggregate of 26,361,834 shares of our common stock at a weighted average exercise price of $1.65 per share. The exercise and/or conversion of such outstanding derivative securities may result in further dilution of your investment.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jc w:val="both"/>
        <w:ind w:left="1"/>
        <w:spacing w:after="0" w:line="285"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56" w:lineRule="exact"/>
        <w:rPr>
          <w:sz w:val="20"/>
          <w:szCs w:val="20"/>
          <w:color w:val="auto"/>
        </w:rPr>
      </w:pPr>
    </w:p>
    <w:p>
      <w:pPr>
        <w:jc w:val="both"/>
        <w:ind w:left="1" w:firstLine="593"/>
        <w:spacing w:after="0" w:line="263"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w:t>
      </w:r>
      <w:r>
        <w:rPr>
          <w:rFonts w:ascii="Arial" w:cs="Arial" w:eastAsia="Arial" w:hAnsi="Arial"/>
          <w:sz w:val="16"/>
          <w:szCs w:val="16"/>
          <w:i w:val="1"/>
          <w:iCs w:val="1"/>
          <w:color w:val="auto"/>
        </w:rPr>
        <w:t>Use of 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5" w:lineRule="exact"/>
        <w:rPr>
          <w:sz w:val="20"/>
          <w:szCs w:val="20"/>
          <w:color w:val="auto"/>
        </w:rPr>
      </w:pPr>
    </w:p>
    <w:p>
      <w:pPr>
        <w:jc w:val="both"/>
        <w:ind w:left="1" w:firstLine="40"/>
        <w:spacing w:after="0" w:line="285"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6" w:lineRule="exact"/>
        <w:rPr>
          <w:sz w:val="20"/>
          <w:szCs w:val="20"/>
          <w:color w:val="auto"/>
        </w:rPr>
      </w:pPr>
    </w:p>
    <w:p>
      <w:pPr>
        <w:jc w:val="both"/>
        <w:ind w:left="1" w:firstLine="593"/>
        <w:spacing w:after="0" w:line="262"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This offering could result in a significant limitation on our ability to utilize our net operating loss carryforwards to offset future taxable income.</w:t>
      </w:r>
    </w:p>
    <w:p>
      <w:pPr>
        <w:spacing w:after="0" w:line="212" w:lineRule="exact"/>
        <w:rPr>
          <w:sz w:val="20"/>
          <w:szCs w:val="20"/>
          <w:color w:val="auto"/>
        </w:rPr>
      </w:pPr>
    </w:p>
    <w:p>
      <w:pPr>
        <w:jc w:val="both"/>
        <w:ind w:left="1" w:firstLine="593"/>
        <w:spacing w:after="0" w:line="262" w:lineRule="auto"/>
        <w:rPr>
          <w:sz w:val="20"/>
          <w:szCs w:val="20"/>
          <w:color w:val="auto"/>
        </w:rPr>
      </w:pPr>
      <w:r>
        <w:rPr>
          <w:rFonts w:ascii="Arial" w:cs="Arial" w:eastAsia="Arial" w:hAnsi="Arial"/>
          <w:sz w:val="16"/>
          <w:szCs w:val="16"/>
          <w:color w:val="auto"/>
        </w:rPr>
        <w:t>As of March 31, 2020, we had federal and state net operating loss carryforwards (</w:t>
      </w:r>
      <w:r>
        <w:rPr>
          <w:rFonts w:ascii="Arial" w:cs="Arial" w:eastAsia="Arial" w:hAnsi="Arial"/>
          <w:sz w:val="16"/>
          <w:szCs w:val="16"/>
          <w:i w:val="1"/>
          <w:iCs w:val="1"/>
          <w:color w:val="auto"/>
        </w:rPr>
        <w:t>NOLs</w:t>
      </w:r>
      <w:r>
        <w:rPr>
          <w:rFonts w:ascii="Arial" w:cs="Arial" w:eastAsia="Arial" w:hAnsi="Arial"/>
          <w:sz w:val="16"/>
          <w:szCs w:val="16"/>
          <w:color w:val="auto"/>
        </w:rPr>
        <w:t xml:space="preserve">) of approximately $125.1 million and $64.1 million, respectively, which begin to expire in our fiscal year ending March 31, 2021.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xml:space="preserve"> changes in our ownership may limit the amount of our net operating loss carryforwards that could be utilized annually to offset our future taxable income, if any. This limitation would generally apply in the event of a cumulative change in ownership of our stock (for Code Section 382 purposes) of more than 50% within a three-year period. Any such limitation may significantly reduce our ability to utilize our net operating loss carryforwards and tax credit carryforwards before they expire and could have a material adverse effect on our results of operations in future years. We have not assessed whether such an ownership change has previously occurred and it is possible that this offering could result in an ownership change.</w:t>
      </w:r>
    </w:p>
    <w:p>
      <w:pPr>
        <w:spacing w:after="0" w:line="176" w:lineRule="exact"/>
        <w:rPr>
          <w:sz w:val="20"/>
          <w:szCs w:val="20"/>
          <w:color w:val="auto"/>
        </w:rPr>
      </w:pPr>
    </w:p>
    <w:p>
      <w:pPr>
        <w:jc w:val="both"/>
        <w:ind w:left="1"/>
        <w:spacing w:after="0" w:line="28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stock price and trading volume could decline.</w:t>
      </w:r>
    </w:p>
    <w:p>
      <w:pPr>
        <w:spacing w:after="0" w:line="156"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two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0" w:lineRule="exact"/>
        <w:rPr>
          <w:sz w:val="20"/>
          <w:szCs w:val="20"/>
          <w:color w:val="auto"/>
        </w:rPr>
      </w:pPr>
    </w:p>
    <w:p>
      <w:pPr>
        <w:ind w:left="1" w:right="40"/>
        <w:spacing w:after="0" w:line="285" w:lineRule="auto"/>
        <w:rPr>
          <w:sz w:val="20"/>
          <w:szCs w:val="20"/>
          <w:color w:val="auto"/>
        </w:rPr>
      </w:pPr>
      <w:r>
        <w:rPr>
          <w:rFonts w:ascii="Arial" w:cs="Arial" w:eastAsia="Arial" w:hAnsi="Arial"/>
          <w:sz w:val="16"/>
          <w:szCs w:val="16"/>
          <w:b w:val="1"/>
          <w:bCs w:val="1"/>
          <w:i w:val="1"/>
          <w:iCs w:val="1"/>
          <w:color w:val="auto"/>
        </w:rPr>
        <w:t>The market price of our common stock may be adversely affected by market conditions affecting the stock markets in general, including price and trading fluctuations on Nasdaq.</w:t>
      </w:r>
    </w:p>
    <w:p>
      <w:pPr>
        <w:spacing w:after="0" w:line="156"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70" w:lineRule="exact"/>
        <w:rPr>
          <w:sz w:val="20"/>
          <w:szCs w:val="20"/>
          <w:color w:val="auto"/>
        </w:rPr>
      </w:pPr>
    </w:p>
    <w:p>
      <w:pPr>
        <w:jc w:val="both"/>
        <w:ind w:left="1"/>
        <w:spacing w:after="0" w:line="285" w:lineRule="auto"/>
        <w:rPr>
          <w:sz w:val="20"/>
          <w:szCs w:val="20"/>
          <w:color w:val="auto"/>
        </w:rPr>
      </w:pPr>
      <w:r>
        <w:rPr>
          <w:rFonts w:ascii="Arial" w:cs="Arial" w:eastAsia="Arial" w:hAnsi="Arial"/>
          <w:sz w:val="16"/>
          <w:szCs w:val="16"/>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6" w:lineRule="exact"/>
        <w:rPr>
          <w:sz w:val="20"/>
          <w:szCs w:val="20"/>
          <w:color w:val="auto"/>
        </w:rPr>
      </w:pPr>
    </w:p>
    <w:p>
      <w:pPr>
        <w:ind w:left="601"/>
        <w:spacing w:after="0"/>
        <w:rPr>
          <w:sz w:val="20"/>
          <w:szCs w:val="20"/>
          <w:color w:val="auto"/>
        </w:rPr>
      </w:pPr>
      <w:r>
        <w:rPr>
          <w:rFonts w:ascii="Arial" w:cs="Arial" w:eastAsia="Arial" w:hAnsi="Arial"/>
          <w:sz w:val="14"/>
          <w:szCs w:val="14"/>
          <w:color w:val="auto"/>
        </w:rPr>
        <w:t>On January 31, 2020, we were notified by Nasdaq that we were not in compliance with the minimum bid price requirements set forth in Nasdaq Listing Rule 5550(a)</w:t>
      </w:r>
    </w:p>
    <w:p>
      <w:pPr>
        <w:spacing w:after="0" w:line="44" w:lineRule="exact"/>
        <w:rPr>
          <w:sz w:val="20"/>
          <w:szCs w:val="20"/>
          <w:color w:val="auto"/>
        </w:rPr>
      </w:pPr>
    </w:p>
    <w:p>
      <w:pPr>
        <w:jc w:val="both"/>
        <w:ind w:left="1" w:hanging="1"/>
        <w:spacing w:after="0" w:line="286" w:lineRule="auto"/>
        <w:tabs>
          <w:tab w:leader="none" w:pos="242"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(the </w:t>
      </w:r>
      <w:r>
        <w:rPr>
          <w:rFonts w:ascii="Arial" w:cs="Arial" w:eastAsia="Arial" w:hAnsi="Arial"/>
          <w:sz w:val="15"/>
          <w:szCs w:val="15"/>
          <w:i w:val="1"/>
          <w:iCs w:val="1"/>
          <w:color w:val="auto"/>
        </w:rPr>
        <w:t>Bid Price</w:t>
      </w:r>
      <w:r>
        <w:rPr>
          <w:rFonts w:ascii="Arial" w:cs="Arial" w:eastAsia="Arial" w:hAnsi="Arial"/>
          <w:sz w:val="15"/>
          <w:szCs w:val="15"/>
          <w:color w:val="auto"/>
        </w:rPr>
        <w:t xml:space="preserve"> </w:t>
      </w:r>
      <w:r>
        <w:rPr>
          <w:rFonts w:ascii="Arial" w:cs="Arial" w:eastAsia="Arial" w:hAnsi="Arial"/>
          <w:sz w:val="15"/>
          <w:szCs w:val="15"/>
          <w:i w:val="1"/>
          <w:iCs w:val="1"/>
          <w:color w:val="auto"/>
        </w:rPr>
        <w:t>Rule</w:t>
      </w:r>
      <w:r>
        <w:rPr>
          <w:rFonts w:ascii="Arial" w:cs="Arial" w:eastAsia="Arial" w:hAnsi="Arial"/>
          <w:sz w:val="15"/>
          <w:szCs w:val="15"/>
          <w:color w:val="auto"/>
        </w:rPr>
        <w:t>). To regain compliance, the bid price of our common stock must have a closing bid price of at least $1.00 per share for a minimum of 10 consecutive business days.</w:t>
      </w:r>
    </w:p>
    <w:p>
      <w:pPr>
        <w:spacing w:after="0" w:line="159" w:lineRule="exact"/>
        <w:rPr>
          <w:sz w:val="20"/>
          <w:szCs w:val="20"/>
          <w:color w:val="auto"/>
        </w:rPr>
      </w:pPr>
    </w:p>
    <w:p>
      <w:pPr>
        <w:jc w:val="both"/>
        <w:ind w:left="1" w:firstLine="593"/>
        <w:spacing w:after="0" w:line="284" w:lineRule="auto"/>
        <w:rPr>
          <w:sz w:val="20"/>
          <w:szCs w:val="20"/>
          <w:color w:val="auto"/>
        </w:rPr>
      </w:pPr>
      <w:r>
        <w:rPr>
          <w:rFonts w:ascii="Arial" w:cs="Arial" w:eastAsia="Arial" w:hAnsi="Arial"/>
          <w:sz w:val="15"/>
          <w:szCs w:val="15"/>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now have until October 12, 2020 to regain compliance with the Bid Price Rule. If we do not regain compliance with the Bid Price Rule by October 12, 2020, an additional 180 days may be granted to regain compliance, so long as we meet the Nasdaq Capital Market continued listing requirements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85" w:lineRule="exact"/>
        <w:rPr>
          <w:sz w:val="20"/>
          <w:szCs w:val="20"/>
          <w:color w:val="auto"/>
        </w:rPr>
      </w:pPr>
    </w:p>
    <w:p>
      <w:pPr>
        <w:jc w:val="both"/>
        <w:ind w:left="1" w:firstLine="593"/>
        <w:spacing w:after="0" w:line="290" w:lineRule="auto"/>
        <w:rPr>
          <w:sz w:val="20"/>
          <w:szCs w:val="20"/>
          <w:color w:val="auto"/>
        </w:rPr>
      </w:pPr>
      <w:r>
        <w:rPr>
          <w:rFonts w:ascii="Arial" w:cs="Arial" w:eastAsia="Arial" w:hAnsi="Arial"/>
          <w:sz w:val="15"/>
          <w:szCs w:val="15"/>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COVID-19 pandemic, efforts to contain the pandemic and resulting economic downturn on our operations and financial condition;</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regulatory developments in the U.S. and foreign countries;</w:t>
      </w:r>
    </w:p>
    <w:p>
      <w:pPr>
        <w:spacing w:after="0" w:line="211" w:lineRule="exact"/>
        <w:rPr>
          <w:rFonts w:ascii="Arial" w:cs="Arial" w:eastAsia="Arial" w:hAnsi="Arial"/>
          <w:sz w:val="16"/>
          <w:szCs w:val="16"/>
          <w:color w:val="auto"/>
        </w:rPr>
      </w:pPr>
    </w:p>
    <w:p>
      <w:pPr>
        <w:ind w:left="600" w:hanging="304"/>
        <w:spacing w:after="0" w:line="320"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33" w:lineRule="exact"/>
        <w:rPr>
          <w:rFonts w:ascii="Arial" w:cs="Arial" w:eastAsia="Arial" w:hAnsi="Arial"/>
          <w:sz w:val="15"/>
          <w:szCs w:val="15"/>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loss of key scientific, clinical and nonclinical development, and/or management personnel, internally or from one of our third-party collaborators; and</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which risk factors are incorporated herein by reference.</w:t>
      </w:r>
    </w:p>
    <w:p>
      <w:pPr>
        <w:spacing w:after="0" w:line="156"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ind w:firstLine="445"/>
        <w:spacing w:after="0" w:line="320" w:lineRule="auto"/>
        <w:rPr>
          <w:sz w:val="20"/>
          <w:szCs w:val="20"/>
          <w:color w:val="auto"/>
        </w:rPr>
      </w:pPr>
      <w:r>
        <w:rPr>
          <w:rFonts w:ascii="Arial" w:cs="Arial" w:eastAsia="Arial" w:hAnsi="Arial"/>
          <w:sz w:val="15"/>
          <w:szCs w:val="15"/>
          <w:color w:val="auto"/>
        </w:rPr>
        <w:t>We estimate that our net proceeds from this offering will be approximately $11.26 million (or approximately $12.97 million if the underwriters exercise their option to purchase additional shares in full), in each case, after deducting the underwriting discounts and commissions and estimated offering expenses payable by us.</w:t>
      </w:r>
    </w:p>
    <w:p>
      <w:pPr>
        <w:spacing w:after="0" w:line="133"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We currently intend to use the net proceeds from the sale of the shares of common stock offered by this prospectus supplement to fund continued development of our CNS pipeline programs, and for general research and development, working capital and general corporate purposes.</w:t>
      </w:r>
    </w:p>
    <w:p>
      <w:pPr>
        <w:spacing w:after="0" w:line="15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 At July 31, 2020, accrued dividends on our Series B 10% Convertible Preferred Stock total approximately $5.46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CAPITALIZATION</w:t>
      </w:r>
    </w:p>
    <w:p>
      <w:pPr>
        <w:spacing w:after="0" w:line="216" w:lineRule="exact"/>
        <w:rPr>
          <w:sz w:val="20"/>
          <w:szCs w:val="20"/>
          <w:color w:val="auto"/>
        </w:rPr>
      </w:pPr>
    </w:p>
    <w:p>
      <w:pPr>
        <w:ind w:left="601"/>
        <w:spacing w:after="0"/>
        <w:rPr>
          <w:sz w:val="20"/>
          <w:szCs w:val="20"/>
          <w:color w:val="auto"/>
        </w:rPr>
      </w:pPr>
      <w:r>
        <w:rPr>
          <w:rFonts w:ascii="Arial" w:cs="Arial" w:eastAsia="Arial" w:hAnsi="Arial"/>
          <w:sz w:val="16"/>
          <w:szCs w:val="16"/>
          <w:color w:val="auto"/>
        </w:rPr>
        <w:t>The following table sets forth our cash and cash equivalents and capitalization as of March 31, 2020:</w:t>
      </w:r>
    </w:p>
    <w:p>
      <w:pPr>
        <w:spacing w:after="0" w:line="212" w:lineRule="exact"/>
        <w:rPr>
          <w:sz w:val="20"/>
          <w:szCs w:val="20"/>
          <w:color w:val="auto"/>
        </w:rPr>
      </w:pPr>
    </w:p>
    <w:p>
      <w:pPr>
        <w:ind w:left="601" w:hanging="304"/>
        <w:spacing w:after="0"/>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211" w:lineRule="exact"/>
        <w:rPr>
          <w:rFonts w:ascii="Arial" w:cs="Arial" w:eastAsia="Arial" w:hAnsi="Arial"/>
          <w:sz w:val="16"/>
          <w:szCs w:val="16"/>
          <w:color w:val="auto"/>
        </w:rPr>
      </w:pPr>
    </w:p>
    <w:p>
      <w:pPr>
        <w:jc w:val="both"/>
        <w:ind w:left="601" w:hanging="304"/>
        <w:spacing w:after="0" w:line="271"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 pro forma basis giving effect to the issuance of shares of common stock and warrants and the receipt of proceeds, each as applicable, in connection with the Spring 2020 Private Placement, the Lincoln Park Agreement Shares, the EverInsight Cash Payment, net of related expenses, the EverInsight Services Shares, the ESPP Shares and the Warrant Exercise Shares; and</w:t>
      </w:r>
    </w:p>
    <w:p>
      <w:pPr>
        <w:spacing w:after="0" w:line="167" w:lineRule="exact"/>
        <w:rPr>
          <w:rFonts w:ascii="Arial" w:cs="Arial" w:eastAsia="Arial" w:hAnsi="Arial"/>
          <w:sz w:val="16"/>
          <w:szCs w:val="16"/>
          <w:color w:val="auto"/>
        </w:rPr>
      </w:pPr>
    </w:p>
    <w:p>
      <w:pPr>
        <w:ind w:left="601" w:hanging="304"/>
        <w:spacing w:after="0" w:line="285"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sale and issuance by us of shares of common stock in this offering, at a public offering price of $0.80 per share, after deducting the underwriting discount and commissions, and estimated offering expenses payable by us.</w:t>
      </w:r>
    </w:p>
    <w:p>
      <w:pPr>
        <w:sectPr>
          <w:pgSz w:w="11900" w:h="16838" w:orient="portrait"/>
          <w:cols w:equalWidth="0" w:num="1">
            <w:col w:w="11241"/>
          </w:cols>
          <w:pgMar w:left="319" w:top="522" w:right="339" w:bottom="1440" w:gutter="0" w:footer="0" w:header="0"/>
        </w:sectPr>
      </w:pP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As of March 31, 2020</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(amounts in dollars and in thousands, except share and per share amounts)</w:t>
      </w:r>
    </w:p>
    <w:p>
      <w:pPr>
        <w:spacing w:after="0" w:line="66" w:lineRule="exact"/>
        <w:rPr>
          <w:sz w:val="20"/>
          <w:szCs w:val="20"/>
          <w:color w:val="auto"/>
        </w:rPr>
      </w:pPr>
    </w:p>
    <w:p>
      <w:pPr>
        <w:ind w:left="1"/>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56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Pro forma, as</w:t>
            </w: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adjusted</w:t>
            </w:r>
          </w:p>
        </w:tc>
      </w:tr>
      <w:tr>
        <w:trPr>
          <w:trHeight w:val="198"/>
        </w:trPr>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9,361</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21" w:space="720"/>
            <w:col w:w="3900"/>
          </w:cols>
          <w:pgMar w:left="319" w:top="522" w:right="339" w:bottom="1440" w:gutter="0" w:footer="0" w:header="0"/>
          <w:type w:val="continuous"/>
        </w:sectPr>
      </w:pPr>
    </w:p>
    <w:tbl>
      <w:tblPr>
        <w:tblLayout w:type="fixed"/>
        <w:tblInd w:w="1" w:type="dxa"/>
        <w:tblCellMar>
          <w:top w:w="0" w:type="dxa"/>
          <w:left w:w="0" w:type="dxa"/>
          <w:bottom w:w="0" w:type="dxa"/>
          <w:right w:w="0" w:type="dxa"/>
        </w:tblCellMar>
      </w:tblP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7240" w:type="dxa"/>
            <w:vAlign w:val="bottom"/>
          </w:tcPr>
          <w:p>
            <w:pPr>
              <w:spacing w:after="0"/>
              <w:rPr>
                <w:sz w:val="20"/>
                <w:szCs w:val="20"/>
                <w:color w:val="auto"/>
              </w:rPr>
            </w:pPr>
            <w:r>
              <w:rPr>
                <w:rFonts w:ascii="Arial" w:cs="Arial" w:eastAsia="Arial" w:hAnsi="Arial"/>
                <w:sz w:val="16"/>
                <w:szCs w:val="16"/>
                <w:color w:val="auto"/>
              </w:rPr>
              <w:t>Preferred stock, $0.001 par value, 10,000,000 shares authorized: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w w:val="93"/>
              </w:rPr>
              <w:t>Series A Preferred, 500,000 shares authorized and outstanding, actual, pro forma and pro forma, as adjusted</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w w:val="92"/>
              </w:rPr>
              <w:t>Series B Preferred, 4,000,000 shares authorized and 1,160,240 shares outstanding, actual, pro forma and pro</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240" w:type="dxa"/>
            <w:vAlign w:val="bottom"/>
          </w:tcPr>
          <w:p>
            <w:pPr>
              <w:spacing w:after="0"/>
              <w:rPr>
                <w:sz w:val="20"/>
                <w:szCs w:val="20"/>
                <w:color w:val="auto"/>
              </w:rPr>
            </w:pPr>
            <w:r>
              <w:rPr>
                <w:rFonts w:ascii="Arial" w:cs="Arial" w:eastAsia="Arial" w:hAnsi="Arial"/>
                <w:sz w:val="16"/>
                <w:szCs w:val="16"/>
                <w:color w:val="auto"/>
              </w:rPr>
              <w:t>forma, as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w w:val="92"/>
              </w:rPr>
              <w:t>Series C Preferred, 3,000,000 shares authorized and 2,318,012 shares outstanding, actual, pro forma and pro</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forma, as adjusted</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w w:val="90"/>
              </w:rPr>
              <w:t>Common stock, $0.001 par value, 175,000,000 shares authorized; 49,348,707 shares issued, actual; 56,265,472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240" w:type="dxa"/>
            <w:vAlign w:val="bottom"/>
          </w:tcPr>
          <w:p>
            <w:pPr>
              <w:spacing w:after="0"/>
              <w:rPr>
                <w:sz w:val="20"/>
                <w:szCs w:val="20"/>
                <w:color w:val="auto"/>
              </w:rPr>
            </w:pPr>
            <w:r>
              <w:rPr>
                <w:rFonts w:ascii="Arial" w:cs="Arial" w:eastAsia="Arial" w:hAnsi="Arial"/>
                <w:sz w:val="16"/>
                <w:szCs w:val="16"/>
                <w:color w:val="auto"/>
              </w:rPr>
              <w:t>shares issued, pro forma;71,890,472 shares issued, pro forma, as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r>
      <w:tr>
        <w:trPr>
          <w:trHeight w:val="199"/>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200,093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203,184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214,430</w:t>
            </w:r>
          </w:p>
        </w:tc>
      </w:tr>
      <w:tr>
        <w:trPr>
          <w:trHeight w:val="198"/>
        </w:trPr>
        <w:tc>
          <w:tcPr>
            <w:tcW w:w="7240" w:type="dxa"/>
            <w:vAlign w:val="bottom"/>
          </w:tcPr>
          <w:p>
            <w:pPr>
              <w:spacing w:after="0"/>
              <w:rPr>
                <w:sz w:val="20"/>
                <w:szCs w:val="20"/>
                <w:color w:val="auto"/>
              </w:rPr>
            </w:pPr>
            <w:r>
              <w:rPr>
                <w:rFonts w:ascii="Arial" w:cs="Arial" w:eastAsia="Arial" w:hAnsi="Arial"/>
                <w:sz w:val="16"/>
                <w:szCs w:val="16"/>
                <w:color w:val="auto"/>
              </w:rPr>
              <w:t>Treasury stock, at cost, 135,665 shares, actual, pro forma and pro forma, as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(3,968)</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(201,907)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(202,377)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(202,377)</w:t>
            </w:r>
          </w:p>
        </w:tc>
      </w:tr>
      <w:tr>
        <w:trPr>
          <w:trHeight w:val="25"/>
        </w:trPr>
        <w:tc>
          <w:tcPr>
            <w:tcW w:w="7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8"/>
        </w:trPr>
        <w:tc>
          <w:tcPr>
            <w:tcW w:w="724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(5,729)</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(3,101)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8,160</w:t>
            </w:r>
          </w:p>
        </w:tc>
      </w:tr>
      <w:tr>
        <w:trPr>
          <w:trHeight w:val="25"/>
        </w:trPr>
        <w:tc>
          <w:tcPr>
            <w:tcW w:w="7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8"/>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capitalization</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8,160</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301"/>
        <w:spacing w:after="0"/>
        <w:rPr>
          <w:sz w:val="20"/>
          <w:szCs w:val="20"/>
          <w:color w:val="auto"/>
        </w:rPr>
      </w:pPr>
      <w:r>
        <w:rPr>
          <w:rFonts w:ascii="Arial" w:cs="Arial" w:eastAsia="Arial" w:hAnsi="Arial"/>
          <w:sz w:val="15"/>
          <w:szCs w:val="15"/>
          <w:color w:val="auto"/>
        </w:rPr>
        <w:t>The above discussion and table are based on 49,213,042 shares of common stock outstanding as of March 31, 2020 and excludes the following securities:</w:t>
      </w:r>
    </w:p>
    <w:p>
      <w:pPr>
        <w:spacing w:after="0" w:line="248" w:lineRule="exact"/>
        <w:rPr>
          <w:sz w:val="20"/>
          <w:szCs w:val="20"/>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2,318,012 shares of our Series C Convertible Preferred held by one institutional investor;</w:t>
      </w:r>
    </w:p>
    <w:p>
      <w:pPr>
        <w:spacing w:after="0" w:line="172" w:lineRule="exact"/>
        <w:rPr>
          <w:rFonts w:ascii="Arial" w:cs="Arial" w:eastAsia="Arial" w:hAnsi="Arial"/>
          <w:sz w:val="14"/>
          <w:szCs w:val="14"/>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26,555,281 shares of common stock that have been reserved for issuance upon exercise of outstanding warrants, with a weighted average exercise price of $1.64 per share;</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10,003,088 shares of common stock reserved for issuance upon exercise of outstanding stock options under our 2019 Omnibus Equity Incentive Plan and our 2016 Equity Incentive Plan, with a weighted average exercise price of $1.36 per share;</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the 2019 ESPP; and</w:t>
      </w:r>
    </w:p>
    <w:p>
      <w:pPr>
        <w:spacing w:after="0" w:line="236"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underwriters’ option to purchase additional shares of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DI LUTION</w:t>
      </w:r>
    </w:p>
    <w:p>
      <w:pPr>
        <w:spacing w:after="0" w:line="216"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offering price per share in this offering and our as adjusted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March 31, 2020, our net tangible book value was approximately $(5,729,400), or approximately $(0.12) per share.</w:t>
      </w:r>
    </w:p>
    <w:p>
      <w:pPr>
        <w:spacing w:after="0" w:line="170" w:lineRule="exact"/>
        <w:rPr>
          <w:sz w:val="20"/>
          <w:szCs w:val="20"/>
          <w:color w:val="auto"/>
        </w:rPr>
      </w:pPr>
    </w:p>
    <w:p>
      <w:pPr>
        <w:jc w:val="both"/>
        <w:ind w:left="1" w:firstLine="593"/>
        <w:spacing w:after="0" w:line="327" w:lineRule="auto"/>
        <w:rPr>
          <w:sz w:val="20"/>
          <w:szCs w:val="20"/>
          <w:color w:val="auto"/>
        </w:rPr>
      </w:pPr>
      <w:r>
        <w:rPr>
          <w:rFonts w:ascii="Arial" w:cs="Arial" w:eastAsia="Arial" w:hAnsi="Arial"/>
          <w:sz w:val="14"/>
          <w:szCs w:val="14"/>
          <w:color w:val="auto"/>
        </w:rPr>
        <w:t>Pro forma net tangible book value per share represents our total tangible assets less our total liabilities, divided by the number of shares of common stock outstanding as of March 31, 2020, after giving effect to the receipt of net proceeds and issuance of shares of common stock, as applicable, in connection with the Spring 2020 Private Placement, the Lincoln Park Agreement Shares, the EverInsight Cash Payment, the EverInsight Services Shares, the ESPP Shares and the Warrant Exercise Shares.</w:t>
      </w:r>
    </w:p>
    <w:p>
      <w:pPr>
        <w:spacing w:after="0" w:line="133" w:lineRule="exact"/>
        <w:rPr>
          <w:sz w:val="20"/>
          <w:szCs w:val="20"/>
          <w:color w:val="auto"/>
        </w:rPr>
      </w:pPr>
    </w:p>
    <w:p>
      <w:pPr>
        <w:jc w:val="both"/>
        <w:ind w:left="1" w:firstLine="593"/>
        <w:spacing w:after="0" w:line="264" w:lineRule="auto"/>
        <w:rPr>
          <w:sz w:val="20"/>
          <w:szCs w:val="20"/>
          <w:color w:val="auto"/>
        </w:rPr>
      </w:pPr>
      <w:r>
        <w:rPr>
          <w:rFonts w:ascii="Arial" w:cs="Arial" w:eastAsia="Arial" w:hAnsi="Arial"/>
          <w:sz w:val="16"/>
          <w:szCs w:val="16"/>
          <w:color w:val="auto"/>
        </w:rPr>
        <w:t>After further giving effect to (i) the pro forma adjustment described above, and (ii) the sale by us of 15,625,000 shares of common stock in this offering at a public offering price of $0.80 per share, after deducting the underwriting discount and commissions, and estimated offering expenses payable by us, our pro forma, as adjusted net tangible book value as of March 31, 2020 would have been approximately $8,160,100 or approximately $0.11 per share. This amount represents an immediate increase in net tangible book value of approximately $0.17 per share to existing stockholders and an immediate dilution in net tangible book value of approximately $0.69 per share to purchasers of our common stock in this offering.</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8540" w:type="dxa"/>
            <w:vAlign w:val="bottom"/>
          </w:tcPr>
          <w:p>
            <w:pPr>
              <w:ind w:left="600"/>
              <w:spacing w:after="0"/>
              <w:rPr>
                <w:sz w:val="20"/>
                <w:szCs w:val="20"/>
                <w:color w:val="auto"/>
              </w:rPr>
            </w:pPr>
            <w:r>
              <w:rPr>
                <w:rFonts w:ascii="Arial" w:cs="Arial" w:eastAsia="Arial" w:hAnsi="Arial"/>
                <w:sz w:val="16"/>
                <w:szCs w:val="16"/>
                <w:color w:val="auto"/>
              </w:rPr>
              <w:t>The following table illustrates the dilution in net tangible book value per share to new investors:</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8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 per share:</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0.80</w:t>
            </w:r>
          </w:p>
        </w:tc>
      </w:tr>
      <w:tr>
        <w:trPr>
          <w:trHeight w:val="198"/>
        </w:trPr>
        <w:tc>
          <w:tcPr>
            <w:tcW w:w="8540" w:type="dxa"/>
            <w:vAlign w:val="bottom"/>
          </w:tcPr>
          <w:p>
            <w:pPr>
              <w:ind w:left="300"/>
              <w:spacing w:after="0"/>
              <w:rPr>
                <w:sz w:val="20"/>
                <w:szCs w:val="20"/>
                <w:color w:val="auto"/>
              </w:rPr>
            </w:pPr>
            <w:r>
              <w:rPr>
                <w:rFonts w:ascii="Arial" w:cs="Arial" w:eastAsia="Arial" w:hAnsi="Arial"/>
                <w:sz w:val="16"/>
                <w:szCs w:val="16"/>
                <w:color w:val="auto"/>
              </w:rPr>
              <w:t>Net tangible book value per share as of March 31, 2020</w:t>
            </w:r>
          </w:p>
        </w:tc>
        <w:tc>
          <w:tcPr>
            <w:tcW w:w="560" w:type="dxa"/>
            <w:vAlign w:val="bottom"/>
            <w:gridSpan w:val="2"/>
          </w:tcPr>
          <w:p>
            <w:pPr>
              <w:jc w:val="right"/>
              <w:ind w:right="26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(0.12)</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Pro forma increase in net tangible book value per share attributable to the (i) Spring 2020 Private Placement, (ii) the Lincoln</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8"/>
        </w:trPr>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1"/>
              </w:rPr>
              <w:t>Park Agreement Shares;(iii) the EverInsight Cash Payment; (iv) the EverInsight Services Shares;(v) the ESPP Shares; and (vi)</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the Warrant Exercise Shares</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0.06</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
        </w:trPr>
        <w:tc>
          <w:tcPr>
            <w:tcW w:w="8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8"/>
        </w:trPr>
        <w:tc>
          <w:tcPr>
            <w:tcW w:w="854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as of March 31, 2020</w:t>
            </w:r>
          </w:p>
        </w:tc>
        <w:tc>
          <w:tcPr>
            <w:tcW w:w="140" w:type="dxa"/>
            <w:vAlign w:val="bottom"/>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(0.06)</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in pro forma, as adjusted, net tangible book value per share after this offering</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8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0.11</w:t>
            </w:r>
          </w:p>
        </w:tc>
      </w:tr>
      <w:tr>
        <w:trPr>
          <w:trHeight w:val="198"/>
        </w:trPr>
        <w:tc>
          <w:tcPr>
            <w:tcW w:w="8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as adjusted net tangible book value per share to new investors in this offering</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0.69</w:t>
            </w:r>
          </w:p>
        </w:tc>
      </w:tr>
      <w:tr>
        <w:trPr>
          <w:trHeight w:val="20"/>
        </w:trPr>
        <w:tc>
          <w:tcPr>
            <w:tcW w:w="8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both"/>
        <w:ind w:left="1" w:firstLine="445"/>
        <w:spacing w:after="0" w:line="271" w:lineRule="auto"/>
        <w:rPr>
          <w:sz w:val="20"/>
          <w:szCs w:val="20"/>
          <w:color w:val="auto"/>
        </w:rPr>
      </w:pPr>
      <w:r>
        <w:rPr>
          <w:rFonts w:ascii="Arial" w:cs="Arial" w:eastAsia="Arial" w:hAnsi="Arial"/>
          <w:sz w:val="16"/>
          <w:szCs w:val="16"/>
          <w:color w:val="auto"/>
        </w:rPr>
        <w:t>If the underwriters exercise their option to purchase additional shares in full, the pro forma net tangible book value would increase to approximately $0.13 per share, representing an increase to existing stockholders of approximately $0.19 per share, and there would be an immediate dilution of approximately $0.67 per share to new investors.</w:t>
      </w:r>
    </w:p>
    <w:p>
      <w:pPr>
        <w:spacing w:after="0" w:line="168" w:lineRule="exact"/>
        <w:rPr>
          <w:sz w:val="20"/>
          <w:szCs w:val="20"/>
          <w:color w:val="auto"/>
        </w:rPr>
      </w:pPr>
    </w:p>
    <w:p>
      <w:pPr>
        <w:jc w:val="both"/>
        <w:ind w:left="1" w:firstLine="445"/>
        <w:spacing w:after="0" w:line="271"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06" w:lineRule="exact"/>
        <w:rPr>
          <w:sz w:val="20"/>
          <w:szCs w:val="20"/>
          <w:color w:val="auto"/>
        </w:rPr>
      </w:pPr>
    </w:p>
    <w:p>
      <w:pPr>
        <w:ind w:left="441"/>
        <w:spacing w:after="0"/>
        <w:rPr>
          <w:sz w:val="20"/>
          <w:szCs w:val="20"/>
          <w:color w:val="auto"/>
        </w:rPr>
      </w:pPr>
      <w:r>
        <w:rPr>
          <w:rFonts w:ascii="Arial" w:cs="Arial" w:eastAsia="Arial" w:hAnsi="Arial"/>
          <w:sz w:val="15"/>
          <w:szCs w:val="15"/>
          <w:color w:val="auto"/>
        </w:rPr>
        <w:t>The above discussion and table are based on 49,213,042 shares of common stock outstanding as of March 31, 2020 and excludes the following securities:</w:t>
      </w:r>
    </w:p>
    <w:p>
      <w:pPr>
        <w:spacing w:after="0" w:line="161" w:lineRule="exact"/>
        <w:rPr>
          <w:sz w:val="20"/>
          <w:szCs w:val="20"/>
          <w:color w:val="auto"/>
        </w:rPr>
      </w:pPr>
    </w:p>
    <w:p>
      <w:pPr>
        <w:ind w:left="441" w:hanging="441"/>
        <w:spacing w:after="0" w:line="285" w:lineRule="auto"/>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9"/>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2,318,012 shares of our Series C Convertible Preferred held by one institutional investor;</w:t>
      </w:r>
    </w:p>
    <w:p>
      <w:pPr>
        <w:spacing w:after="0" w:line="172" w:lineRule="exact"/>
        <w:rPr>
          <w:rFonts w:ascii="Arial" w:cs="Arial" w:eastAsia="Arial" w:hAnsi="Arial"/>
          <w:sz w:val="14"/>
          <w:szCs w:val="14"/>
          <w:color w:val="auto"/>
        </w:rPr>
      </w:pPr>
    </w:p>
    <w:p>
      <w:pPr>
        <w:ind w:left="441" w:hanging="441"/>
        <w:spacing w:after="0" w:line="285" w:lineRule="auto"/>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26,555,281 shares of common stock that have been reserved for issuance upon exercise of outstanding warrants, with a weighted average exercise price of $1.64 per share;</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10,003,088 shares of common stock reserved for issuance upon exercise of outstanding stock options under our 2019 Omnibus Equity Incentive Plan and our 2016 Equity incentive Plan, with a weighted average exercise price of $1.36 per share;</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the 2019 ESPP; and</w:t>
      </w:r>
    </w:p>
    <w:p>
      <w:pPr>
        <w:spacing w:after="0" w:line="236" w:lineRule="exact"/>
        <w:rPr>
          <w:rFonts w:ascii="Arial" w:cs="Arial" w:eastAsia="Arial" w:hAnsi="Arial"/>
          <w:sz w:val="16"/>
          <w:szCs w:val="16"/>
          <w:color w:val="auto"/>
        </w:rPr>
      </w:pPr>
    </w:p>
    <w:p>
      <w:pPr>
        <w:ind w:left="441" w:hanging="441"/>
        <w:spacing w:after="0"/>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underwriters’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MATERIAL U.S. FEDERAL INCOME TAX CONSEQUENCES TO NON-U.S. HOLDERS</w:t>
      </w:r>
    </w:p>
    <w:p>
      <w:pPr>
        <w:spacing w:after="0" w:line="216"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color w:val="auto"/>
        </w:rPr>
        <w:t>The following is a general discussion of the material U.S. federal income tax consequences applicable to non-U.S. holders (as defined herein) with respect to their purchase, ownership and disposition of shares of our common stock issued pursuant to this offering. All prospective non-U.S. holders of our common stock should consult their own tax advisors with respect to the U.S. federal, state, local and non-U.S. tax consequences of the purchase, ownership and disposition of our common stock.</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 general, a non-U.S. holder means a beneficial owner of our common stock (other than a partnership or an entity or arrangement treated as a partnership for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that is not, for U.S. federal income tax purposes:</w:t>
      </w:r>
    </w:p>
    <w:p>
      <w:pPr>
        <w:spacing w:after="0" w:line="204" w:lineRule="exact"/>
        <w:rPr>
          <w:sz w:val="20"/>
          <w:szCs w:val="20"/>
          <w:color w:val="auto"/>
        </w:rPr>
      </w:pPr>
    </w:p>
    <w:p>
      <w:pPr>
        <w:ind w:left="1140" w:hanging="548"/>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11" w:lineRule="exact"/>
        <w:rPr>
          <w:rFonts w:ascii="Arial" w:cs="Arial" w:eastAsia="Arial" w:hAnsi="Arial"/>
          <w:sz w:val="16"/>
          <w:szCs w:val="16"/>
          <w:color w:val="auto"/>
        </w:rPr>
      </w:pPr>
    </w:p>
    <w:p>
      <w:pPr>
        <w:ind w:left="1180" w:hanging="588"/>
        <w:spacing w:after="0" w:line="285"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56" w:lineRule="exact"/>
        <w:rPr>
          <w:rFonts w:ascii="Arial" w:cs="Arial" w:eastAsia="Arial" w:hAnsi="Arial"/>
          <w:sz w:val="16"/>
          <w:szCs w:val="16"/>
          <w:color w:val="auto"/>
        </w:rPr>
      </w:pPr>
    </w:p>
    <w:p>
      <w:pPr>
        <w:ind w:left="1140" w:hanging="548"/>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211" w:lineRule="exact"/>
        <w:rPr>
          <w:rFonts w:ascii="Arial" w:cs="Arial" w:eastAsia="Arial" w:hAnsi="Arial"/>
          <w:sz w:val="16"/>
          <w:szCs w:val="16"/>
          <w:color w:val="auto"/>
        </w:rPr>
      </w:pPr>
    </w:p>
    <w:p>
      <w:pPr>
        <w:ind w:left="1180" w:hanging="588"/>
        <w:spacing w:after="0" w:line="360"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trust if (i) a U.S. court can exercise primary supervision over the trust’s administration and one or more U.S. persons have the authority to control all of the trust’s substantial decisions or (ii) the trust has a valid election in effect under applicable U.S. Treasury Regulations to be treated as a U.S. person.</w:t>
      </w:r>
    </w:p>
    <w:p>
      <w:pPr>
        <w:spacing w:after="0" w:line="110"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This discussion is based on current provisions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existing U.S. Treasury Regulations promulgated thereunder, published administrative pronouncements and rulings of the U.S. Internal Revenue Service, which we refer to as the IRS, and judicial decisions, all as in effect as of the date of this prospectus supplement. These authorities are subject to change and to differing interpretation, possibly with retroactive effect. Any change or differing interpretation could alter the tax consequences to non-U.S. holders described in this discussion.</w:t>
      </w:r>
    </w:p>
    <w:p>
      <w:pPr>
        <w:spacing w:after="0" w:line="170"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taxes. This discussion also does not address consequences relevant to non-U.S. holders subject to special tax rules, such as holders that own, or are deemed to own, more than 5% of our capital stock (except to the extent specifically set forth below), corporations that accumulate earnings to avoid U.S. federal income tax, tax-exempt or governmental organizations, banks, financial institutions, insurance companies, brokers, dealers or traders in securities, commodities or currencies, tax-qualified retirement plans, holders subject to the alternative minimum tax or the Medicare contribution tax, holders holding our common stock as part of a hedge, straddle or other risk reduction strategy, conversion transaction, synthetic security or other integrated investment, holders deemed to sell our common stock under the constructive sale provisions of the Code, controlled foreign corporations, passive foreign investment companies, accrual method taxpayers subject to special tax accounting rules under Section 451(b) of the Code, and U.S. expatriates and certain former U.S. citizens or long-term residents.</w:t>
      </w:r>
    </w:p>
    <w:p>
      <w:pPr>
        <w:spacing w:after="0" w:line="164"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own tax advisors regarding the tax consequences of the purchase, ownership and disposition of our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6" w:name="page17"/>
    <w:bookmarkEnd w:id="16"/>
    <w:p>
      <w:pPr>
        <w:jc w:val="both"/>
        <w:ind w:firstLine="593"/>
        <w:spacing w:after="0" w:line="360" w:lineRule="auto"/>
        <w:rPr>
          <w:sz w:val="20"/>
          <w:szCs w:val="20"/>
          <w:color w:val="auto"/>
        </w:rPr>
      </w:pPr>
      <w:r>
        <w:rPr>
          <w:rFonts w:ascii="Arial" w:cs="Arial" w:eastAsia="Arial" w:hAnsi="Arial"/>
          <w:sz w:val="14"/>
          <w:szCs w:val="14"/>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11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All prospective non-U.S. holders of our common stock are urged to consult their own tax advisors with respect to the U.S. federal income tax laws to their particular situation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 on Our Common Stock</w:t>
      </w:r>
    </w:p>
    <w:p>
      <w:pPr>
        <w:spacing w:after="0" w:line="216" w:lineRule="exact"/>
        <w:rPr>
          <w:sz w:val="20"/>
          <w:szCs w:val="20"/>
          <w:color w:val="auto"/>
        </w:rPr>
      </w:pPr>
    </w:p>
    <w:p>
      <w:pPr>
        <w:jc w:val="both"/>
        <w:ind w:firstLine="593"/>
        <w:spacing w:after="0" w:line="261"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Dividend Policy</w:t>
      </w:r>
      <w:r>
        <w:rPr>
          <w:rFonts w:ascii="Arial" w:cs="Arial" w:eastAsia="Arial" w:hAnsi="Arial"/>
          <w:sz w:val="16"/>
          <w:szCs w:val="16"/>
          <w:color w:val="auto"/>
        </w:rPr>
        <w:t>,” we do not expect to pay any cash dividends in the foreseeable future, but may issue shares of our common stock to pay accrued, but unpaid dividends upon conversion of outstanding shares of our Series B 10% Convertible Preferred Stock. However, if we do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capital and first be applied against and reduce a non-U.S. holder’s adjusted tax basis in its common stock, but not below zero. Any remaining excess will be treated as capital gain from the sale or exchange of our common stock subject to the tax treatment described below in “Gain on Sale, Exchange or Other Disposition of Our Common Stock.” Any such distribution will also be subject to the discussion below under the headings “Foreign Accounts” and “Backup Withholding and Information Reporting.”</w:t>
      </w:r>
    </w:p>
    <w:p>
      <w:pPr>
        <w:spacing w:after="0" w:line="18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Subject to the discussions below on effectively connected income, dividends paid to a non-U.S. holder of our common stock will be subject to U.S. federal withholding at a 30% rate of the gross amount of the dividend (or such lower rate as may be specified by an applicable income tax treaty between the United States and a non-U.S. holder’s country of residence).</w:t>
      </w:r>
    </w:p>
    <w:p>
      <w:pPr>
        <w:spacing w:after="0" w:line="168"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If dividends paid to a non-U.S. holder are effectively connected with a trade or business conducted by a non-U.S. holder within the United States (and, if an applicable income tax treaty so provides, that are attributable to a permanent establishment or a fixed base maintained by the non-U.S. holder within the United States), the non-U.S. holder will be exempt from the 30% U.S. federal withholding tax if the non-U.S. holder satisfies applicable certification and disclosure requirements. However, such U.S. effectively connected income, net of specified deductions and credits, will be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a non-U.S. holder’s country of residence) on a portion of its effectively connected earnings and profits for the taxable year, as adjusted for certain items.</w:t>
      </w:r>
    </w:p>
    <w:p>
      <w:pPr>
        <w:spacing w:after="0" w:line="150"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To claim a reduction or exemption from withholding, a non-U.S. holder of our common stock generally will be required to provide (a) a properly executed IRS Form W-8BEN (in the case of individuals) or W-8BEN-E (in the case of entities), or successor form, and satisfy applicable certification and other requirements to claim the benefit of an applicable income tax treaty between the United States and such holder’s country of residence, or (b) a properly executed IRS Form W-8ECI stating that dividends are not subject to withholding because they are effectively connected with such non-U.S. holder’s conduct of a trade or business within the United States. The tax forms referred to above must be provided to us or our paying agent prior to the payment of dividends and must be updated periodically. In the case of a non-U.S. holder that is an entity, Treasury Regulations and any relevant tax treaty provide rules to determine whether, for purposes of determining the applicability of an income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A non-U.S. holder that is eligible for a reduced rate of U.S. federal withholding tax under an income tax treaty may obtain a refund or credit of any excess amounts withheld by timely filing an appropriate claim for refund with the IRS. Non-U.S. holders are urged to consult their tax advisors regarding their entitlement to benefits under a relevant income tax treaty.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Gain on Sale, Exchange or Other Disposition of Our Common Stock</w:t>
      </w:r>
    </w:p>
    <w:p>
      <w:pPr>
        <w:spacing w:after="0" w:line="216" w:lineRule="exact"/>
        <w:rPr>
          <w:sz w:val="20"/>
          <w:szCs w:val="20"/>
          <w:color w:val="auto"/>
        </w:rPr>
      </w:pPr>
    </w:p>
    <w:p>
      <w:pPr>
        <w:ind w:firstLine="593"/>
        <w:spacing w:after="0" w:line="360" w:lineRule="auto"/>
        <w:rPr>
          <w:sz w:val="20"/>
          <w:szCs w:val="20"/>
          <w:color w:val="auto"/>
        </w:rPr>
      </w:pPr>
      <w:r>
        <w:rPr>
          <w:rFonts w:ascii="Arial" w:cs="Arial" w:eastAsia="Arial" w:hAnsi="Arial"/>
          <w:sz w:val="14"/>
          <w:szCs w:val="14"/>
          <w:color w:val="auto"/>
        </w:rPr>
        <w:t>Subject to the discussion below regarding backup withholding and the discussion under the heading “Foreign Accounts,” in general, a non-U.S. holder will not be subject to any U.S. federal income tax on any gain realized upon such non-U.S. holder’s sale, exchange or other taxable disposition of shares of our common stock unless:</w:t>
      </w:r>
    </w:p>
    <w:p>
      <w:pPr>
        <w:spacing w:after="0" w:line="135" w:lineRule="exact"/>
        <w:rPr>
          <w:sz w:val="20"/>
          <w:szCs w:val="20"/>
          <w:color w:val="auto"/>
        </w:rPr>
      </w:pPr>
    </w:p>
    <w:p>
      <w:pPr>
        <w:jc w:val="both"/>
        <w:ind w:left="1180" w:hanging="588"/>
        <w:spacing w:after="0" w:line="264"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on a net income basis at the graduated U.S. federal income tax rates applicable to “United States persons” (as defined in the Code) and, if the non-U.S. holder is a foreign corporation, the branch profits tax at a rate of 30% (or such lower rate specified by an applicable income tax treaty) on such effectively connected gain, as adjusted for certain items, may also apply;</w:t>
      </w:r>
    </w:p>
    <w:p>
      <w:pPr>
        <w:spacing w:after="0" w:line="174" w:lineRule="exact"/>
        <w:rPr>
          <w:rFonts w:ascii="Arial" w:cs="Arial" w:eastAsia="Arial" w:hAnsi="Arial"/>
          <w:sz w:val="16"/>
          <w:szCs w:val="16"/>
          <w:color w:val="auto"/>
        </w:rPr>
      </w:pPr>
    </w:p>
    <w:p>
      <w:pPr>
        <w:jc w:val="both"/>
        <w:ind w:left="1180" w:hanging="588"/>
        <w:spacing w:after="0" w:line="264"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174" w:lineRule="exact"/>
        <w:rPr>
          <w:rFonts w:ascii="Arial" w:cs="Arial" w:eastAsia="Arial" w:hAnsi="Arial"/>
          <w:sz w:val="16"/>
          <w:szCs w:val="16"/>
          <w:color w:val="auto"/>
        </w:rPr>
      </w:pPr>
    </w:p>
    <w:p>
      <w:pPr>
        <w:jc w:val="both"/>
        <w:ind w:left="1180" w:hanging="588"/>
        <w:spacing w:after="0" w:line="300"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common stock constitutes U.S. real property interest because we are, or have been, at any time during the five-year period preceding such disposition (or the non-U.S. holder’s holding period, if shorter) a U.S.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the fair market value of its other assets used or held for use in a trade or business. We do not believe that we are, or have been, a U.S. real property holding corporation, or that we are likely to become one in the future.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or become a U.S. real property holding corporation, provided that our common stock is regularly traded, as defined by applicable Treasury Regulations, on an established securities market, our common stock will be treated as a U.S. real property interest only with respect to a non-U.S. holder that holds more than 5% of our outstanding common stock,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No assurance can be provided that our common stock will continue to be regularly traded on an established securities market for purposes of the rules described above.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216"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“United States person” (as defined in the Code) in order to avoid backup withholding at the applicable rate (currently at a 24% rate) with respect to dividends on our common stock. A non-U.S. holder generally will not be subject to U.S. backup withholding with respect to payments of dividends on our common stock if such non-U.S. holder certifies its non-U.S. status by providing a valid IRS Form W-8BEN (in the case of individuals) or W-8BEN-E (in the case of entities) or W-8ECI, or successor form, or otherwise establishes an exemption; provided we do not have actual knowledge or reason to know such non-U.S. holder is a “United States person” (as defined in the Code).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8" w:name="page19"/>
    <w:bookmarkEnd w:id="18"/>
    <w:p>
      <w:pPr>
        <w:jc w:val="both"/>
        <w:ind w:firstLine="593"/>
        <w:spacing w:after="0" w:line="308" w:lineRule="auto"/>
        <w:rPr>
          <w:sz w:val="20"/>
          <w:szCs w:val="20"/>
          <w:color w:val="auto"/>
        </w:rPr>
      </w:pPr>
      <w:r>
        <w:rPr>
          <w:rFonts w:ascii="Arial" w:cs="Arial" w:eastAsia="Arial" w:hAnsi="Arial"/>
          <w:sz w:val="14"/>
          <w:szCs w:val="14"/>
          <w:color w:val="auto"/>
        </w:rPr>
        <w:t>Information reporting and backup withholding will generally apply to the proceeds of a disposition of our common stock by a non-U.S. holder effected by or through the U.S. office of any broker, U.S. or foreign, unless the non-U.S. holder certifies its status as a non-U.S. holder as described above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45"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Copies of information returns may be made available under the provisions of a specific treaty or agreement to the tax authorities of the country in which the non-U.S. holder resides or is established.</w:t>
      </w:r>
    </w:p>
    <w:p>
      <w:pPr>
        <w:spacing w:after="0" w:line="15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Accounts</w:t>
      </w:r>
    </w:p>
    <w:p>
      <w:pPr>
        <w:spacing w:after="0" w:line="216" w:lineRule="exact"/>
        <w:rPr>
          <w:sz w:val="20"/>
          <w:szCs w:val="20"/>
          <w:color w:val="auto"/>
        </w:rPr>
      </w:pPr>
    </w:p>
    <w:p>
      <w:pPr>
        <w:jc w:val="both"/>
        <w:ind w:firstLine="593"/>
        <w:spacing w:after="0" w:line="302"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w:t>
      </w:r>
      <w:r>
        <w:rPr>
          <w:rFonts w:ascii="Arial" w:cs="Arial" w:eastAsia="Arial" w:hAnsi="Arial"/>
          <w:sz w:val="14"/>
          <w:szCs w:val="14"/>
          <w:i w:val="1"/>
          <w:iCs w:val="1"/>
          <w:color w:val="auto"/>
        </w:rPr>
        <w:t>FATCA</w:t>
      </w:r>
      <w:r>
        <w:rPr>
          <w:rFonts w:ascii="Arial" w:cs="Arial" w:eastAsia="Arial" w:hAnsi="Arial"/>
          <w:sz w:val="14"/>
          <w:szCs w:val="14"/>
          <w:color w:val="auto"/>
        </w:rPr>
        <w:t>)) on certain types of payments made to non-U.S. financial institutions and certain other non-U.S. entities. Specifically, a U.S. federal withholding tax of 30% may be imposed on dividends on, or on the gross proceeds from the sale or other disposition of, our common stock paid to a “foreign financial institution” (as defined in the Code), unless such foreign financial institution enters into an agreement with the U.S. Department of Treasury requiring, among other things, withhold on certain payments and to collect and provide to the U.S. tax authorities substantial information regarding accounts held by certain “specified United States persons” or “United States-owned foreign entities” (each as defined in the Code), or otherwise qualifies for an exemption from these rules. Additionally, U.S. federal withholding tax of 30% may be imposed on dividends on, or on the gross proceeds from the sale or other disposition of, our common stock paid to a “non-financial foreign entity” (as defined in the Code), unless such non-financial foreign entity provides the withholding agent with either a certification that it does not have any “substantial United States owners” (as defined in the Code), provides information regarding each substantial United States owner, or otherwise qualifies for an exemption from these rules. An intergovernmental agreement between the United States and an applicable foreign country where a foreign financial institution is located may modify the requirements described in this paragraph.</w:t>
      </w:r>
    </w:p>
    <w:p>
      <w:pPr>
        <w:spacing w:after="0" w:line="150"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color w:val="auto"/>
        </w:rPr>
        <w:t>The withholding under FATCA described above currently applies to dividends paid on our common stock. While withholding under FATCA would have applied also to payments of gross proceeds from the sale or other disposition of our common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UNDERWRITING</w:t>
      </w:r>
    </w:p>
    <w:p>
      <w:pPr>
        <w:spacing w:after="0" w:line="290"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We are offering the shares of common stock described in this prospectus supplement and the accompanying prospectus through the underwriters listed below. Maxim Group LLC is acting as the sole book-running manager of this offering and representative of each of the underwriters named below. The underwriters named below have agreed to buy, subject to the terms of the underwriting agreement, the number of securities listed opposite its name below. The underwriters are committed to purchase and pay for all of the securities if any are purchased, other than those securities covered by the over-allotment option described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r>
      <w:tr>
        <w:trPr>
          <w:trHeight w:val="215"/>
        </w:trPr>
        <w:tc>
          <w:tcPr>
            <w:tcW w:w="10040" w:type="dxa"/>
            <w:vAlign w:val="bottom"/>
          </w:tcPr>
          <w:p>
            <w:pPr>
              <w:spacing w:after="0"/>
              <w:rPr>
                <w:sz w:val="20"/>
                <w:szCs w:val="20"/>
                <w:color w:val="auto"/>
              </w:rPr>
            </w:pPr>
            <w:r>
              <w:rPr>
                <w:rFonts w:ascii="Arial" w:cs="Arial" w:eastAsia="Arial" w:hAnsi="Arial"/>
                <w:sz w:val="16"/>
                <w:szCs w:val="16"/>
                <w:b w:val="1"/>
                <w:bCs w:val="1"/>
                <w:color w:val="auto"/>
              </w:rPr>
              <w:t>Underwriters</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Maxim Group LLC</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15,625,000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8"/>
        </w:trPr>
        <w:tc>
          <w:tcPr>
            <w:tcW w:w="10040" w:type="dxa"/>
            <w:vAlign w:val="bottom"/>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15,625,000</w:t>
            </w:r>
          </w:p>
        </w:tc>
        <w:tc>
          <w:tcPr>
            <w:tcW w:w="120" w:type="dxa"/>
            <w:vAlign w:val="bottom"/>
          </w:tcPr>
          <w:p>
            <w:pPr>
              <w:spacing w:after="0"/>
              <w:rPr>
                <w:sz w:val="17"/>
                <w:szCs w:val="17"/>
                <w:color w:val="auto"/>
              </w:rPr>
            </w:pPr>
          </w:p>
        </w:tc>
      </w:tr>
      <w:tr>
        <w:trPr>
          <w:trHeight w:val="20"/>
        </w:trPr>
        <w:tc>
          <w:tcPr>
            <w:tcW w:w="10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underwriters have advised us that they propose to offer the shares of common stock to the public at a price of $0.80 per share. The underwriters propose to offer the shares of common stock to certain dealers at the same price less a concession of not more than $0.032 per share. After the offering, these figures may be changed by the underwriters.</w:t>
      </w:r>
    </w:p>
    <w:p>
      <w:pPr>
        <w:spacing w:after="0" w:line="168"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The common stock sold in this offering are expected to be ready for delivery on or about August 5, 2020, against payment in immediately available funds. The underwriters may reject all or part of any order.</w:t>
      </w:r>
    </w:p>
    <w:p>
      <w:pPr>
        <w:spacing w:after="0" w:line="9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We have granted to the underwriters an option to purchase up to an additional 2,343,750 shares of common stock from us at the same price to the public, and with the same underwriting discount, as set forth in the table below. The underwriters may exercise this option any time during the 45-day period after the date of this prospectus supplement, but only to cover over-allotments, if any. To the extent the underwriters exercise the option, the underwriters will become obligated, subject to certain conditions, to purchase the shares of common stock for which they exercise the option.</w:t>
      </w:r>
    </w:p>
    <w:p>
      <w:pPr>
        <w:spacing w:after="0" w:line="170"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$50,000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Total with no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with</w:t>
            </w:r>
          </w:p>
        </w:tc>
      </w:tr>
      <w:tr>
        <w:trPr>
          <w:trHeight w:val="198"/>
        </w:trPr>
        <w:tc>
          <w:tcPr>
            <w:tcW w:w="4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Over-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Over-</w:t>
            </w:r>
          </w:p>
        </w:tc>
      </w:tr>
      <w:tr>
        <w:trPr>
          <w:trHeight w:val="215"/>
        </w:trPr>
        <w:tc>
          <w:tcPr>
            <w:tcW w:w="4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6"/>
              </w:rPr>
              <w:t>Per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Allotment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r>
      <w:tr>
        <w:trPr>
          <w:trHeight w:val="198"/>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Underwriting discount to be paid by us</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1,062,500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1,221,875</w:t>
            </w:r>
          </w:p>
        </w:tc>
      </w:tr>
    </w:tbl>
    <w:p>
      <w:pPr>
        <w:spacing w:after="0" w:line="127"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estimate that the total expenses of this offering, excluding underwriting discounts, will be $176,390. This includes $50,000 of the fees and expenses of the underwriters. These expenses are payable by us.</w:t>
      </w:r>
    </w:p>
    <w:p>
      <w:pPr>
        <w:spacing w:after="0" w:line="95"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also have agreed to indemnify the underwriters against certain liabilities, including civil liabilities under the Securities Act of 1933, as amended, or to contribute to payments that the underwriters may be required to make in respect of those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Sales of Similar Securities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Each of our directors and officers and certain of our stockholders, have agreed not to offer, sell, agree to sell, directly or indirectly, or otherwise dispose of any shares of common stock or any securities convertible into or exchangeable for shares of common stock without the prior written consent of the underwriters for a period of four (4) months after the later of (i) the closing of this offering, and (ii) the last closing with respect to the underwriters’ exercise of the over-allotment option, if any. These lock-up agreements provide limited exceptions and their restrictions may be waived at any time by the underwriters.</w:t>
      </w:r>
    </w:p>
    <w:p>
      <w:pPr>
        <w:spacing w:after="0" w:line="17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In addition, we have agreed, subject to certain exceptions, not to offer, sell agree to sell, directly or indirectly or otherwise issue shares of our common stock for a period of three (3) months, or, in the case of certain variable rate transactions, four (4) months, following the later of (i) the closing of this offering, and (ii) the last closing with respect to the underwriters' exercise of the over-allotment option, if 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Price Stabilization, Short Positions and Penalty Bids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its own account by selling more shares of common stock than we have sold to the underwriters. The underwriters may close out any short position by either exercising its option to purchase additional shares or purchasing shares in the open market.</w:t>
      </w:r>
    </w:p>
    <w:p>
      <w:pPr>
        <w:spacing w:after="0" w:line="108"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Capital Market or otherwise and, if commenced, may be discontinued at any time.</w:t>
      </w:r>
    </w:p>
    <w:p>
      <w:pPr>
        <w:spacing w:after="0" w:line="98"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In connection with this offering, the underwriters and selling group members may also engage in passive market making transactions in our common stock on the Nasdaq Capital Market. Passive market making consists of displaying bids on the Nasdaq Capital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97"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Affiliations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108"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In the ordinary course of its various business activities, the underwriters and their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Offer, Sale and Distribution</w:t>
      </w:r>
    </w:p>
    <w:p>
      <w:pPr>
        <w:spacing w:after="0" w:line="154" w:lineRule="exact"/>
        <w:rPr>
          <w:sz w:val="20"/>
          <w:szCs w:val="20"/>
          <w:color w:val="auto"/>
        </w:rPr>
      </w:pPr>
    </w:p>
    <w:p>
      <w:pPr>
        <w:jc w:val="both"/>
        <w:ind w:firstLine="635"/>
        <w:spacing w:after="0" w:line="290" w:lineRule="auto"/>
        <w:rPr>
          <w:sz w:val="20"/>
          <w:szCs w:val="20"/>
          <w:color w:val="auto"/>
        </w:rPr>
      </w:pPr>
      <w:r>
        <w:rPr>
          <w:rFonts w:ascii="Arial" w:cs="Arial" w:eastAsia="Arial" w:hAnsi="Arial"/>
          <w:sz w:val="15"/>
          <w:szCs w:val="15"/>
          <w:color w:val="auto"/>
        </w:rPr>
        <w:t>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securities for sale to its online brokerage customers. An electronic prospectus is available on the Internet websites maintained by any such underwriter. Other than the prospectus in electronic format, the information on the websites of the underwriters is not part of this prospectus supplement or the accompanying prospectus.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Listing</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common stock is listed on the Nasdaq Capital Market under the symbol “VTGN.”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Restrictions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b w:val="1"/>
          <w:bCs w:val="1"/>
          <w:i w:val="1"/>
          <w:iCs w:val="1"/>
          <w:color w:val="auto"/>
        </w:rPr>
        <w:t>Canada</w:t>
      </w:r>
      <w:r>
        <w:rPr>
          <w:rFonts w:ascii="Arial" w:cs="Arial" w:eastAsia="Arial" w:hAnsi="Arial"/>
          <w:sz w:val="16"/>
          <w:szCs w:val="16"/>
          <w:color w:val="auto"/>
        </w:rPr>
        <w:t>. The securities may be sold in Canada only to purchasers purchasing, or deemed to be purchasing, as principal that are accredited investors,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Securities Act (Ontario), and are permitted clients, as defined in National Instrument 31 103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not subject to, the prospectus requirements of applicable securities laws.</w:t>
      </w:r>
    </w:p>
    <w:p>
      <w:pPr>
        <w:spacing w:after="0" w:line="10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 xml:space="preserve">Pursuant to section 3A.3 of National Instrument 33 105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33 105), the underwriters are not required to comply with the disclosure requirements of NI 33-105 regarding underwriters conflicts of interest in connection with this offering.</w:t>
      </w:r>
    </w:p>
    <w:p>
      <w:pPr>
        <w:spacing w:after="0" w:line="95"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b w:val="1"/>
          <w:bCs w:val="1"/>
          <w:i w:val="1"/>
          <w:iCs w:val="1"/>
          <w:color w:val="auto"/>
        </w:rPr>
        <w:t xml:space="preserve">European Economic Area. </w:t>
      </w:r>
      <w:r>
        <w:rPr>
          <w:rFonts w:ascii="Arial" w:cs="Arial" w:eastAsia="Arial" w:hAnsi="Arial"/>
          <w:sz w:val="14"/>
          <w:szCs w:val="14"/>
          <w:color w:val="auto"/>
        </w:rPr>
        <w:t>In relation to each Member State of the European Economic Area which has implemented the Prospectus Directive (each, a “Relevant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71" w:lineRule="exact"/>
        <w:rPr>
          <w:sz w:val="20"/>
          <w:szCs w:val="20"/>
          <w:color w:val="auto"/>
        </w:rPr>
      </w:pPr>
    </w:p>
    <w:p>
      <w:pPr>
        <w:ind w:left="800" w:hanging="455"/>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211" w:lineRule="exact"/>
        <w:rPr>
          <w:rFonts w:ascii="Arial" w:cs="Arial" w:eastAsia="Arial" w:hAnsi="Arial"/>
          <w:sz w:val="16"/>
          <w:szCs w:val="16"/>
          <w:color w:val="auto"/>
        </w:rPr>
      </w:pPr>
    </w:p>
    <w:p>
      <w:pPr>
        <w:jc w:val="both"/>
        <w:ind w:left="800" w:hanging="455"/>
        <w:spacing w:after="0" w:line="271"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67" w:lineRule="exact"/>
        <w:rPr>
          <w:rFonts w:ascii="Arial" w:cs="Arial" w:eastAsia="Arial" w:hAnsi="Arial"/>
          <w:sz w:val="16"/>
          <w:szCs w:val="16"/>
          <w:color w:val="auto"/>
        </w:rPr>
      </w:pPr>
    </w:p>
    <w:p>
      <w:pPr>
        <w:ind w:left="800" w:hanging="455"/>
        <w:spacing w:after="0" w:line="28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81"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2" w:name="page23"/>
    <w:bookmarkEnd w:id="22"/>
    <w:p>
      <w:pPr>
        <w:ind w:left="540"/>
        <w:spacing w:after="0"/>
        <w:rPr>
          <w:sz w:val="20"/>
          <w:szCs w:val="20"/>
          <w:color w:val="auto"/>
        </w:rPr>
      </w:pPr>
      <w:r>
        <w:rPr>
          <w:rFonts w:ascii="Arial" w:cs="Arial" w:eastAsia="Arial" w:hAnsi="Arial"/>
          <w:sz w:val="16"/>
          <w:szCs w:val="16"/>
          <w:b w:val="1"/>
          <w:bCs w:val="1"/>
          <w:i w:val="1"/>
          <w:iCs w:val="1"/>
          <w:color w:val="auto"/>
        </w:rPr>
        <w:t xml:space="preserve">United Kingdom. </w:t>
      </w:r>
      <w:r>
        <w:rPr>
          <w:rFonts w:ascii="Arial" w:cs="Arial" w:eastAsia="Arial" w:hAnsi="Arial"/>
          <w:sz w:val="16"/>
          <w:szCs w:val="16"/>
          <w:color w:val="auto"/>
        </w:rPr>
        <w:t>Each underwriter has represented and agreed that:</w:t>
      </w:r>
    </w:p>
    <w:p>
      <w:pPr>
        <w:spacing w:after="0" w:line="212" w:lineRule="exact"/>
        <w:rPr>
          <w:sz w:val="20"/>
          <w:szCs w:val="20"/>
          <w:color w:val="auto"/>
        </w:rPr>
      </w:pPr>
    </w:p>
    <w:p>
      <w:pPr>
        <w:jc w:val="both"/>
        <w:ind w:left="800" w:hanging="455"/>
        <w:spacing w:after="0" w:line="271"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the securities in circumstances in which Section 21(1) of the FSMA does not apply to us; and</w:t>
      </w:r>
    </w:p>
    <w:p>
      <w:pPr>
        <w:spacing w:after="0" w:line="167" w:lineRule="exact"/>
        <w:rPr>
          <w:rFonts w:ascii="Arial" w:cs="Arial" w:eastAsia="Arial" w:hAnsi="Arial"/>
          <w:sz w:val="16"/>
          <w:szCs w:val="16"/>
          <w:color w:val="auto"/>
        </w:rPr>
      </w:pPr>
    </w:p>
    <w:p>
      <w:pPr>
        <w:ind w:left="800" w:hanging="455"/>
        <w:spacing w:after="0" w:line="28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95"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 SIX Swiss Exchange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3"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6"/>
          <w:szCs w:val="16"/>
          <w:i w:val="1"/>
          <w:iCs w:val="1"/>
          <w:color w:val="auto"/>
        </w:rPr>
        <w:t>CISA</w:t>
      </w:r>
      <w:r>
        <w:rPr>
          <w:rFonts w:ascii="Arial" w:cs="Arial" w:eastAsia="Arial" w:hAnsi="Arial"/>
          <w:sz w:val="16"/>
          <w:szCs w:val="16"/>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No placement document, prospectus, product disclosure statement or other disclosure document has been lodged with the Australian Securities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Commission (</w:t>
      </w:r>
      <w:r>
        <w:rPr>
          <w:rFonts w:ascii="Arial" w:cs="Arial" w:eastAsia="Arial" w:hAnsi="Arial"/>
          <w:sz w:val="16"/>
          <w:szCs w:val="16"/>
          <w:i w:val="1"/>
          <w:iCs w:val="1"/>
          <w:color w:val="auto"/>
        </w:rPr>
        <w:t>ASIC</w:t>
      </w:r>
      <w:r>
        <w:rPr>
          <w:rFonts w:ascii="Arial" w:cs="Arial" w:eastAsia="Arial" w:hAnsi="Arial"/>
          <w:sz w:val="16"/>
          <w:szCs w:val="16"/>
          <w:color w:val="auto"/>
        </w:rPr>
        <w:t>), in relation to the offering.</w:t>
      </w:r>
    </w:p>
    <w:p>
      <w:pPr>
        <w:spacing w:after="0" w:line="95" w:lineRule="exact"/>
        <w:rPr>
          <w:sz w:val="20"/>
          <w:szCs w:val="20"/>
          <w:color w:val="auto"/>
        </w:rPr>
      </w:pPr>
    </w:p>
    <w:p>
      <w:pPr>
        <w:jc w:val="both"/>
        <w:ind w:firstLine="600"/>
        <w:spacing w:after="0" w:line="360" w:lineRule="auto"/>
        <w:rPr>
          <w:sz w:val="20"/>
          <w:szCs w:val="20"/>
          <w:color w:val="auto"/>
        </w:rPr>
      </w:pPr>
      <w:r>
        <w:rPr>
          <w:rFonts w:ascii="Arial" w:cs="Arial" w:eastAsia="Arial" w:hAnsi="Arial"/>
          <w:sz w:val="14"/>
          <w:szCs w:val="14"/>
          <w:color w:val="auto"/>
        </w:rPr>
        <w:t xml:space="preserve">This prospectus does not constitute a prospectus, product disclosure statement or other disclosure document under the Corporations Act 2001 (the </w:t>
      </w:r>
      <w:r>
        <w:rPr>
          <w:rFonts w:ascii="Arial" w:cs="Arial" w:eastAsia="Arial" w:hAnsi="Arial"/>
          <w:sz w:val="14"/>
          <w:szCs w:val="14"/>
          <w:i w:val="1"/>
          <w:iCs w:val="1"/>
          <w:color w:val="auto"/>
        </w:rPr>
        <w:t>Corporations Act</w:t>
      </w:r>
      <w:r>
        <w:rPr>
          <w:rFonts w:ascii="Arial" w:cs="Arial" w:eastAsia="Arial" w:hAnsi="Arial"/>
          <w:sz w:val="14"/>
          <w:szCs w:val="14"/>
          <w:color w:val="auto"/>
        </w:rPr>
        <w:t>) and does not purport to include the information required for a prospectus, product disclosure statement or other disclosure document under the Corporations Act.</w:t>
      </w:r>
    </w:p>
    <w:p>
      <w:pPr>
        <w:spacing w:after="0" w:line="49" w:lineRule="exact"/>
        <w:rPr>
          <w:sz w:val="20"/>
          <w:szCs w:val="20"/>
          <w:color w:val="auto"/>
        </w:rPr>
      </w:pPr>
    </w:p>
    <w:p>
      <w:pPr>
        <w:jc w:val="both"/>
        <w:ind w:firstLine="597"/>
        <w:spacing w:after="0" w:line="297" w:lineRule="auto"/>
        <w:rPr>
          <w:sz w:val="20"/>
          <w:szCs w:val="20"/>
          <w:color w:val="auto"/>
        </w:rPr>
      </w:pPr>
      <w:r>
        <w:rPr>
          <w:rFonts w:ascii="Arial" w:cs="Arial" w:eastAsia="Arial" w:hAnsi="Arial"/>
          <w:sz w:val="15"/>
          <w:szCs w:val="15"/>
          <w:color w:val="auto"/>
        </w:rPr>
        <w:t xml:space="preserve">Any offer in Australia of the securities may only be made to persons (the </w:t>
      </w:r>
      <w:r>
        <w:rPr>
          <w:rFonts w:ascii="Arial" w:cs="Arial" w:eastAsia="Arial" w:hAnsi="Arial"/>
          <w:sz w:val="15"/>
          <w:szCs w:val="15"/>
          <w:i w:val="1"/>
          <w:iCs w:val="1"/>
          <w:color w:val="auto"/>
        </w:rPr>
        <w:t>Exempt Investors</w:t>
      </w:r>
      <w:r>
        <w:rPr>
          <w:rFonts w:ascii="Arial" w:cs="Arial" w:eastAsia="Arial" w:hAnsi="Arial"/>
          <w:sz w:val="15"/>
          <w:szCs w:val="15"/>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9" w:lineRule="exact"/>
        <w:rPr>
          <w:sz w:val="20"/>
          <w:szCs w:val="20"/>
          <w:color w:val="auto"/>
        </w:rPr>
      </w:pPr>
    </w:p>
    <w:p>
      <w:pPr>
        <w:jc w:val="both"/>
        <w:ind w:firstLine="624"/>
        <w:spacing w:after="0" w:line="267"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08" w:lineRule="exact"/>
        <w:rPr>
          <w:sz w:val="20"/>
          <w:szCs w:val="20"/>
          <w:color w:val="auto"/>
        </w:rPr>
      </w:pPr>
    </w:p>
    <w:p>
      <w:pPr>
        <w:jc w:val="both"/>
        <w:ind w:firstLine="689"/>
        <w:spacing w:after="0" w:line="297" w:lineRule="auto"/>
        <w:rPr>
          <w:sz w:val="20"/>
          <w:szCs w:val="20"/>
          <w:color w:val="auto"/>
        </w:rPr>
      </w:pPr>
      <w:r>
        <w:rPr>
          <w:rFonts w:ascii="Arial" w:cs="Arial" w:eastAsia="Arial" w:hAnsi="Arial"/>
          <w:sz w:val="15"/>
          <w:szCs w:val="15"/>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 (</w:t>
      </w:r>
      <w:r>
        <w:rPr>
          <w:rFonts w:ascii="Arial" w:cs="Arial" w:eastAsia="Arial" w:hAnsi="Arial"/>
          <w:sz w:val="16"/>
          <w:szCs w:val="16"/>
          <w:i w:val="1"/>
          <w:iCs w:val="1"/>
          <w:color w:val="auto"/>
        </w:rPr>
        <w:t>DLG</w:t>
      </w:r>
      <w:r>
        <w:rPr>
          <w:rFonts w:ascii="Arial" w:cs="Arial" w:eastAsia="Arial" w:hAnsi="Arial"/>
          <w:sz w:val="16"/>
          <w:szCs w:val="16"/>
          <w:color w:val="auto"/>
        </w:rPr>
        <w:t>). Partners of DLG beneficially own an aggregate of 74,487 registered and/or restricted shares of our common stock. Maxim Group LLC is being represented in connection with this offering by Ellenoff Grossman &amp; Schole LLP.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40"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t>
      </w:r>
      <w:r>
        <w:rPr>
          <w:rFonts w:ascii="Arial" w:cs="Arial" w:eastAsia="Arial" w:hAnsi="Arial"/>
          <w:sz w:val="16"/>
          <w:szCs w:val="16"/>
          <w:i w:val="1"/>
          <w:iCs w:val="1"/>
          <w:color w:val="auto"/>
        </w:rPr>
        <w:t>www.vistagen.com</w:t>
      </w:r>
      <w:r>
        <w:rPr>
          <w:rFonts w:ascii="Arial" w:cs="Arial" w:eastAsia="Arial" w:hAnsi="Arial"/>
          <w:sz w:val="16"/>
          <w:szCs w:val="16"/>
          <w:color w:val="auto"/>
        </w:rPr>
        <w:t>,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166"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2" w:lineRule="exact"/>
        <w:rPr>
          <w:sz w:val="20"/>
          <w:szCs w:val="20"/>
          <w:color w:val="auto"/>
        </w:rPr>
      </w:pPr>
    </w:p>
    <w:p>
      <w:pPr>
        <w:ind w:left="800" w:hanging="50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with the SEC on June 29, 2020;</w:t>
      </w:r>
    </w:p>
    <w:p>
      <w:pPr>
        <w:spacing w:after="0" w:line="211" w:lineRule="exact"/>
        <w:rPr>
          <w:rFonts w:ascii="Arial" w:cs="Arial" w:eastAsia="Arial" w:hAnsi="Arial"/>
          <w:sz w:val="16"/>
          <w:szCs w:val="16"/>
          <w:color w:val="auto"/>
        </w:rPr>
      </w:pPr>
    </w:p>
    <w:p>
      <w:pPr>
        <w:ind w:left="800" w:hanging="504"/>
        <w:spacing w:after="0" w:line="28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3, 2020, April 27, 2020, April 28, 2020, May 18, 2020, June 1, 2020, June 26, 2020, June 30, 2020, and July 24, 2020; and</w:t>
      </w:r>
    </w:p>
    <w:p>
      <w:pPr>
        <w:spacing w:after="0" w:line="156" w:lineRule="exact"/>
        <w:rPr>
          <w:rFonts w:ascii="Arial" w:cs="Arial" w:eastAsia="Arial" w:hAnsi="Arial"/>
          <w:sz w:val="16"/>
          <w:szCs w:val="16"/>
          <w:color w:val="auto"/>
        </w:rPr>
      </w:pPr>
    </w:p>
    <w:p>
      <w:pPr>
        <w:ind w:left="800" w:hanging="504"/>
        <w:spacing w:after="0" w:line="28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636905</wp:posOffset>
            </wp:positionV>
            <wp:extent cx="7143750" cy="4993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ectPr>
          <w:pgSz w:w="11900" w:h="16902" w:orient="portrait"/>
          <w:cols w:equalWidth="0" w:num="1">
            <w:col w:w="11240"/>
          </w:cols>
          <w:pgMar w:left="320" w:top="547" w:right="339" w:bottom="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9"/>
        </w:trPr>
        <w:tc>
          <w:tcPr>
            <w:tcW w:w="870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40" w:type="dxa"/>
            <w:vAlign w:val="bottom"/>
          </w:tcPr>
          <w:p>
            <w:pPr>
              <w:spacing w:after="0"/>
              <w:rPr>
                <w:sz w:val="18"/>
                <w:szCs w:val="18"/>
                <w:color w:val="auto"/>
              </w:rPr>
            </w:pPr>
          </w:p>
        </w:tc>
      </w:tr>
      <w:tr>
        <w:trPr>
          <w:trHeight w:val="396"/>
        </w:trPr>
        <w:tc>
          <w:tcPr>
            <w:tcW w:w="87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24"/>
                <w:szCs w:val="24"/>
                <w:color w:val="auto"/>
              </w:rPr>
            </w:pPr>
          </w:p>
        </w:tc>
      </w:tr>
      <w:tr>
        <w:trPr>
          <w:trHeight w:val="396"/>
        </w:trPr>
        <w:tc>
          <w:tcPr>
            <w:tcW w:w="8700" w:type="dxa"/>
            <w:vAlign w:val="bottom"/>
          </w:tcPr>
          <w:p>
            <w:pPr>
              <w:spacing w:after="0"/>
              <w:rPr>
                <w:sz w:val="24"/>
                <w:szCs w:val="24"/>
                <w:color w:val="auto"/>
              </w:rPr>
            </w:pPr>
          </w:p>
        </w:tc>
        <w:tc>
          <w:tcPr>
            <w:tcW w:w="2540" w:type="dxa"/>
            <w:vAlign w:val="bottom"/>
          </w:tcPr>
          <w:p>
            <w:pPr>
              <w:ind w:left="1780"/>
              <w:spacing w:after="0"/>
              <w:rPr>
                <w:sz w:val="20"/>
                <w:szCs w:val="20"/>
                <w:color w:val="auto"/>
              </w:rPr>
            </w:pPr>
            <w:r>
              <w:rPr>
                <w:rFonts w:ascii="Arial" w:cs="Arial" w:eastAsia="Arial" w:hAnsi="Arial"/>
                <w:sz w:val="16"/>
                <w:szCs w:val="16"/>
                <w:color w:val="auto"/>
              </w:rPr>
              <w:t>PAGE</w:t>
            </w:r>
          </w:p>
        </w:tc>
      </w:tr>
      <w:tr>
        <w:trPr>
          <w:trHeight w:val="199"/>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Company Overview</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6</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Capital Stock</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15</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Units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Plan of Distribution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20</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27" w:lineRule="exact"/>
        <w:rPr>
          <w:sz w:val="20"/>
          <w:szCs w:val="20"/>
          <w:color w:val="auto"/>
        </w:rPr>
      </w:pPr>
    </w:p>
    <w:p>
      <w:pPr>
        <w:jc w:val="both"/>
        <w:ind w:right="100"/>
        <w:spacing w:after="0" w:line="30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5"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antideperssant. The FDA has granted Fast Track designation for development of AV-101 as an add-on, or adjunctive, treatment for MDD. We believe AV-101 has potential as a novel treatment for multile additional CNS indivcations,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5"/>
          <w:szCs w:val="15"/>
          <w:i w:val="1"/>
          <w:iCs w:val="1"/>
          <w:color w:val="auto"/>
        </w:rPr>
        <w:t>HAM-D</w:t>
      </w:r>
      <w:r>
        <w:rPr>
          <w:rFonts w:ascii="Arial" w:cs="Arial" w:eastAsia="Arial" w:hAnsi="Arial"/>
          <w:sz w:val="15"/>
          <w:szCs w:val="15"/>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5"/>
          <w:szCs w:val="15"/>
          <w:i w:val="1"/>
          <w:iCs w:val="1"/>
          <w:color w:val="auto"/>
        </w:rPr>
        <w:t>TRD</w:t>
      </w:r>
      <w:r>
        <w:rPr>
          <w:rFonts w:ascii="Arial" w:cs="Arial" w:eastAsia="Arial" w:hAnsi="Arial"/>
          <w:sz w:val="15"/>
          <w:szCs w:val="15"/>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post-tramautic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81" w:lineRule="exact"/>
        <w:rPr>
          <w:sz w:val="20"/>
          <w:szCs w:val="20"/>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5"/>
          <w:szCs w:val="15"/>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of this prospectus and the documents incorporated by reference herein.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2" w:lineRule="exact"/>
        <w:rPr>
          <w:sz w:val="20"/>
          <w:szCs w:val="20"/>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1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6" w:lineRule="exact"/>
        <w:rPr>
          <w:sz w:val="20"/>
          <w:szCs w:val="20"/>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6" w:lineRule="exact"/>
        <w:rPr>
          <w:sz w:val="20"/>
          <w:szCs w:val="20"/>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2" w:lineRule="exact"/>
        <w:rPr>
          <w:sz w:val="20"/>
          <w:szCs w:val="20"/>
          <w:color w:val="auto"/>
        </w:rPr>
      </w:pPr>
    </w:p>
    <w:p>
      <w:pPr>
        <w:ind w:left="600" w:hanging="304"/>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8" w:lineRule="exact"/>
        <w:rPr>
          <w:sz w:val="20"/>
          <w:szCs w:val="20"/>
          <w:color w:val="auto"/>
        </w:rPr>
      </w:pPr>
    </w:p>
    <w:p>
      <w:pPr>
        <w:ind w:left="600" w:hanging="304"/>
        <w:spacing w:after="0" w:line="285"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2" w:lineRule="exact"/>
        <w:rPr>
          <w:sz w:val="20"/>
          <w:szCs w:val="20"/>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Form more information, see “</w:t>
      </w:r>
      <w:r>
        <w:rPr>
          <w:rFonts w:ascii="Arial" w:cs="Arial" w:eastAsia="Arial" w:hAnsi="Arial"/>
          <w:sz w:val="14"/>
          <w:szCs w:val="14"/>
          <w:i w:val="1"/>
          <w:iCs w:val="1"/>
          <w:color w:val="auto"/>
        </w:rPr>
        <w:t>Decription of Warrants – Registration of Series A1 Warrants and Series A1 Warrant Shares</w:t>
      </w:r>
      <w:r>
        <w:rPr>
          <w:rFonts w:ascii="Arial" w:cs="Arial" w:eastAsia="Arial" w:hAnsi="Arial"/>
          <w:sz w:val="14"/>
          <w:szCs w:val="14"/>
          <w:color w:val="auto"/>
        </w:rPr>
        <w:t>” below.</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 xml:space="preserve">Fundamental Transactions: </w:t>
      </w:r>
      <w:r>
        <w:rPr>
          <w:rFonts w:ascii="Arial" w:cs="Arial" w:eastAsia="Arial" w:hAnsi="Arial"/>
          <w:sz w:val="14"/>
          <w:szCs w:val="14"/>
          <w:color w:val="auto"/>
        </w:rPr>
        <w:t>In the event of certain fundamental transactions, as described in the Series A1 Warrants and generally including any merger or consolidation with</w:t>
      </w:r>
      <w:r>
        <w:rPr>
          <w:rFonts w:ascii="Arial" w:cs="Arial" w:eastAsia="Arial" w:hAnsi="Arial"/>
          <w:sz w:val="14"/>
          <w:szCs w:val="14"/>
          <w:i w:val="1"/>
          <w:iCs w:val="1"/>
          <w:color w:val="auto"/>
        </w:rPr>
        <w:t xml:space="preserve"> </w:t>
      </w:r>
      <w:r>
        <w:rPr>
          <w:rFonts w:ascii="Arial" w:cs="Arial" w:eastAsia="Arial" w:hAnsi="Arial"/>
          <w:sz w:val="14"/>
          <w:szCs w:val="14"/>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2" w:lineRule="exact"/>
        <w:rPr>
          <w:sz w:val="20"/>
          <w:szCs w:val="20"/>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0" w:lineRule="exact"/>
        <w:rPr>
          <w:sz w:val="20"/>
          <w:szCs w:val="20"/>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217" w:lineRule="exact"/>
        <w:rPr>
          <w:sz w:val="20"/>
          <w:szCs w:val="20"/>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81" w:lineRule="exact"/>
        <w:rPr>
          <w:sz w:val="20"/>
          <w:szCs w:val="20"/>
          <w:color w:val="auto"/>
        </w:rPr>
      </w:pPr>
    </w:p>
    <w:p>
      <w:pPr>
        <w:ind w:left="600" w:hanging="304"/>
        <w:spacing w:after="0" w:line="285" w:lineRule="auto"/>
        <w:tabs>
          <w:tab w:leader="none" w:pos="6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81"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36" w:lineRule="exact"/>
        <w:rPr>
          <w:sz w:val="20"/>
          <w:szCs w:val="20"/>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36" w:lineRule="exact"/>
        <w:rPr>
          <w:rFonts w:ascii="Arial" w:cs="Arial" w:eastAsia="Arial" w:hAnsi="Arial"/>
          <w:sz w:val="16"/>
          <w:szCs w:val="16"/>
          <w:color w:val="auto"/>
        </w:rPr>
      </w:pPr>
    </w:p>
    <w:p>
      <w:pPr>
        <w:ind w:left="600" w:hanging="304"/>
        <w:spacing w:after="0" w:line="285" w:lineRule="auto"/>
        <w:tabs>
          <w:tab w:leader="none" w:pos="6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15,625,000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605790</wp:posOffset>
            </wp:positionV>
            <wp:extent cx="7143750" cy="4993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_______________________________</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Prospectus Supplement</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2" w:lineRule="exact"/>
        <w:rPr>
          <w:sz w:val="20"/>
          <w:szCs w:val="20"/>
          <w:color w:val="auto"/>
        </w:rPr>
      </w:pPr>
    </w:p>
    <w:p>
      <w:pPr>
        <w:ind w:left="4680"/>
        <w:spacing w:after="0"/>
        <w:rPr>
          <w:sz w:val="20"/>
          <w:szCs w:val="20"/>
          <w:color w:val="auto"/>
        </w:rPr>
      </w:pPr>
      <w:r>
        <w:rPr>
          <w:rFonts w:ascii="Arial" w:cs="Arial" w:eastAsia="Arial" w:hAnsi="Arial"/>
          <w:sz w:val="16"/>
          <w:szCs w:val="16"/>
          <w:b w:val="1"/>
          <w:bCs w:val="1"/>
          <w:i w:val="1"/>
          <w:iCs w:val="1"/>
          <w:color w:val="auto"/>
        </w:rPr>
        <w:t>Sole Book-running Manager</w:t>
      </w:r>
    </w:p>
    <w:p>
      <w:pPr>
        <w:spacing w:after="0" w:line="195"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679"/>
        <w:spacing w:after="0"/>
        <w:rPr>
          <w:sz w:val="20"/>
          <w:szCs w:val="20"/>
          <w:color w:val="auto"/>
        </w:rPr>
      </w:pPr>
      <w:r>
        <w:rPr>
          <w:rFonts w:ascii="Arial" w:cs="Arial" w:eastAsia="Arial" w:hAnsi="Arial"/>
          <w:sz w:val="16"/>
          <w:szCs w:val="16"/>
          <w:color w:val="auto"/>
        </w:rPr>
        <w:t>The date of this prospectus supplement is August 2, 2020</w:t>
      </w:r>
    </w:p>
    <w:p>
      <w:pPr>
        <w:sectPr>
          <w:pgSz w:w="11900" w:h="16838" w:orient="portrait"/>
          <w:cols w:equalWidth="0" w:num="1">
            <w:col w:w="10139"/>
          </w:cols>
          <w:pgMar w:left="320" w:top="131" w:right="1440" w:bottom="1440"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1109345</wp:posOffset>
            </wp:positionV>
            <wp:extent cx="714375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650"/>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2020-08-04T05:12:47Z</dcterms:created>
  <dcterms:modified xsi:type="dcterms:W3CDTF">2020-08-04T05:12:47Z</dcterms:modified>
</cp:coreProperties>
</file>