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December 4, 2015</w:t>
      </w:r>
    </w:p>
    <w:p>
      <w:pPr>
        <w:spacing w:after="0" w:line="225" w:lineRule="exact"/>
        <w:rPr>
          <w:sz w:val="24"/>
          <w:szCs w:val="24"/>
          <w:color w:val="auto"/>
        </w:rPr>
      </w:pPr>
    </w:p>
    <w:p>
      <w:pPr>
        <w:ind w:left="8940"/>
        <w:spacing w:after="0"/>
        <w:rPr>
          <w:sz w:val="20"/>
          <w:szCs w:val="20"/>
          <w:color w:val="auto"/>
        </w:rPr>
      </w:pPr>
      <w:r>
        <w:rPr>
          <w:rFonts w:ascii="Arial" w:cs="Arial" w:eastAsia="Arial" w:hAnsi="Arial"/>
          <w:sz w:val="17"/>
          <w:szCs w:val="17"/>
          <w:b w:val="1"/>
          <w:bCs w:val="1"/>
          <w:color w:val="auto"/>
        </w:rPr>
        <w:t>Registration No. 333-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82"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Nevada</w:t>
            </w:r>
          </w:p>
        </w:tc>
        <w:tc>
          <w:tcPr>
            <w:tcW w:w="5180" w:type="dxa"/>
            <w:vAlign w:val="bottom"/>
            <w:gridSpan w:val="7"/>
          </w:tcPr>
          <w:p>
            <w:pPr>
              <w:jc w:val="center"/>
              <w:ind w:left="3750"/>
              <w:spacing w:after="0"/>
              <w:rPr>
                <w:sz w:val="20"/>
                <w:szCs w:val="20"/>
                <w:color w:val="auto"/>
              </w:rPr>
            </w:pPr>
            <w:r>
              <w:rPr>
                <w:rFonts w:ascii="Arial" w:cs="Arial" w:eastAsia="Arial" w:hAnsi="Arial"/>
                <w:sz w:val="18"/>
                <w:szCs w:val="18"/>
                <w:b w:val="1"/>
                <w:bCs w:val="1"/>
                <w:color w:val="auto"/>
                <w:w w:val="89"/>
              </w:rPr>
              <w:t>20-5093315</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3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(State or Other Jurisdiction of</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(I.R.S. Employer</w:t>
            </w:r>
          </w:p>
        </w:tc>
      </w:tr>
      <w:tr>
        <w:trPr>
          <w:trHeight w:val="230"/>
        </w:trPr>
        <w:tc>
          <w:tcPr>
            <w:tcW w:w="23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Incorporation or Organization)</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gridSpan w:val="3"/>
          </w:tcPr>
          <w:p>
            <w:pPr>
              <w:jc w:val="center"/>
              <w:ind w:left="6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4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90"/>
              </w:rPr>
              <w:t>343 Allerton Avenue</w:t>
            </w:r>
          </w:p>
        </w:tc>
      </w:tr>
      <w:tr>
        <w:trPr>
          <w:trHeight w:val="194"/>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180" w:type="dxa"/>
            <w:vAlign w:val="bottom"/>
            <w:gridSpan w:val="7"/>
          </w:tcPr>
          <w:p>
            <w:pPr>
              <w:jc w:val="center"/>
              <w:ind w:right="1900"/>
              <w:spacing w:after="0" w:line="194" w:lineRule="exact"/>
              <w:rPr>
                <w:sz w:val="20"/>
                <w:szCs w:val="20"/>
                <w:color w:val="auto"/>
              </w:rPr>
            </w:pPr>
            <w:r>
              <w:rPr>
                <w:rFonts w:ascii="Arial" w:cs="Arial" w:eastAsia="Arial" w:hAnsi="Arial"/>
                <w:sz w:val="18"/>
                <w:szCs w:val="18"/>
                <w:b w:val="1"/>
                <w:bCs w:val="1"/>
                <w:color w:val="auto"/>
                <w:w w:val="90"/>
              </w:rPr>
              <w:t>South San Francisco, California 94080</w:t>
            </w:r>
          </w:p>
        </w:tc>
      </w:tr>
      <w:tr>
        <w:trPr>
          <w:trHeight w:val="237"/>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2060" w:type="dxa"/>
            <w:vAlign w:val="bottom"/>
            <w:gridSpan w:val="3"/>
          </w:tcPr>
          <w:p>
            <w:pPr>
              <w:spacing w:after="0"/>
              <w:rPr>
                <w:sz w:val="20"/>
                <w:szCs w:val="20"/>
                <w:color w:val="auto"/>
              </w:rPr>
            </w:pPr>
          </w:p>
        </w:tc>
      </w:tr>
      <w:tr>
        <w:trPr>
          <w:trHeight w:val="459"/>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4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w w:val="89"/>
              </w:rPr>
              <w:t>1999 Stock Incentive Plan</w:t>
            </w:r>
          </w:p>
        </w:tc>
      </w:tr>
      <w:tr>
        <w:trPr>
          <w:trHeight w:val="459"/>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4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w w:val="93"/>
              </w:rPr>
              <w:t>and</w:t>
            </w:r>
          </w:p>
        </w:tc>
      </w:tr>
      <w:tr>
        <w:trPr>
          <w:trHeight w:val="419"/>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4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w w:val="89"/>
              </w:rPr>
              <w:t>2008 Stock Incentive Plan</w:t>
            </w:r>
          </w:p>
        </w:tc>
      </w:tr>
      <w:tr>
        <w:trPr>
          <w:trHeight w:val="237"/>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(Full title of the plan)</w:t>
            </w:r>
          </w:p>
        </w:tc>
        <w:tc>
          <w:tcPr>
            <w:tcW w:w="2560" w:type="dxa"/>
            <w:vAlign w:val="bottom"/>
            <w:gridSpan w:val="4"/>
          </w:tcPr>
          <w:p>
            <w:pPr>
              <w:spacing w:after="0"/>
              <w:rPr>
                <w:sz w:val="20"/>
                <w:szCs w:val="20"/>
                <w:color w:val="auto"/>
              </w:rPr>
            </w:pPr>
          </w:p>
        </w:tc>
      </w:tr>
      <w:tr>
        <w:trPr>
          <w:trHeight w:val="441"/>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4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91"/>
              </w:rPr>
              <w:t>Shawn K. Singh</w:t>
            </w:r>
          </w:p>
        </w:tc>
      </w:tr>
      <w:tr>
        <w:trPr>
          <w:trHeight w:val="216"/>
        </w:trPr>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w w:val="92"/>
              </w:rPr>
              <w:t>Chief Executive Officer</w:t>
            </w:r>
          </w:p>
        </w:tc>
      </w:tr>
      <w:tr>
        <w:trPr>
          <w:trHeight w:val="216"/>
        </w:trPr>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w w:val="91"/>
              </w:rPr>
              <w:t>VistaGen Therapeutics, Inc.</w:t>
            </w:r>
          </w:p>
        </w:tc>
      </w:tr>
      <w:tr>
        <w:trPr>
          <w:trHeight w:val="216"/>
        </w:trPr>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90"/>
              </w:rPr>
              <w:t>343 Allerton Avenue</w:t>
            </w:r>
          </w:p>
        </w:tc>
      </w:tr>
      <w:tr>
        <w:trPr>
          <w:trHeight w:val="194"/>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180" w:type="dxa"/>
            <w:vAlign w:val="bottom"/>
            <w:gridSpan w:val="7"/>
          </w:tcPr>
          <w:p>
            <w:pPr>
              <w:jc w:val="center"/>
              <w:ind w:right="1900"/>
              <w:spacing w:after="0" w:line="194" w:lineRule="exact"/>
              <w:rPr>
                <w:sz w:val="20"/>
                <w:szCs w:val="20"/>
                <w:color w:val="auto"/>
              </w:rPr>
            </w:pPr>
            <w:r>
              <w:rPr>
                <w:rFonts w:ascii="Arial" w:cs="Arial" w:eastAsia="Arial" w:hAnsi="Arial"/>
                <w:sz w:val="18"/>
                <w:szCs w:val="18"/>
                <w:b w:val="1"/>
                <w:bCs w:val="1"/>
                <w:color w:val="auto"/>
                <w:w w:val="90"/>
              </w:rPr>
              <w:t>South San Francisco, California 94080</w:t>
            </w:r>
          </w:p>
        </w:tc>
      </w:tr>
      <w:tr>
        <w:trPr>
          <w:trHeight w:val="237"/>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and address of agent for service)</w:t>
            </w:r>
          </w:p>
        </w:tc>
        <w:tc>
          <w:tcPr>
            <w:tcW w:w="2060" w:type="dxa"/>
            <w:vAlign w:val="bottom"/>
            <w:gridSpan w:val="3"/>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W. Rumsey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Managing Partner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Law Group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600 W. Broadway, Suite 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92101</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p>
      <w:pPr>
        <w:ind w:left="60"/>
        <w:spacing w:after="0"/>
        <w:tabs>
          <w:tab w:leader="none" w:pos="2820" w:val="left"/>
          <w:tab w:leader="none" w:pos="4200" w:val="left"/>
          <w:tab w:leader="none" w:pos="5680" w:val="left"/>
          <w:tab w:leader="none" w:pos="7380" w:val="left"/>
          <w:tab w:leader="none" w:pos="8520" w:val="left"/>
          <w:tab w:leader="none" w:pos="1068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w:t>
        <w:tab/>
        <w:t>[ ]</w:t>
      </w:r>
      <w:r>
        <w:rPr>
          <w:sz w:val="20"/>
          <w:szCs w:val="20"/>
          <w:color w:val="auto"/>
        </w:rPr>
        <w:tab/>
      </w:r>
      <w:r>
        <w:rPr>
          <w:rFonts w:ascii="Arial" w:cs="Arial" w:eastAsia="Arial" w:hAnsi="Arial"/>
          <w:sz w:val="18"/>
          <w:szCs w:val="18"/>
          <w:color w:val="auto"/>
        </w:rPr>
        <w:t>Non-accelerated filer</w:t>
        <w:tab/>
        <w:t>[ ]</w:t>
      </w:r>
      <w:r>
        <w:rPr>
          <w:sz w:val="20"/>
          <w:szCs w:val="20"/>
          <w:color w:val="auto"/>
        </w:rPr>
        <w:tab/>
      </w:r>
      <w:r>
        <w:rPr>
          <w:rFonts w:ascii="Arial" w:cs="Arial" w:eastAsia="Arial" w:hAnsi="Arial"/>
          <w:sz w:val="18"/>
          <w:szCs w:val="18"/>
          <w:color w:val="auto"/>
        </w:rPr>
        <w:t>Smaller reporting company</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40" w:type="dxa"/>
            <w:vAlign w:val="bottom"/>
            <w:gridSpan w:val="4"/>
          </w:tcPr>
          <w:p>
            <w:pPr>
              <w:ind w:left="396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Offering Price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 to be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ind w:left="1540"/>
              <w:spacing w:after="0" w:line="234" w:lineRule="exact"/>
              <w:rPr>
                <w:sz w:val="20"/>
                <w:szCs w:val="20"/>
                <w:color w:val="auto"/>
              </w:rPr>
            </w:pPr>
            <w:r>
              <w:rPr>
                <w:rFonts w:ascii="Arial" w:cs="Arial" w:eastAsia="Arial" w:hAnsi="Arial"/>
                <w:sz w:val="18"/>
                <w:szCs w:val="18"/>
                <w:b w:val="1"/>
                <w:bCs w:val="1"/>
                <w:color w:val="auto"/>
              </w:rPr>
              <w:t xml:space="preserve">Title of Securities to be Registered </w:t>
            </w:r>
            <w:r>
              <w:rPr>
                <w:rFonts w:ascii="Arial" w:cs="Arial" w:eastAsia="Arial" w:hAnsi="Arial"/>
                <w:sz w:val="25"/>
                <w:szCs w:val="25"/>
                <w:b w:val="1"/>
                <w:bCs w:val="1"/>
                <w:color w:val="auto"/>
                <w:vertAlign w:val="superscript"/>
              </w:rPr>
              <w:t>(1)</w:t>
            </w:r>
          </w:p>
        </w:tc>
        <w:tc>
          <w:tcPr>
            <w:tcW w:w="120" w:type="dxa"/>
            <w:vAlign w:val="bottom"/>
          </w:tcPr>
          <w:p>
            <w:pPr>
              <w:spacing w:after="0"/>
              <w:rPr>
                <w:sz w:val="20"/>
                <w:szCs w:val="20"/>
                <w:color w:val="auto"/>
              </w:rPr>
            </w:pPr>
          </w:p>
        </w:tc>
        <w:tc>
          <w:tcPr>
            <w:tcW w:w="1380" w:type="dxa"/>
            <w:vAlign w:val="bottom"/>
            <w:gridSpan w:val="2"/>
          </w:tcPr>
          <w:p>
            <w:pPr>
              <w:ind w:left="60"/>
              <w:spacing w:after="0" w:line="234" w:lineRule="exact"/>
              <w:rPr>
                <w:sz w:val="20"/>
                <w:szCs w:val="20"/>
                <w:color w:val="auto"/>
              </w:rPr>
            </w:pPr>
            <w:r>
              <w:rPr>
                <w:rFonts w:ascii="Arial" w:cs="Arial" w:eastAsia="Arial" w:hAnsi="Arial"/>
                <w:sz w:val="18"/>
                <w:szCs w:val="18"/>
                <w:b w:val="1"/>
                <w:bCs w:val="1"/>
                <w:color w:val="auto"/>
              </w:rPr>
              <w:t xml:space="preserve">Registered </w:t>
            </w:r>
            <w:r>
              <w:rPr>
                <w:rFonts w:ascii="Arial" w:cs="Arial" w:eastAsia="Arial" w:hAnsi="Arial"/>
                <w:sz w:val="25"/>
                <w:szCs w:val="25"/>
                <w:b w:val="1"/>
                <w:bCs w:val="1"/>
                <w:color w:val="auto"/>
                <w:vertAlign w:val="superscript"/>
              </w:rPr>
              <w:t>(2)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line="234" w:lineRule="exact"/>
              <w:rPr>
                <w:sz w:val="20"/>
                <w:szCs w:val="20"/>
                <w:color w:val="auto"/>
              </w:rPr>
            </w:pPr>
            <w:r>
              <w:rPr>
                <w:rFonts w:ascii="Arial" w:cs="Arial" w:eastAsia="Arial" w:hAnsi="Arial"/>
                <w:sz w:val="18"/>
                <w:szCs w:val="18"/>
                <w:b w:val="1"/>
                <w:bCs w:val="1"/>
                <w:color w:val="auto"/>
                <w:w w:val="84"/>
              </w:rPr>
              <w:t xml:space="preserve">Share </w:t>
            </w:r>
            <w:r>
              <w:rPr>
                <w:rFonts w:ascii="Arial" w:cs="Arial" w:eastAsia="Arial" w:hAnsi="Arial"/>
                <w:sz w:val="25"/>
                <w:szCs w:val="25"/>
                <w:b w:val="1"/>
                <w:bCs w:val="1"/>
                <w:color w:val="auto"/>
                <w:w w:val="84"/>
                <w:vertAlign w:val="superscript"/>
              </w:rPr>
              <w:t>(3)</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line="234" w:lineRule="exact"/>
              <w:rPr>
                <w:sz w:val="20"/>
                <w:szCs w:val="20"/>
                <w:color w:val="auto"/>
              </w:rPr>
            </w:pPr>
            <w:r>
              <w:rPr>
                <w:rFonts w:ascii="Arial" w:cs="Arial" w:eastAsia="Arial" w:hAnsi="Arial"/>
                <w:sz w:val="18"/>
                <w:szCs w:val="18"/>
                <w:b w:val="1"/>
                <w:bCs w:val="1"/>
                <w:color w:val="auto"/>
                <w:w w:val="83"/>
              </w:rPr>
              <w:t xml:space="preserve">Price </w:t>
            </w:r>
            <w:r>
              <w:rPr>
                <w:rFonts w:ascii="Arial" w:cs="Arial" w:eastAsia="Arial" w:hAnsi="Arial"/>
                <w:sz w:val="25"/>
                <w:szCs w:val="25"/>
                <w:b w:val="1"/>
                <w:bCs w:val="1"/>
                <w:color w:val="auto"/>
                <w:w w:val="83"/>
                <w:vertAlign w:val="superscript"/>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$0.001 par value per share: To be issued under the 2008 Stock</w:t>
            </w:r>
          </w:p>
        </w:tc>
        <w:tc>
          <w:tcPr>
            <w:tcW w:w="1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Incentive Plan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700,491</w:t>
            </w:r>
          </w:p>
        </w:tc>
        <w:tc>
          <w:tcPr>
            <w:tcW w:w="2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4,658,265.15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5"/>
              </w:rPr>
              <w:t>Common Stock, $0.001 par value per share: Outstanding options to purchase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w w:val="90"/>
              </w:rPr>
              <w:t>shares of Common Stock issued by the Registrant under the 1999 Stock Incentive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Plan</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12,229</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81,322.85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per share: Outstanding options to purchase</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shares of Common Stock issued by the Registrant under the 2008 Stock Incentive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284,509</w:t>
            </w:r>
          </w:p>
        </w:tc>
        <w:tc>
          <w:tcPr>
            <w:tcW w:w="2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1,891,984.85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997,229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6,631,572.85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to be registered include options to acquire shares of the Registrant's common stock.</w:t>
      </w:r>
    </w:p>
    <w:p>
      <w:pPr>
        <w:spacing w:after="0" w:line="225"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also be deemed to cover any additional securities that may from time to time be offered or issued to prevent dilution resulting from stock splits, stock dividends or similar transactions.</w:t>
      </w:r>
    </w:p>
    <w:p>
      <w:pPr>
        <w:spacing w:after="0" w:line="150"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Rules 457(c) and (h) under the Securities Act of 1933, as amended.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This Registration Statement includes a reoffer prospectus in Part I (the “</w:t>
      </w:r>
      <w:r>
        <w:rPr>
          <w:rFonts w:ascii="Arial" w:cs="Arial" w:eastAsia="Arial" w:hAnsi="Arial"/>
          <w:sz w:val="17"/>
          <w:szCs w:val="17"/>
          <w:i w:val="1"/>
          <w:iCs w:val="1"/>
          <w:color w:val="auto"/>
        </w:rPr>
        <w:t>Reoffer Prospectus</w:t>
      </w:r>
      <w:r>
        <w:rPr>
          <w:rFonts w:ascii="Arial" w:cs="Arial" w:eastAsia="Arial" w:hAnsi="Arial"/>
          <w:sz w:val="17"/>
          <w:szCs w:val="17"/>
          <w:color w:val="auto"/>
        </w:rPr>
        <w:t>”), which has been prepared in accordance with General Instruction C of Form S-8 and the requirements of Part I of Form S-3, and may be used for reoffers of shares of common stock (acquired or to be acquired pursuant to awards granted under the 1999 Stock Incentive Plan (the “</w:t>
      </w:r>
      <w:r>
        <w:rPr>
          <w:rFonts w:ascii="Arial" w:cs="Arial" w:eastAsia="Arial" w:hAnsi="Arial"/>
          <w:sz w:val="17"/>
          <w:szCs w:val="17"/>
          <w:i w:val="1"/>
          <w:iCs w:val="1"/>
          <w:color w:val="auto"/>
        </w:rPr>
        <w:t>1999 Plan</w:t>
      </w:r>
      <w:r>
        <w:rPr>
          <w:rFonts w:ascii="Arial" w:cs="Arial" w:eastAsia="Arial" w:hAnsi="Arial"/>
          <w:sz w:val="17"/>
          <w:szCs w:val="17"/>
          <w:color w:val="auto"/>
        </w:rPr>
        <w:t>”) and the 2008 Stock Incentive Plan (the “</w:t>
      </w:r>
      <w:r>
        <w:rPr>
          <w:rFonts w:ascii="Arial" w:cs="Arial" w:eastAsia="Arial" w:hAnsi="Arial"/>
          <w:sz w:val="17"/>
          <w:szCs w:val="17"/>
          <w:i w:val="1"/>
          <w:iCs w:val="1"/>
          <w:color w:val="auto"/>
        </w:rPr>
        <w:t>2008 Plan</w:t>
      </w:r>
      <w:r>
        <w:rPr>
          <w:rFonts w:ascii="Arial" w:cs="Arial" w:eastAsia="Arial" w:hAnsi="Arial"/>
          <w:sz w:val="17"/>
          <w:szCs w:val="17"/>
          <w:color w:val="auto"/>
        </w:rPr>
        <w:t>” and, together with the 1999 Plan, the “</w:t>
      </w:r>
      <w:r>
        <w:rPr>
          <w:rFonts w:ascii="Arial" w:cs="Arial" w:eastAsia="Arial" w:hAnsi="Arial"/>
          <w:sz w:val="17"/>
          <w:szCs w:val="17"/>
          <w:i w:val="1"/>
          <w:iCs w:val="1"/>
          <w:color w:val="auto"/>
        </w:rPr>
        <w:t>Plans</w:t>
      </w:r>
      <w:r>
        <w:rPr>
          <w:rFonts w:ascii="Arial" w:cs="Arial" w:eastAsia="Arial" w:hAnsi="Arial"/>
          <w:sz w:val="17"/>
          <w:szCs w:val="17"/>
          <w:color w:val="auto"/>
        </w:rPr>
        <w:t>”)) that are defined as “control securities” or “restricted securities” under General Instruction C of Form S-8.</w:t>
      </w:r>
    </w:p>
    <w:p>
      <w:pPr>
        <w:spacing w:after="0" w:line="17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The names of persons selling shares under the Reoffer Prospectus and the amount of such shares are set forth below under the caption “Selling Stockholders” to the extent we presently have such information. However, other affiliate selling stockholders may elect to sell shares under the Reoffer Prospectus as they receive them from time to time in the future in which case, as their names and amounts of shares to be reoffered become known, we will supplement the Reoffer Prospectus with that information. In addition, as permitted by General Instruction C of Form S-8, certain non-affiliates holding less than the lesser of 1,000 shares or 1% of our common stock issuable under the Plans may resell restricted securities issued under each respective Plan up to that amount under the Reoffer Prospectus without being named therein. Any securities covered by the Reoffer Prospectus which qualify for sale pursuant to Rule 144 may be sold under Rule 144 rather than pursuant to the Reoffer Prospectus.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document(s) containing the information concerning the Registrant’s 1999 Plan and the 2008 Plan specified in Part I will be sent or given to participants of the Plans as specified by Rule 428(b)(1). Such documents are not filed as part of this Registration Statement in accordance with the Note to Part I of the Form S-8 Registration Statement.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REOFFER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296,738 Shares of Common Stock</w:t>
      </w:r>
    </w:p>
    <w:p>
      <w:pPr>
        <w:spacing w:after="0" w:line="229" w:lineRule="exact"/>
        <w:rPr>
          <w:sz w:val="20"/>
          <w:szCs w:val="20"/>
          <w:color w:val="auto"/>
        </w:rPr>
      </w:pPr>
    </w:p>
    <w:p>
      <w:pPr>
        <w:jc w:val="both"/>
        <w:ind w:firstLine="869"/>
        <w:spacing w:after="0" w:line="273" w:lineRule="auto"/>
        <w:rPr>
          <w:sz w:val="20"/>
          <w:szCs w:val="20"/>
          <w:color w:val="auto"/>
        </w:rPr>
      </w:pPr>
      <w:r>
        <w:rPr>
          <w:rFonts w:ascii="Arial" w:cs="Arial" w:eastAsia="Arial" w:hAnsi="Arial"/>
          <w:sz w:val="17"/>
          <w:szCs w:val="17"/>
          <w:color w:val="auto"/>
        </w:rPr>
        <w:t>This Reoffer Prospectus relates to the sale of up 296,738 shares of our common stock, par value $0.001 per share, that may be offered and resold from time to time by existing selling stockholders (the “</w:t>
      </w:r>
      <w:r>
        <w:rPr>
          <w:rFonts w:ascii="Arial" w:cs="Arial" w:eastAsia="Arial" w:hAnsi="Arial"/>
          <w:sz w:val="17"/>
          <w:szCs w:val="17"/>
          <w:i w:val="1"/>
          <w:iCs w:val="1"/>
          <w:color w:val="auto"/>
        </w:rPr>
        <w:t>Selling Stockholders</w:t>
      </w:r>
      <w:r>
        <w:rPr>
          <w:rFonts w:ascii="Arial" w:cs="Arial" w:eastAsia="Arial" w:hAnsi="Arial"/>
          <w:sz w:val="17"/>
          <w:szCs w:val="17"/>
          <w:color w:val="auto"/>
        </w:rPr>
        <w:t>”) identified in this Reoffer Prospectus for his own account issuable pursuant to the Company's 1999 Stock Incentive Plan (the “</w:t>
      </w:r>
      <w:r>
        <w:rPr>
          <w:rFonts w:ascii="Arial" w:cs="Arial" w:eastAsia="Arial" w:hAnsi="Arial"/>
          <w:sz w:val="17"/>
          <w:szCs w:val="17"/>
          <w:i w:val="1"/>
          <w:iCs w:val="1"/>
          <w:color w:val="auto"/>
        </w:rPr>
        <w:t>1999 Plan</w:t>
      </w:r>
      <w:r>
        <w:rPr>
          <w:rFonts w:ascii="Arial" w:cs="Arial" w:eastAsia="Arial" w:hAnsi="Arial"/>
          <w:sz w:val="17"/>
          <w:szCs w:val="17"/>
          <w:color w:val="auto"/>
        </w:rPr>
        <w:t>”) and the 2008 Stock Incentive Plan (the “</w:t>
      </w:r>
      <w:r>
        <w:rPr>
          <w:rFonts w:ascii="Arial" w:cs="Arial" w:eastAsia="Arial" w:hAnsi="Arial"/>
          <w:sz w:val="17"/>
          <w:szCs w:val="17"/>
          <w:i w:val="1"/>
          <w:iCs w:val="1"/>
          <w:color w:val="auto"/>
        </w:rPr>
        <w:t>2008 Plan</w:t>
      </w:r>
      <w:r>
        <w:rPr>
          <w:rFonts w:ascii="Arial" w:cs="Arial" w:eastAsia="Arial" w:hAnsi="Arial"/>
          <w:sz w:val="17"/>
          <w:szCs w:val="17"/>
          <w:color w:val="auto"/>
        </w:rPr>
        <w:t>” and, together with the 1999 Plan, the “</w:t>
      </w:r>
      <w:r>
        <w:rPr>
          <w:rFonts w:ascii="Arial" w:cs="Arial" w:eastAsia="Arial" w:hAnsi="Arial"/>
          <w:sz w:val="17"/>
          <w:szCs w:val="17"/>
          <w:i w:val="1"/>
          <w:iCs w:val="1"/>
          <w:color w:val="auto"/>
        </w:rPr>
        <w:t>Plans</w:t>
      </w:r>
      <w:r>
        <w:rPr>
          <w:rFonts w:ascii="Arial" w:cs="Arial" w:eastAsia="Arial" w:hAnsi="Arial"/>
          <w:sz w:val="17"/>
          <w:szCs w:val="17"/>
          <w:color w:val="auto"/>
        </w:rPr>
        <w:t>”). It is anticipated that the Selling Stockholders will offer common stock for sale at prevailing prices on the OTCQB on the date of sale. We will receive no part of the proceeds from sales made under this Reoffer Prospectus. The Selling Stockholders will bear all sales commissions and similar expenses. Any other expenses incurred in connection with the registration and offering of the shares will be borne by the Company.</w:t>
      </w:r>
    </w:p>
    <w:p>
      <w:pPr>
        <w:spacing w:after="0" w:line="233"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8"/>
          <w:szCs w:val="18"/>
          <w:color w:val="auto"/>
        </w:rPr>
        <w:t>The shares of common stock will be issued pursuant to stock options previously granted under the Plans. This Reoffer Prospectus has been prepared for the purposes of registering the common stock under the Securities Act of 1933, as amended, to allow for future sales by the Selling Stockholders on a continuous or delayed basis to the public without restriction.</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common stock is quoted on OTCQB under the symbol “VSTA.” The closing sale price for our common stock on December 2, 2015, was $6.50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2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Investing in our common stock involves risks. See “</w:t>
      </w:r>
      <w:r>
        <w:rPr>
          <w:rFonts w:ascii="Arial" w:cs="Arial" w:eastAsia="Arial" w:hAnsi="Arial"/>
          <w:sz w:val="18"/>
          <w:szCs w:val="18"/>
          <w:i w:val="1"/>
          <w:iCs w:val="1"/>
          <w:color w:val="auto"/>
        </w:rPr>
        <w:t>Risk Factors</w:t>
      </w:r>
      <w:r>
        <w:rPr>
          <w:rFonts w:ascii="Arial" w:cs="Arial" w:eastAsia="Arial" w:hAnsi="Arial"/>
          <w:sz w:val="18"/>
          <w:szCs w:val="18"/>
          <w:color w:val="auto"/>
        </w:rPr>
        <w:t>” on page 4 of this Reoffer Prospectus.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REOFFER PROSPECTUS IS TRUTHFUL OR COMPLETE. ANY REPRESENTATION TO THE CONTRARY IS A CRIMINAL OFFENSE.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Reoffer Prospectus is December 4, 2015</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78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rPr>
              <w:t>VISTAGEN THERAPEUTICS, INC.</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PROSPECTUS SUMMARY</w:t>
              </w:r>
            </w:hyperlink>
          </w:p>
        </w:tc>
        <w:tc>
          <w:tcPr>
            <w:tcW w:w="8040" w:type="dxa"/>
            <w:vAlign w:val="bottom"/>
            <w:tcBorders>
              <w:bottom w:val="single" w:sz="8" w:color="CCEEFF"/>
            </w:tcBorders>
            <w:gridSpan w:val="6"/>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20" w:type="dxa"/>
            <w:vAlign w:val="bottom"/>
            <w:gridSpan w:val="13"/>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THE OFFERING</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RISK FACTORS</w:t>
              </w:r>
            </w:hyperlink>
          </w:p>
        </w:tc>
        <w:tc>
          <w:tcPr>
            <w:tcW w:w="8900" w:type="dxa"/>
            <w:vAlign w:val="bottom"/>
            <w:tcBorders>
              <w:bottom w:val="single" w:sz="8" w:color="CCEEFF"/>
            </w:tcBorders>
            <w:gridSpan w:val="11"/>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20" w:type="dxa"/>
            <w:vAlign w:val="bottom"/>
            <w:gridSpan w:val="13"/>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CAUTIONARY NOTE REGARDING FORWARD-LOOKING STATEMENTS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2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DETERMINATION OF OFFERING PRICE</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Borders>
              <w:top w:val="single" w:sz="8" w:color="0000EE"/>
            </w:tcBorders>
            <w:gridSpan w:val="9"/>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USE OF PROCEEDS</w:t>
              </w:r>
            </w:hyperlink>
          </w:p>
        </w:tc>
        <w:tc>
          <w:tcPr>
            <w:tcW w:w="6780" w:type="dxa"/>
            <w:vAlign w:val="bottom"/>
            <w:tcBorders>
              <w:top w:val="single" w:sz="8" w:color="CCEEFF"/>
            </w:tcBorders>
            <w:gridSpan w:val="4"/>
          </w:tcPr>
          <w:p>
            <w:pPr>
              <w:spacing w:after="0"/>
              <w:rPr>
                <w:sz w:val="15"/>
                <w:szCs w:val="15"/>
                <w:color w:val="auto"/>
              </w:rPr>
            </w:pPr>
          </w:p>
        </w:tc>
        <w:tc>
          <w:tcPr>
            <w:tcW w:w="10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2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SELLING STOCKHOLDERS</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Borders>
              <w:top w:val="single" w:sz="8" w:color="0000EE"/>
            </w:tcBorders>
            <w:gridSpan w:val="8"/>
          </w:tcPr>
          <w:p>
            <w:pPr>
              <w:spacing w:after="0" w:line="17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PLAN OF DISTRIBUTION</w:t>
              </w:r>
            </w:hyperlink>
          </w:p>
        </w:tc>
        <w:tc>
          <w:tcPr>
            <w:tcW w:w="7880" w:type="dxa"/>
            <w:vAlign w:val="bottom"/>
            <w:tcBorders>
              <w:top w:val="single" w:sz="8" w:color="CCEEFF"/>
            </w:tcBorders>
            <w:gridSpan w:val="5"/>
          </w:tcPr>
          <w:p>
            <w:pPr>
              <w:spacing w:after="0"/>
              <w:rPr>
                <w:sz w:val="15"/>
                <w:szCs w:val="15"/>
                <w:color w:val="auto"/>
              </w:rPr>
            </w:pPr>
          </w:p>
        </w:tc>
        <w:tc>
          <w:tcPr>
            <w:tcW w:w="10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45</w:t>
            </w: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LEGAL MATTERS</w:t>
              </w:r>
            </w:hyperlink>
          </w:p>
        </w:tc>
        <w:tc>
          <w:tcPr>
            <w:tcW w:w="8680" w:type="dxa"/>
            <w:vAlign w:val="bottom"/>
            <w:tcBorders>
              <w:bottom w:val="single" w:sz="8" w:color="CCEEFF"/>
            </w:tcBorders>
            <w:gridSpan w:val="9"/>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20" w:type="dxa"/>
            <w:vAlign w:val="bottom"/>
            <w:gridSpan w:val="13"/>
          </w:tcPr>
          <w:p>
            <w:pPr>
              <w:spacing w:after="0" w:line="17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EXPERTS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2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INCORPORATION OF CERTAIN DOCUMENTS BY REFERENCE</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Borders>
              <w:top w:val="single" w:sz="8" w:color="0000EE"/>
            </w:tcBorders>
            <w:gridSpan w:val="11"/>
          </w:tcPr>
          <w:p>
            <w:pPr>
              <w:spacing w:after="0" w:line="17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WHERE YOU CAN FIND ADDITIONAL INFORMATION</w:t>
              </w:r>
            </w:hyperlink>
          </w:p>
        </w:tc>
        <w:tc>
          <w:tcPr>
            <w:tcW w:w="486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48</w:t>
            </w: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Reoffer Prospectus or any related prospectus supplement. We have not authorized anyone to provide you with different information. If anyone provides you with different or inconsistent information, you should not rely on it. The information contained in this Reoffer Prospectus or incorporated by reference herein is accurate only on the date of this Reoffer Prospectus. Our business, financial condition, results of operations and prospects may have changed since such date. Other than as required under the federal securities laws, we undertake no obligation to publicly update or revise such information, whether as a result of new information, future events or any other reason.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Reoffer Prospectus is not an offer to sell, nor is it an offer to buy, these securities in any jurisdiction where the offer or sale is not permitted.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This summary highlights certain information that we present more fully in the rest of this Reoffer Prospectus. This summary does not contain all of the information you should consider before investing in the securities offered pursuant to this Reoffer Prospectus. You should read the entire prospectus carefully, including the section titled “Risk Factors,” before making an investment decision.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Except where the context otherwise requires and for purposes of this Reoffer Prospectus only, “we,” “us,” “our,” “Company,” “our Company,” and “VistaGen” refer to VistaGen Therapeutics, Inc., a Nevada corporation, and its consolidated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clinical-stage biopharmaceutical company committed to developing and commercializing innovative product candidates for patients with depression, cancer, other diseases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as well as certain neurodegenerative diseases.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AV-101, our new generation, orally available prodrug candidate is in Phase 2 development, initially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AV-101’s novel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antidepressants currently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 Phase 2A clinical study of AV-101 in subjects with treatment-resistant MDD is being conducted and funded by the National Institutes of Mental Health (</w:t>
      </w:r>
      <w:r>
        <w:rPr>
          <w:rFonts w:ascii="Arial" w:cs="Arial" w:eastAsia="Arial" w:hAnsi="Arial"/>
          <w:sz w:val="16"/>
          <w:szCs w:val="16"/>
          <w:i w:val="1"/>
          <w:iCs w:val="1"/>
          <w:color w:val="auto"/>
        </w:rPr>
        <w:t>NIMH</w:t>
      </w:r>
      <w:r>
        <w:rPr>
          <w:rFonts w:ascii="Arial" w:cs="Arial" w:eastAsia="Arial" w:hAnsi="Arial"/>
          <w:sz w:val="16"/>
          <w:szCs w:val="16"/>
          <w:color w:val="auto"/>
        </w:rPr>
        <w:t>) under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The Principal Investigator of this NIMH-funded Phase 2A study, which was initiated in October 2015, is Dr. Carlos Zarate, Jr., Chief of the NIMH’s Experimental Therapeutics &amp; Pathophysiology Branch and its Section on Neurobiology and Treatment of Mood and Anxiety Disorders.</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Beyond MDD, we believe that AV-101 has therapeutic potential in additional CNS indications, including neuropathic pain and epilepsy, and in neurodegenerative diseases such as Parkinson’s disease and Huntington’s disease.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our focus on CNS and neurology, we are applying our proprietary, human pluripotent stem cell (hPSC) technology for drug rescue to develop proprietary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internal drug candidate pipeline. Initial drug rescue programs are focused on NCEs for the treatment of cancer.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also considering regenerative medicine applications of our stem cell technology platform. Using hPSC-derived blood, cartilage, heart and liver cells in collaborative arrangements with academic research partners, including our co-founder and the Chairman of our Scientific Advisory Board, Gordon Keller, Ph.D., the Director of the University Health Network's McEwen Centre for the Regenerative Medicine in Toronto, we may pursue development of novel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disease models with produce for our pipeline NCEs and biologics with regenerative potential and nonclinical proof of concept studies focused on cell therapy.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6"/>
          <w:szCs w:val="16"/>
          <w:color w:val="auto"/>
        </w:rPr>
        <w:t>By this Reoffer Prospectus, the Selling Stockholders are offering up to 296,738 shares of our common stock, which are issuable pursuant to our 1999 Plan and 2008 Plan. The Selling Stockholders are not required to sell their shares, and any sales of common stock by the Selling Stockholders are entirely at the discretion of the Selling Stockholders. We will receive no proceeds from the sale of the shares of common stock in this offering.</w:t>
      </w:r>
    </w:p>
    <w:p>
      <w:pPr>
        <w:spacing w:after="0" w:line="147"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i w:val="1"/>
          <w:iCs w:val="1"/>
          <w:color w:val="auto"/>
        </w:rPr>
        <w:t>Securities Registered:</w:t>
      </w:r>
      <w:r>
        <w:rPr>
          <w:sz w:val="20"/>
          <w:szCs w:val="20"/>
          <w:color w:val="auto"/>
        </w:rPr>
        <w:tab/>
      </w:r>
      <w:r>
        <w:rPr>
          <w:rFonts w:ascii="Arial" w:cs="Arial" w:eastAsia="Arial" w:hAnsi="Arial"/>
          <w:sz w:val="16"/>
          <w:szCs w:val="16"/>
          <w:color w:val="auto"/>
        </w:rPr>
        <w:t>296,738 shares of common stock, par value $0.001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Outstanding Prior to</w:t>
      </w:r>
    </w:p>
    <w:p>
      <w:pPr>
        <w:spacing w:after="0" w:line="23"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i w:val="1"/>
          <w:iCs w:val="1"/>
          <w:color w:val="auto"/>
        </w:rPr>
        <w:t>Completion of the Offering:</w:t>
      </w:r>
      <w:r>
        <w:rPr>
          <w:sz w:val="20"/>
          <w:szCs w:val="20"/>
          <w:color w:val="auto"/>
        </w:rPr>
        <w:tab/>
      </w:r>
      <w:r>
        <w:rPr>
          <w:rFonts w:ascii="Arial" w:cs="Arial" w:eastAsia="Arial" w:hAnsi="Arial"/>
          <w:sz w:val="16"/>
          <w:szCs w:val="16"/>
          <w:color w:val="auto"/>
        </w:rPr>
        <w:t>1,764,149</w:t>
      </w:r>
    </w:p>
    <w:p>
      <w:pPr>
        <w:spacing w:after="0" w:line="211"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i w:val="1"/>
          <w:iCs w:val="1"/>
          <w:color w:val="auto"/>
        </w:rPr>
        <w:t>OTCQB Symbol:</w:t>
      </w:r>
      <w:r>
        <w:rPr>
          <w:sz w:val="20"/>
          <w:szCs w:val="20"/>
          <w:color w:val="auto"/>
        </w:rPr>
        <w:tab/>
      </w:r>
      <w:r>
        <w:rPr>
          <w:rFonts w:ascii="Arial" w:cs="Arial" w:eastAsia="Arial" w:hAnsi="Arial"/>
          <w:sz w:val="17"/>
          <w:szCs w:val="17"/>
          <w:color w:val="auto"/>
        </w:rPr>
        <w:t>VSTA</w:t>
      </w:r>
    </w:p>
    <w:p>
      <w:pPr>
        <w:spacing w:after="0" w:line="225"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i w:val="1"/>
          <w:iCs w:val="1"/>
          <w:color w:val="auto"/>
        </w:rPr>
        <w:t>Transfer Agent:</w:t>
      </w:r>
      <w:r>
        <w:rPr>
          <w:sz w:val="20"/>
          <w:szCs w:val="20"/>
          <w:color w:val="auto"/>
        </w:rPr>
        <w:tab/>
      </w:r>
      <w:r>
        <w:rPr>
          <w:rFonts w:ascii="Arial" w:cs="Arial" w:eastAsia="Arial" w:hAnsi="Arial"/>
          <w:sz w:val="16"/>
          <w:szCs w:val="16"/>
          <w:color w:val="auto"/>
        </w:rPr>
        <w:t>ComputerShare, Jersey City, New Jersey.</w:t>
      </w:r>
    </w:p>
    <w:p>
      <w:pPr>
        <w:spacing w:after="0" w:line="225"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i w:val="1"/>
          <w:iCs w:val="1"/>
          <w:color w:val="auto"/>
        </w:rPr>
        <w:t>Risk Factors:</w:t>
      </w:r>
      <w:r>
        <w:rPr>
          <w:sz w:val="20"/>
          <w:szCs w:val="20"/>
          <w:color w:val="auto"/>
        </w:rPr>
        <w:tab/>
      </w:r>
      <w:r>
        <w:rPr>
          <w:rFonts w:ascii="Arial" w:cs="Arial" w:eastAsia="Arial" w:hAnsi="Arial"/>
          <w:sz w:val="17"/>
          <w:szCs w:val="17"/>
          <w:color w:val="auto"/>
        </w:rPr>
        <w:t>Our business operations are subject to numerous risks, including the risk of delays in, or discontinuation of, our</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research and development due to lack of financing, poor results, inability to commercialize our technologies or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obtain necessary regulatory approvals to market the products, unforeseen safety issues relating to the products and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dependence on third party collaborators to conduct research and development of the products. Because we are an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early stage company with a limited history of operations, we are also subject to many risks associated with early-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stage companies. For a more detailed discussion of some of the risks you should consider, you are urged to carefully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review and consider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of this Reoffer Prospectus.</w:t>
      </w:r>
    </w:p>
    <w:p>
      <w:pPr>
        <w:spacing w:after="0" w:line="211"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i w:val="1"/>
          <w:iCs w:val="1"/>
          <w:color w:val="auto"/>
        </w:rPr>
        <w:t>Use of Proceeds:</w:t>
      </w:r>
      <w:r>
        <w:rPr>
          <w:sz w:val="20"/>
          <w:szCs w:val="20"/>
          <w:color w:val="auto"/>
        </w:rPr>
        <w:tab/>
      </w:r>
      <w:r>
        <w:rPr>
          <w:rFonts w:ascii="Arial" w:cs="Arial" w:eastAsia="Arial" w:hAnsi="Arial"/>
          <w:sz w:val="16"/>
          <w:szCs w:val="16"/>
          <w:color w:val="auto"/>
        </w:rPr>
        <w:t>We will not receive any proceeds from the sale of the shares of common stock registered pursuant to this Reoffer</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Prospectus. To the extent that we receive any funds from the exercise of options issued to the Selling Stockholders,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such funds will be used to fund the research and development of our product candidates, including AV-101, and for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working capital and general corporate purposes.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Sales by Affiliates and Sales of Restricted Securities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Stockholders who are considered “affiliates” of the Company, as defined in Rule 405 under the Securities Act, or who are selling “restricted securities”, as defined in Rule 144(a)(3) under the Securities Act, may not sell an amount of shares pursuant to this reoffer prospectus which exceeds in any three month period the amount specified in Rule 144(e) under the Securities Act.</w:t>
      </w:r>
    </w:p>
    <w:p>
      <w:pPr>
        <w:spacing w:after="0" w:line="200" w:lineRule="exact"/>
        <w:rPr>
          <w:sz w:val="20"/>
          <w:szCs w:val="20"/>
          <w:color w:val="auto"/>
        </w:rPr>
      </w:pPr>
    </w:p>
    <w:p>
      <w:pPr>
        <w:sectPr>
          <w:pgSz w:w="11900" w:h="16838" w:orient="portrait"/>
          <w:cols w:equalWidth="0" w:num="2">
            <w:col w:w="2320" w:space="720"/>
            <w:col w:w="8380"/>
          </w:cols>
          <w:pgMar w:left="240" w:top="121"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Prospectus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non-clinical and clinical development, regulatory approval and commercialization of AV-101 for depression, including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and various other diseases and disorders involving the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as well as our ability to produce, develop and commercialize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or any other product candidate will be successfully developed or commercialized.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or an NDA, from the FDA, or in any foreign countries until we receive the requisite approval from such countries. In October 2015, we began a Phase 2 clinical trial involving AV-101, to study its safety, tolerability and efficacy in patients with MDD. If our Phase 2 clinical trial of AV-101 is successful, we expect the FDA to require us to complete at least one pivotal Phase 2b clinical trial and at least one pivotal Phase 3 clinical trial in order to submit an NDA for AV-101 as a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97" w:lineRule="exact"/>
        <w:rPr>
          <w:sz w:val="20"/>
          <w:szCs w:val="20"/>
          <w:color w:val="auto"/>
        </w:rPr>
      </w:pPr>
    </w:p>
    <w:p>
      <w:pPr>
        <w:ind w:left="1340" w:hanging="725"/>
        <w:spacing w:after="0" w:line="277"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 candidate is safe and effective in treating a human disease or disorder, to the satisfaction of the FDA;</w:t>
      </w:r>
    </w:p>
    <w:p>
      <w:pPr>
        <w:spacing w:after="0" w:line="197"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our non-clinical studies and clinical trials may not meet the level of statistical or clinical significance required by the FDA for marketing approval;</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non-clinical studies and clinical trials;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may require that we conduct additional non-clinical studies and clinical trials;</w:t>
      </w:r>
    </w:p>
    <w:p>
      <w:pPr>
        <w:spacing w:after="0" w:line="252"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not approve the formulation, labeling or specifications of any of our product candidates;</w:t>
      </w:r>
    </w:p>
    <w:p>
      <w:pPr>
        <w:spacing w:after="0" w:line="197"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97"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may find the data from non-clinical studies and clinical trials insufficient to demonstrate that our product candidates’ clinical and other benefits outweigh their safety risks;</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non-clinical studies and clinical trials;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may not accept data generated at our non-clinical studies and clinical trial sites;</w:t>
      </w:r>
    </w:p>
    <w:p>
      <w:pPr>
        <w:spacing w:after="0" w:line="252" w:lineRule="exact"/>
        <w:rPr>
          <w:rFonts w:ascii="Arial" w:cs="Arial" w:eastAsia="Arial" w:hAnsi="Arial"/>
          <w:sz w:val="18"/>
          <w:szCs w:val="18"/>
          <w:color w:val="auto"/>
        </w:rPr>
      </w:pPr>
    </w:p>
    <w:p>
      <w:pPr>
        <w:jc w:val="both"/>
        <w:ind w:left="1340" w:hanging="725"/>
        <w:spacing w:after="0" w:line="259"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213" w:lineRule="exact"/>
        <w:rPr>
          <w:rFonts w:ascii="Arial" w:cs="Arial" w:eastAsia="Arial" w:hAnsi="Arial"/>
          <w:sz w:val="18"/>
          <w:szCs w:val="18"/>
          <w:color w:val="auto"/>
        </w:rPr>
      </w:pPr>
    </w:p>
    <w:p>
      <w:pPr>
        <w:ind w:left="1340" w:hanging="725"/>
        <w:spacing w:after="0"/>
        <w:tabs>
          <w:tab w:leader="none" w:pos="1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263" w:lineRule="exact"/>
        <w:rPr>
          <w:rFonts w:ascii="Arial" w:cs="Arial" w:eastAsia="Arial" w:hAnsi="Arial"/>
          <w:sz w:val="17"/>
          <w:szCs w:val="17"/>
          <w:color w:val="auto"/>
        </w:rPr>
      </w:pPr>
    </w:p>
    <w:p>
      <w:pPr>
        <w:jc w:val="both"/>
        <w:ind w:left="1340" w:hanging="725"/>
        <w:spacing w:after="0" w:line="264"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208" w:lineRule="exact"/>
        <w:rPr>
          <w:rFonts w:ascii="Arial" w:cs="Arial" w:eastAsia="Arial" w:hAnsi="Arial"/>
          <w:sz w:val="18"/>
          <w:szCs w:val="18"/>
          <w:color w:val="auto"/>
        </w:rPr>
      </w:pPr>
    </w:p>
    <w:p>
      <w:pPr>
        <w:ind w:left="1340" w:hanging="725"/>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seek FDA Fast Track designation for AV-101 for treatment of MDD,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recently-initiated NIH-funded Phase 2 clinical study of AV-101 in MDD, thereby delaying or preventing clinical development. Further, if AV-101 is approved for treatment of MDD, and the market for this indication is smaller than we anticipate, our ability to achieve profitability could be limited.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AV-101 is currently being tested in an NIH 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we fail to produce positive results in our NIH-sponsored Phase 2 clinical trial of AV-101 in MDD, the development timeline and regulatory approval and commercialization prospects for AV-101 and, correspondingly, our business and financial prospects, could be materially adversely affected.</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and the NIH have commenced an NIH-funded Phase 2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 study of AV-101 or any of our future-planned clinical trials will be completed on schedule, if at all, as the commencement and completion of clinical trials can be delayed or prevented for a number of reasons, including, among others:</w:t>
      </w:r>
    </w:p>
    <w:p>
      <w:pPr>
        <w:spacing w:after="0" w:line="185" w:lineRule="exact"/>
        <w:rPr>
          <w:sz w:val="20"/>
          <w:szCs w:val="20"/>
          <w:color w:val="auto"/>
        </w:rPr>
      </w:pPr>
    </w:p>
    <w:p>
      <w:pPr>
        <w:ind w:left="1340" w:right="20" w:hanging="725"/>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clinical trial on hold;</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results from our ongoing pre-clinical studies;</w:t>
      </w:r>
    </w:p>
    <w:p>
      <w:pPr>
        <w:spacing w:after="0" w:line="252" w:lineRule="exact"/>
        <w:rPr>
          <w:rFonts w:ascii="Arial" w:cs="Arial" w:eastAsia="Arial" w:hAnsi="Arial"/>
          <w:sz w:val="18"/>
          <w:szCs w:val="18"/>
          <w:color w:val="auto"/>
        </w:rPr>
      </w:pPr>
    </w:p>
    <w:p>
      <w:pPr>
        <w:ind w:left="1340" w:right="20" w:hanging="725"/>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340" w:right="20" w:hanging="725"/>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70" w:lineRule="exact"/>
        <w:rPr>
          <w:rFonts w:ascii="Arial" w:cs="Arial" w:eastAsia="Arial" w:hAnsi="Arial"/>
          <w:sz w:val="18"/>
          <w:szCs w:val="18"/>
          <w:color w:val="auto"/>
        </w:rPr>
      </w:pPr>
    </w:p>
    <w:p>
      <w:pPr>
        <w:ind w:left="1340" w:hanging="725"/>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 or sites;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1340" w:hanging="725"/>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52" w:lineRule="exact"/>
        <w:rPr>
          <w:rFonts w:ascii="Arial" w:cs="Arial" w:eastAsia="Arial" w:hAnsi="Arial"/>
          <w:sz w:val="18"/>
          <w:szCs w:val="18"/>
          <w:color w:val="auto"/>
        </w:rPr>
      </w:pPr>
    </w:p>
    <w:p>
      <w:pPr>
        <w:ind w:left="1340" w:right="20" w:hanging="725"/>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CNS therapies that raise safety or efficacy concerns; and</w:t>
      </w:r>
    </w:p>
    <w:p>
      <w:pPr>
        <w:spacing w:after="0" w:line="252" w:lineRule="exact"/>
        <w:rPr>
          <w:rFonts w:ascii="Arial" w:cs="Arial" w:eastAsia="Arial" w:hAnsi="Arial"/>
          <w:sz w:val="18"/>
          <w:szCs w:val="18"/>
          <w:color w:val="auto"/>
        </w:rPr>
      </w:pPr>
    </w:p>
    <w:p>
      <w:pPr>
        <w:ind w:left="1340" w:right="20" w:hanging="725"/>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208" w:lineRule="exact"/>
        <w:rPr>
          <w:sz w:val="20"/>
          <w:szCs w:val="20"/>
          <w:color w:val="auto"/>
        </w:rPr>
      </w:pPr>
    </w:p>
    <w:p>
      <w:pPr>
        <w:ind w:left="1340" w:hanging="725"/>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52"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97"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1340" w:hanging="72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intend to design our clinical trials for our product candidates, we plan to have CROs, and in the case of our initial AV-101 Phase 2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additional pre-clinical studies and clinical trial supplies.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currently have an infrastructure for the sales, marketing and distribution of pharmaceutical products. In order to market our product candidates, if approved by the FDA or any other regulatory body, we must either build our sales, marketing, managerial and other non-technical capabilities or make contractual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208" w:lineRule="exact"/>
        <w:rPr>
          <w:sz w:val="20"/>
          <w:szCs w:val="20"/>
          <w:color w:val="auto"/>
        </w:rPr>
      </w:pPr>
    </w:p>
    <w:p>
      <w:pPr>
        <w:jc w:val="both"/>
        <w:ind w:left="1340" w:hanging="725"/>
        <w:spacing w:after="0" w:line="264"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208" w:lineRule="exact"/>
        <w:rPr>
          <w:rFonts w:ascii="Arial" w:cs="Arial" w:eastAsia="Arial" w:hAnsi="Arial"/>
          <w:sz w:val="18"/>
          <w:szCs w:val="18"/>
          <w:color w:val="auto"/>
        </w:rPr>
      </w:pPr>
    </w:p>
    <w:p>
      <w:pPr>
        <w:ind w:left="1340" w:hanging="725"/>
        <w:spacing w:after="0"/>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75" w:lineRule="exact"/>
        <w:rPr>
          <w:rFonts w:ascii="Arial" w:cs="Arial" w:eastAsia="Arial" w:hAnsi="Arial"/>
          <w:sz w:val="16"/>
          <w:szCs w:val="16"/>
          <w:color w:val="auto"/>
        </w:rPr>
      </w:pPr>
    </w:p>
    <w:p>
      <w:pPr>
        <w:ind w:left="1340" w:hanging="72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52"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71" w:lineRule="exact"/>
        <w:rPr>
          <w:sz w:val="20"/>
          <w:szCs w:val="20"/>
          <w:color w:val="auto"/>
        </w:rPr>
      </w:pPr>
    </w:p>
    <w:p>
      <w:pPr>
        <w:ind w:left="1340" w:hanging="725"/>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52" w:lineRule="exact"/>
        <w:rPr>
          <w:rFonts w:ascii="Arial" w:cs="Arial" w:eastAsia="Arial" w:hAnsi="Arial"/>
          <w:sz w:val="18"/>
          <w:szCs w:val="18"/>
          <w:color w:val="auto"/>
        </w:rPr>
      </w:pPr>
    </w:p>
    <w:p>
      <w:pPr>
        <w:ind w:left="1380" w:hanging="738"/>
        <w:spacing w:after="0"/>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252" w:lineRule="exact"/>
        <w:rPr>
          <w:rFonts w:ascii="Arial" w:cs="Arial" w:eastAsia="Arial" w:hAnsi="Arial"/>
          <w:sz w:val="18"/>
          <w:szCs w:val="18"/>
          <w:color w:val="auto"/>
        </w:rPr>
      </w:pPr>
    </w:p>
    <w:p>
      <w:pPr>
        <w:ind w:left="1380" w:hanging="738"/>
        <w:spacing w:after="0" w:line="277" w:lineRule="auto"/>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97" w:lineRule="exact"/>
        <w:rPr>
          <w:rFonts w:ascii="Arial" w:cs="Arial" w:eastAsia="Arial" w:hAnsi="Arial"/>
          <w:sz w:val="18"/>
          <w:szCs w:val="18"/>
          <w:color w:val="auto"/>
        </w:rPr>
      </w:pPr>
    </w:p>
    <w:p>
      <w:pPr>
        <w:ind w:left="1340" w:hanging="725"/>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52" w:lineRule="exact"/>
        <w:rPr>
          <w:rFonts w:ascii="Arial" w:cs="Arial" w:eastAsia="Arial" w:hAnsi="Arial"/>
          <w:sz w:val="18"/>
          <w:szCs w:val="18"/>
          <w:color w:val="auto"/>
        </w:rPr>
      </w:pPr>
    </w:p>
    <w:p>
      <w:pPr>
        <w:ind w:left="1380" w:hanging="738"/>
        <w:spacing w:after="0"/>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3" w:lineRule="exact"/>
        <w:rPr>
          <w:sz w:val="20"/>
          <w:szCs w:val="20"/>
          <w:color w:val="auto"/>
        </w:rPr>
      </w:pPr>
    </w:p>
    <w:p>
      <w:pPr>
        <w:ind w:left="1340" w:hanging="725"/>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1340" w:hanging="725"/>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management is unaware of any FDA-approved therapy for treatment resistant MDD with the same mechanism of action as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or ECT, are sometimes used before or instead of antidepressant medications to treat patients with MDD.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the field of new generation antidepressants focused on modulation of the NMDA receptor at the glycine binding site, we believe our principal competitor is Allergan, which recently acquired from and is now developing both GLYX-13 and NRX-1074 for treatment-resistant MDD.</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focused on our AV-101 and NCE drug rescue programs.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left="1320" w:hanging="711"/>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213" w:lineRule="exact"/>
        <w:rPr>
          <w:rFonts w:ascii="Arial" w:cs="Arial" w:eastAsia="Arial" w:hAnsi="Arial"/>
          <w:sz w:val="18"/>
          <w:szCs w:val="18"/>
          <w:color w:val="auto"/>
        </w:rPr>
      </w:pPr>
    </w:p>
    <w:p>
      <w:pPr>
        <w:jc w:val="both"/>
        <w:ind w:left="1320" w:hanging="711"/>
        <w:spacing w:after="0" w:line="286"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2" w:lineRule="exact"/>
        <w:rPr>
          <w:rFonts w:ascii="Arial" w:cs="Arial" w:eastAsia="Arial" w:hAnsi="Arial"/>
          <w:sz w:val="17"/>
          <w:szCs w:val="17"/>
          <w:color w:val="auto"/>
        </w:rPr>
      </w:pPr>
    </w:p>
    <w:p>
      <w:pPr>
        <w:jc w:val="both"/>
        <w:ind w:left="1320" w:hanging="711"/>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13"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1320" w:hanging="711"/>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13" w:lineRule="exact"/>
        <w:rPr>
          <w:rFonts w:ascii="Arial" w:cs="Arial" w:eastAsia="Arial" w:hAnsi="Arial"/>
          <w:sz w:val="18"/>
          <w:szCs w:val="18"/>
          <w:color w:val="auto"/>
        </w:rPr>
      </w:pPr>
    </w:p>
    <w:p>
      <w:pPr>
        <w:jc w:val="both"/>
        <w:ind w:left="1320" w:hanging="711"/>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213"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have obtained orphan drug designation for one or more of our product candidates, there may be limits to the regulatory exclusivity afforded by such designation.</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208" w:lineRule="exact"/>
        <w:rPr>
          <w:sz w:val="20"/>
          <w:szCs w:val="20"/>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54" w:lineRule="exact"/>
        <w:rPr>
          <w:sz w:val="20"/>
          <w:szCs w:val="20"/>
          <w:color w:val="auto"/>
        </w:rPr>
      </w:pPr>
    </w:p>
    <w:p>
      <w:pPr>
        <w:ind w:left="1340" w:hanging="725"/>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1340" w:hanging="725"/>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1340" w:hanging="725"/>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1340" w:hanging="725"/>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sales, distribution and marketing capabilities, and/or enter into strategic partnering arrangements to access such capabilities;</w:t>
      </w:r>
    </w:p>
    <w:p>
      <w:pPr>
        <w:spacing w:after="0" w:line="170" w:lineRule="exact"/>
        <w:rPr>
          <w:rFonts w:ascii="Arial" w:cs="Arial" w:eastAsia="Arial" w:hAnsi="Arial"/>
          <w:sz w:val="18"/>
          <w:szCs w:val="18"/>
          <w:color w:val="auto"/>
        </w:rPr>
      </w:pPr>
    </w:p>
    <w:p>
      <w:pPr>
        <w:ind w:left="1340" w:hanging="725"/>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1340" w:right="20" w:hanging="725"/>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produce, develop and commercialize proprietary NCEs through drug rescue programs using our stem cell technology, human cells derived from stem cells, our customized human cell-based bioassay systems and medicinal chemistry, and we cannot provide any assurance that we will successfully develop and commercialize AV-101 or drug rescue NCEs, or that, if produced, AV-101 or any drug rescue NCE will be successfully commercialized.</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6" w:lineRule="exact"/>
        <w:rPr>
          <w:sz w:val="20"/>
          <w:szCs w:val="20"/>
          <w:color w:val="auto"/>
        </w:rPr>
      </w:pPr>
    </w:p>
    <w:p>
      <w:pPr>
        <w:ind w:left="1320" w:hanging="711"/>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1320" w:hanging="711"/>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not be accepted as safe and effective by regulatory authorities, patients, the medical community or third-party payors.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2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70" w:lineRule="exact"/>
        <w:rPr>
          <w:sz w:val="20"/>
          <w:szCs w:val="20"/>
          <w:color w:val="auto"/>
        </w:rPr>
      </w:pPr>
    </w:p>
    <w:p>
      <w:pPr>
        <w:ind w:left="1320" w:hanging="711"/>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70"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0" w:lineRule="exact"/>
        <w:rPr>
          <w:rFonts w:ascii="Arial" w:cs="Arial" w:eastAsia="Arial" w:hAnsi="Arial"/>
          <w:sz w:val="18"/>
          <w:szCs w:val="18"/>
          <w:color w:val="auto"/>
        </w:rPr>
      </w:pPr>
    </w:p>
    <w:p>
      <w:pPr>
        <w:ind w:left="1320" w:right="20" w:hanging="711"/>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70" w:lineRule="exact"/>
        <w:rPr>
          <w:rFonts w:ascii="Arial" w:cs="Arial" w:eastAsia="Arial" w:hAnsi="Arial"/>
          <w:sz w:val="18"/>
          <w:szCs w:val="18"/>
          <w:color w:val="auto"/>
        </w:rPr>
      </w:pPr>
    </w:p>
    <w:p>
      <w:pPr>
        <w:jc w:val="both"/>
        <w:ind w:left="1320" w:hanging="711"/>
        <w:spacing w:after="0" w:line="264"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success is highly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3D is not capable of providing physiologically relevant and clinically predictive information regarding human cardiac biology, our drug rescue business will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have not yet fully validated LiverSafe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for potential drug rescue applications, and we may never do so.</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We have developed proprietary protocols for controlling the differentiation of human pluripotent stem cells and producing functional, mature, adult liver cells we believe are superior to primary (cadaver) hepatocytes used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testing. However, we have not yet fully validated our ability to use the human liver cells we produce for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 predict important biological effects, both toxic and nontoxic, of reference drugs, drug rescue candidates or drug 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drug discovery, drug rescue and regenerative medicine.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CardioSafe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and, if validated, LiverSafe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may not be meaningfully more predictive of the behavior of human cells than existing methods.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success of our drug rescue business is highly dependent, in the first instance, upon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in the second instance, if validated,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when validated,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will be more efficient or accurate at predicting the heart or liver safety of new drug candidates than the testing models currently used.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could encounter difficulties in differentiating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our research and development programs may involve the use of human cells derived from our controlled differentiation of human embryonic stem cells (</w:t>
      </w:r>
      <w:r>
        <w:rPr>
          <w:rFonts w:ascii="Arial" w:cs="Arial" w:eastAsia="Arial" w:hAnsi="Arial"/>
          <w:sz w:val="17"/>
          <w:szCs w:val="17"/>
          <w:i w:val="1"/>
          <w:iCs w:val="1"/>
          <w:color w:val="auto"/>
        </w:rPr>
        <w:t>hESC</w:t>
      </w:r>
      <w:r>
        <w:rPr>
          <w:rFonts w:ascii="Arial" w:cs="Arial" w:eastAsia="Arial" w:hAnsi="Arial"/>
          <w:sz w:val="17"/>
          <w:szCs w:val="17"/>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w:t>
      </w:r>
      <w:r>
        <w:rPr>
          <w:rFonts w:ascii="Arial" w:cs="Arial" w:eastAsia="Arial" w:hAnsi="Arial"/>
          <w:sz w:val="17"/>
          <w:szCs w:val="17"/>
          <w:i w:val="1"/>
          <w:iCs w:val="1"/>
          <w:color w:val="auto"/>
        </w:rPr>
        <w:t>IVF</w:t>
      </w:r>
      <w:r>
        <w:rPr>
          <w:rFonts w:ascii="Arial" w:cs="Arial" w:eastAsia="Arial" w:hAnsi="Arial"/>
          <w:sz w:val="17"/>
          <w:szCs w:val="17"/>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Currently,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cell production, bioassay development, drug discovery, drug rescue and development unrelated to AV-101,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we continue to grow, we will need to hire additional qualified accounting and financial personnel with appropriate public company experience.</w:t>
      </w:r>
    </w:p>
    <w:p>
      <w:pPr>
        <w:spacing w:after="0" w:line="2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$13.9 million and $3.0 million during the fiscal years ending March 31, 2015 and 2014, respectively. As of September 30, 2015, we had an accumulated deficit (including cash and substantial noncash expenses) of approximately $121.1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ability to become profitable depends upon our ability to generate revenues.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73" w:lineRule="exact"/>
        <w:rPr>
          <w:sz w:val="20"/>
          <w:szCs w:val="20"/>
          <w:color w:val="auto"/>
        </w:rPr>
      </w:pPr>
    </w:p>
    <w:p>
      <w:pPr>
        <w:ind w:left="1320" w:hanging="711"/>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263" w:lineRule="exact"/>
        <w:rPr>
          <w:rFonts w:ascii="Arial" w:cs="Arial" w:eastAsia="Arial" w:hAnsi="Arial"/>
          <w:sz w:val="17"/>
          <w:szCs w:val="17"/>
          <w:color w:val="auto"/>
        </w:rPr>
      </w:pPr>
    </w:p>
    <w:p>
      <w:pPr>
        <w:ind w:left="1320" w:hanging="711"/>
        <w:spacing w:after="0"/>
        <w:tabs>
          <w:tab w:leader="none" w:pos="1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commercialize our product candidates, if approved, by developing a sales force or entering into collaborations with third parties; and</w:t>
      </w:r>
    </w:p>
    <w:p>
      <w:pPr>
        <w:spacing w:after="0" w:line="263" w:lineRule="exact"/>
        <w:rPr>
          <w:rFonts w:ascii="Arial" w:cs="Arial" w:eastAsia="Arial" w:hAnsi="Arial"/>
          <w:sz w:val="17"/>
          <w:szCs w:val="17"/>
          <w:color w:val="auto"/>
        </w:rPr>
      </w:pPr>
    </w:p>
    <w:p>
      <w:pPr>
        <w:ind w:left="1320" w:hanging="711"/>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enter into a strategic development and commercialization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auditors have expressed substantial doubt about our ability to continue as a going concern.</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Since our inception, most of our resources have been dedicated to research and development of AV-101 and the drug rescue capabilities of our human pluripotent stem cell technology platform. In particular, we have expended substantial resources advancing AV-101 through preclinical development and Phase 1 clinical safety studies, and developing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drug rescue applications, and we will continue to expend substantial resources for the foreseeable future developing and commercializing AV-101, validating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At September 30, 2015, our existing cash and cash equivalents were not sufficient to fund our current operations for the next 12 months. However, on August 3, 2015, we entered into an agreement with Platinum pursuant to which Platinum agreed to purchase an additional $3.0 million of our Series B Preferred and Series B Warrants between August 15, 2015 and October 15, 2015 (</w:t>
      </w:r>
      <w:r>
        <w:rPr>
          <w:rFonts w:ascii="Arial" w:cs="Arial" w:eastAsia="Arial" w:hAnsi="Arial"/>
          <w:sz w:val="16"/>
          <w:szCs w:val="16"/>
          <w:i w:val="1"/>
          <w:iCs w:val="1"/>
          <w:color w:val="auto"/>
        </w:rPr>
        <w:t>August 2015 Platinum Agreement</w:t>
      </w:r>
      <w:r>
        <w:rPr>
          <w:rFonts w:ascii="Arial" w:cs="Arial" w:eastAsia="Arial" w:hAnsi="Arial"/>
          <w:sz w:val="16"/>
          <w:szCs w:val="16"/>
          <w:color w:val="auto"/>
        </w:rPr>
        <w:t>). At September 30, 2015, Platinum had purchased an additional $500,000 of Series B Preferred and Series B Warrants under the August 2015 Platinum Agreement. In addition, 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under which CRADA the NIH is fully funding and conducting the initial Phase 2 clinical efficacy and safety of AV-101 in Major Depressive Disorder. However,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AV-101and drug rescue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prior to the end of 2015.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52" w:lineRule="exact"/>
        <w:rPr>
          <w:sz w:val="20"/>
          <w:szCs w:val="20"/>
          <w:color w:val="auto"/>
        </w:rPr>
      </w:pPr>
    </w:p>
    <w:p>
      <w:pPr>
        <w:ind w:left="1320" w:hanging="711"/>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75" w:lineRule="exact"/>
        <w:rPr>
          <w:rFonts w:ascii="Arial" w:cs="Arial" w:eastAsia="Arial" w:hAnsi="Arial"/>
          <w:sz w:val="16"/>
          <w:szCs w:val="16"/>
          <w:color w:val="auto"/>
        </w:rPr>
      </w:pPr>
    </w:p>
    <w:p>
      <w:pPr>
        <w:ind w:left="1380" w:hanging="77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197" w:lineRule="exact"/>
        <w:rPr>
          <w:rFonts w:ascii="Arial" w:cs="Arial" w:eastAsia="Arial" w:hAnsi="Arial"/>
          <w:sz w:val="18"/>
          <w:szCs w:val="18"/>
          <w:color w:val="auto"/>
        </w:rPr>
      </w:pPr>
    </w:p>
    <w:p>
      <w:pPr>
        <w:ind w:left="1320" w:hanging="711"/>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248" w:lineRule="exact"/>
        <w:rPr>
          <w:rFonts w:ascii="Arial" w:cs="Arial" w:eastAsia="Arial" w:hAnsi="Arial"/>
          <w:sz w:val="16"/>
          <w:szCs w:val="16"/>
          <w:color w:val="auto"/>
        </w:rPr>
      </w:pPr>
    </w:p>
    <w:p>
      <w:pPr>
        <w:ind w:left="1320" w:hanging="711"/>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left="1320" w:hanging="711"/>
        <w:spacing w:after="0" w:line="264"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208"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potential future licensee fees, milestone payments, and sales of, or royalties on, our future products, if any; and</w:t>
      </w:r>
    </w:p>
    <w:p>
      <w:pPr>
        <w:spacing w:after="0" w:line="170" w:lineRule="exact"/>
        <w:rPr>
          <w:rFonts w:ascii="Arial" w:cs="Arial" w:eastAsia="Arial" w:hAnsi="Arial"/>
          <w:sz w:val="18"/>
          <w:szCs w:val="18"/>
          <w:color w:val="auto"/>
        </w:rPr>
      </w:pPr>
    </w:p>
    <w:p>
      <w:pPr>
        <w:ind w:left="1320" w:right="20" w:hanging="711"/>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9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will cause dilution to our existing stockholders, and may restrict our operations or require us to relinquish rights.</w:t>
      </w:r>
    </w:p>
    <w:p>
      <w:pPr>
        <w:spacing w:after="0" w:line="2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intend to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52" w:lineRule="exact"/>
        <w:rPr>
          <w:sz w:val="20"/>
          <w:szCs w:val="20"/>
          <w:color w:val="auto"/>
        </w:rPr>
      </w:pPr>
    </w:p>
    <w:p>
      <w:pPr>
        <w:ind w:left="1320" w:hanging="711"/>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w:t>
      </w:r>
    </w:p>
    <w:p>
      <w:pPr>
        <w:spacing w:after="0" w:line="170" w:lineRule="exact"/>
        <w:rPr>
          <w:rFonts w:ascii="Arial" w:cs="Arial" w:eastAsia="Arial" w:hAnsi="Arial"/>
          <w:sz w:val="18"/>
          <w:szCs w:val="18"/>
          <w:color w:val="auto"/>
        </w:rPr>
      </w:pPr>
    </w:p>
    <w:p>
      <w:pPr>
        <w:ind w:left="1320" w:hanging="711"/>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1320" w:hanging="711"/>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52"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1320" w:hanging="711"/>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215" w:lineRule="exact"/>
        <w:rPr>
          <w:sz w:val="20"/>
          <w:szCs w:val="20"/>
          <w:color w:val="auto"/>
        </w:rPr>
      </w:pPr>
    </w:p>
    <w:p>
      <w:pPr>
        <w:ind w:left="1320" w:hanging="711"/>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1320" w:hanging="711"/>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75" w:lineRule="exact"/>
        <w:rPr>
          <w:rFonts w:ascii="Arial" w:cs="Arial" w:eastAsia="Arial" w:hAnsi="Arial"/>
          <w:sz w:val="16"/>
          <w:szCs w:val="16"/>
          <w:color w:val="auto"/>
        </w:rPr>
      </w:pPr>
    </w:p>
    <w:p>
      <w:pPr>
        <w:ind w:left="1320" w:right="20" w:hanging="711"/>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in our Annual Report on Form 10-K for our fiscal year ended March 31, 2015, filed with the SEC on June 29, 2015, for a description of our license agreements, which includes a description of the termination provisions of these agreements.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97" w:lineRule="exact"/>
        <w:rPr>
          <w:sz w:val="20"/>
          <w:szCs w:val="20"/>
          <w:color w:val="auto"/>
        </w:rPr>
      </w:pPr>
    </w:p>
    <w:p>
      <w:pPr>
        <w:ind w:left="1320" w:hanging="711"/>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1320" w:hanging="711"/>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1320" w:hanging="711"/>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97" w:lineRule="exact"/>
        <w:rPr>
          <w:rFonts w:ascii="Arial" w:cs="Arial" w:eastAsia="Arial" w:hAnsi="Arial"/>
          <w:sz w:val="18"/>
          <w:szCs w:val="18"/>
          <w:color w:val="auto"/>
        </w:rPr>
      </w:pPr>
    </w:p>
    <w:p>
      <w:pPr>
        <w:ind w:left="1320" w:right="20" w:hanging="711"/>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1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4" w:lineRule="exact"/>
        <w:rPr>
          <w:sz w:val="20"/>
          <w:szCs w:val="20"/>
          <w:color w:val="auto"/>
        </w:rPr>
      </w:pPr>
    </w:p>
    <w:p>
      <w:pPr>
        <w:ind w:left="1380" w:hanging="738"/>
        <w:spacing w:after="0" w:line="277"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1380" w:hanging="738"/>
        <w:spacing w:after="0" w:line="277"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w:t>
      </w:r>
    </w:p>
    <w:p>
      <w:pPr>
        <w:spacing w:after="0" w:line="225" w:lineRule="exact"/>
        <w:rPr>
          <w:rFonts w:ascii="Arial" w:cs="Arial" w:eastAsia="Arial" w:hAnsi="Arial"/>
          <w:sz w:val="18"/>
          <w:szCs w:val="18"/>
          <w:color w:val="auto"/>
        </w:rPr>
      </w:pPr>
    </w:p>
    <w:p>
      <w:pPr>
        <w:ind w:left="1380" w:hanging="73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we became a publicly-traded company in May 2011, there has been a limited public market for shares of our common stock on the OTC Markets’ OTCQB Marketplace (“</w:t>
      </w:r>
      <w:r>
        <w:rPr>
          <w:rFonts w:ascii="Arial" w:cs="Arial" w:eastAsia="Arial" w:hAnsi="Arial"/>
          <w:sz w:val="17"/>
          <w:szCs w:val="17"/>
          <w:i w:val="1"/>
          <w:iCs w:val="1"/>
          <w:color w:val="auto"/>
        </w:rPr>
        <w:t>OTCQB</w:t>
      </w:r>
      <w:r>
        <w:rPr>
          <w:rFonts w:ascii="Arial" w:cs="Arial" w:eastAsia="Arial" w:hAnsi="Arial"/>
          <w:sz w:val="17"/>
          <w:szCs w:val="17"/>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70" w:lineRule="exact"/>
        <w:rPr>
          <w:sz w:val="20"/>
          <w:szCs w:val="20"/>
          <w:color w:val="auto"/>
        </w:rPr>
      </w:pPr>
    </w:p>
    <w:p>
      <w:pPr>
        <w:ind w:left="1320" w:hanging="711"/>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new products, technologies, commercial relationships, acquisitions or other events by us or our competitors;</w:t>
      </w:r>
    </w:p>
    <w:p>
      <w:pPr>
        <w:spacing w:after="0" w:line="236" w:lineRule="exact"/>
        <w:rPr>
          <w:rFonts w:ascii="Arial" w:cs="Arial" w:eastAsia="Arial" w:hAnsi="Arial"/>
          <w:sz w:val="17"/>
          <w:szCs w:val="17"/>
          <w:color w:val="auto"/>
        </w:rPr>
      </w:pPr>
    </w:p>
    <w:p>
      <w:pPr>
        <w:ind w:left="1320" w:hanging="711"/>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1320" w:hanging="7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might occur could significantly reduce the market price of our common stock and impair our ability to raise adequate capital through the sale of additional equity securities.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the date of this Reoffer Prospectus, there has been a highly limited public market for shares of our common stock on the OTCQB. Future sales and issuances of a substantial number of shares of our common stock in the public market, including shares issued upon the exchange of our Series A Preferred and Series B Preferred, and the exercise of outstanding options and warrants for common stock which are issuable upon exercise of warrants, in the public market, or the perception that these sales and issuances might occur, could significantly reduce the market price for our common stock and impair our ability to raise adequate capital through the sale of equity securities.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Certain of our current institutional stockholders and their respective affiliates own a substantial portion of our outstanding capital stock, including our common stock, Series A Preferred Stock and Series B 10% Convertible Preferred Stock, which preferred stock is convertible into a substantial number of shares of common stock, as well as warrants for our common stock. Accordingly, these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approval by our stockholders in October 2011, our Articles of Incorporation permit us to issue up to 10.0 million shares of preferred stock. Our Board of Directors has authorized the issuance of both 500,000 shares of Series A Preferred, all of which shares are currently issued and outstanding, and 4.0 million shares of Series B 10% Convertible Preferred stock, of which approximately 3.4 million shares are issued and outstanding as of September 30, 2015.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targets</w:t>
      </w:r>
      <w:r>
        <w:rPr>
          <w:rFonts w:ascii="Arial" w:cs="Arial" w:eastAsia="Arial" w:hAnsi="Arial"/>
          <w:sz w:val="17"/>
          <w:szCs w:val="17"/>
          <w:color w:val="auto"/>
        </w:rPr>
        <w:t>,” “</w:t>
      </w:r>
      <w:r>
        <w:rPr>
          <w:rFonts w:ascii="Arial" w:cs="Arial" w:eastAsia="Arial" w:hAnsi="Arial"/>
          <w:sz w:val="17"/>
          <w:szCs w:val="17"/>
          <w:i w:val="1"/>
          <w:iCs w:val="1"/>
          <w:color w:val="auto"/>
        </w:rPr>
        <w:t>likely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and similar expressions or phrases identify forward-looking statements. Forward-looking statements include, but are not limited to, statements about:</w:t>
      </w:r>
    </w:p>
    <w:p>
      <w:pPr>
        <w:spacing w:after="0" w:line="200" w:lineRule="exact"/>
        <w:rPr>
          <w:sz w:val="20"/>
          <w:szCs w:val="20"/>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expected future financial performance;</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our operating expenses;</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products to meet those needs;</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market acceptance of our products;</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in our industry and innovation by our competitors;</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intellectual property rights;</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additional financing; and</w:t>
      </w:r>
    </w:p>
    <w:p>
      <w:pPr>
        <w:spacing w:after="0" w:line="252"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forward-looking statements involve risks, assumptions and uncertainties. The occurrence of the events described, and the achievement of the expected results, depend on many events, some or all of which are not predictable or within our control. Actual results may differ materially from expected results.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In light of these risks, uncertainties and assumptions, the forward-looking events discussed in this prospectus might not occur.</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Readers are cautioned not to place undue reliance on forward-looking statements, as there can be no assurance that the plans, intentions or expectations upon which they are based will occur. By their nature, forward-looking statements involve numerous assumptions, known and unknown risks and uncertainties, both general and specific, that contribute to the possibility that the predictions, forecasts, projections and other things contemplated by the forward-looking statements will not occur. Forward-looking statements in this prospectus are based on management’s beliefs and opinions at the time the statements are made. The forward-looking statements contained in this prospectus are expressly qualified in their entirety by this cautionary statement. The forward-looking statements included in this prospectus are made as of the date of this prospectus and we undertake no obligation to publicly update or revise any forward-looking statements to reflect new information, future events or otherwise, except as required by applicable securities laws.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firstLine="851"/>
        <w:spacing w:after="0" w:line="277" w:lineRule="auto"/>
        <w:rPr>
          <w:sz w:val="20"/>
          <w:szCs w:val="20"/>
          <w:color w:val="auto"/>
        </w:rPr>
      </w:pPr>
      <w:r>
        <w:rPr>
          <w:rFonts w:ascii="Arial" w:cs="Arial" w:eastAsia="Arial" w:hAnsi="Arial"/>
          <w:sz w:val="18"/>
          <w:szCs w:val="18"/>
          <w:color w:val="auto"/>
        </w:rPr>
        <w:t>The Selling Stockholders may sell the common stock issued to them from time-to-time at prices and at terms then prevailing or at prices related to the then current market price, or in negotiated transactions.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917"/>
        <w:spacing w:after="0" w:line="259" w:lineRule="auto"/>
        <w:rPr>
          <w:sz w:val="20"/>
          <w:szCs w:val="20"/>
          <w:color w:val="auto"/>
        </w:rPr>
      </w:pPr>
      <w:r>
        <w:rPr>
          <w:rFonts w:ascii="Arial" w:cs="Arial" w:eastAsia="Arial" w:hAnsi="Arial"/>
          <w:sz w:val="18"/>
          <w:szCs w:val="18"/>
          <w:color w:val="auto"/>
        </w:rPr>
        <w:t>This Reoffer Prospectus relates to shares of our common stock that may be offered and sold from time to time by the Selling Stockholders. We will not receive any proceeds from the sale of the shares of common stock registered pursuant to this Reoffer Prospectus. To the extent that we receive any funds from the exercise of options issued to the Selling Stockholders, such funds will be used to fund the development of product candidates, including AV-101, and for working capital and general corporate purposes.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firstLine="957"/>
        <w:spacing w:after="0" w:line="277" w:lineRule="auto"/>
        <w:rPr>
          <w:sz w:val="20"/>
          <w:szCs w:val="20"/>
          <w:color w:val="auto"/>
        </w:rPr>
      </w:pPr>
      <w:r>
        <w:rPr>
          <w:rFonts w:ascii="Arial" w:cs="Arial" w:eastAsia="Arial" w:hAnsi="Arial"/>
          <w:sz w:val="18"/>
          <w:szCs w:val="18"/>
          <w:color w:val="auto"/>
        </w:rPr>
        <w:t>The Selling Stockholders named in this Reoffer Prospectus are offering up to 296,738 shares of our common stock, issuable upon exercise of stock options granted to the Selling Stockholders pursuant to the Plans.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provides, as of November 30, 2015, information regarding the beneficial ownership of our common stock held by each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Stockholders, including:</w:t>
      </w:r>
    </w:p>
    <w:p>
      <w:pPr>
        <w:spacing w:after="0" w:line="211" w:lineRule="exact"/>
        <w:rPr>
          <w:sz w:val="20"/>
          <w:szCs w:val="20"/>
          <w:color w:val="auto"/>
        </w:rPr>
      </w:pPr>
    </w:p>
    <w:p>
      <w:pPr>
        <w:ind w:left="880" w:hanging="50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owned by each Selling Stockholder prior to this offering;</w:t>
      </w:r>
    </w:p>
    <w:p>
      <w:pPr>
        <w:spacing w:after="0" w:line="23" w:lineRule="exact"/>
        <w:rPr>
          <w:rFonts w:ascii="Arial" w:cs="Arial" w:eastAsia="Arial" w:hAnsi="Arial"/>
          <w:sz w:val="18"/>
          <w:szCs w:val="18"/>
          <w:color w:val="auto"/>
        </w:rPr>
      </w:pPr>
    </w:p>
    <w:p>
      <w:pPr>
        <w:ind w:left="880" w:hanging="50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number of shares of common stock that are to be offered by each Selling Stockholder;</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number of shares of common stock that will be owned by each Selling Stockholder upon completion of the offering; and</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owned by each Selling Stockholder.</w:t>
      </w:r>
    </w:p>
    <w:p>
      <w:pPr>
        <w:spacing w:after="0" w:line="238" w:lineRule="exact"/>
        <w:rPr>
          <w:sz w:val="20"/>
          <w:szCs w:val="20"/>
          <w:color w:val="auto"/>
        </w:rPr>
      </w:pPr>
    </w:p>
    <w:p>
      <w:pPr>
        <w:jc w:val="both"/>
        <w:ind w:firstLine="1013"/>
        <w:spacing w:after="0" w:line="297" w:lineRule="auto"/>
        <w:rPr>
          <w:sz w:val="20"/>
          <w:szCs w:val="20"/>
          <w:color w:val="auto"/>
        </w:rPr>
      </w:pPr>
      <w:r>
        <w:rPr>
          <w:rFonts w:ascii="Arial" w:cs="Arial" w:eastAsia="Arial" w:hAnsi="Arial"/>
          <w:sz w:val="16"/>
          <w:szCs w:val="16"/>
          <w:color w:val="auto"/>
        </w:rPr>
        <w:t>Information with respect to beneficial ownership is largely based upon Company records, as well as information obtained from the Selling Stockholders. Information with respect to "Shares Beneficially Owned Prior to this Offering" includes the shares issued pursuant to the Plans. Information with respect to "Shares Beneficially Owned Upon Completion of this Offering" assumes the sale of all shares of the common stock offered by this Reoffer Prospectus and no other purchases or sales of our common stock by the Selling Stockholders. Except as described below and to our knowledge, the named Selling Stockholders beneficially own and has sole voting and investment power over all common stock or rights to these common stock.</w:t>
      </w:r>
    </w:p>
    <w:p>
      <w:pPr>
        <w:sectPr>
          <w:pgSz w:w="11900" w:h="16838" w:orient="portrait"/>
          <w:cols w:equalWidth="0" w:num="1">
            <w:col w:w="11420"/>
          </w:cols>
          <w:pgMar w:left="240" w:top="122" w:right="239" w:bottom="1440" w:gutter="0" w:footer="0" w:header="0"/>
        </w:sectPr>
      </w:pPr>
    </w:p>
    <w:p>
      <w:pPr>
        <w:spacing w:after="0" w:line="370"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Shares Beneficially Owned</w:t>
      </w:r>
    </w:p>
    <w:p>
      <w:pPr>
        <w:jc w:val="center"/>
        <w:ind w:left="4940"/>
        <w:spacing w:after="0" w:line="231" w:lineRule="auto"/>
        <w:rPr>
          <w:sz w:val="20"/>
          <w:szCs w:val="20"/>
          <w:color w:val="auto"/>
        </w:rPr>
      </w:pPr>
      <w:r>
        <w:rPr>
          <w:rFonts w:ascii="Arial" w:cs="Arial" w:eastAsia="Arial" w:hAnsi="Arial"/>
          <w:sz w:val="18"/>
          <w:szCs w:val="18"/>
          <w:b w:val="1"/>
          <w:bCs w:val="1"/>
          <w:color w:val="auto"/>
        </w:rPr>
        <w:t xml:space="preserve">Prior to this Offering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-13335</wp:posOffset>
            </wp:positionV>
            <wp:extent cx="17926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220" w:lineRule="auto"/>
        <w:tabs>
          <w:tab w:leader="none" w:pos="2340" w:val="left"/>
          <w:tab w:leader="none" w:pos="4980" w:val="left"/>
          <w:tab w:leader="none" w:pos="6380" w:val="left"/>
        </w:tabs>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25"/>
          <w:szCs w:val="25"/>
          <w:b w:val="1"/>
          <w:bCs w:val="1"/>
          <w:color w:val="auto"/>
          <w:vertAlign w:val="superscript"/>
        </w:rPr>
        <w:t>(3)</w:t>
      </w:r>
      <w:r>
        <w:rPr>
          <w:sz w:val="20"/>
          <w:szCs w:val="20"/>
          <w:color w:val="auto"/>
        </w:rPr>
        <w:tab/>
      </w:r>
      <w:r>
        <w:rPr>
          <w:rFonts w:ascii="Arial" w:cs="Arial" w:eastAsia="Arial" w:hAnsi="Arial"/>
          <w:sz w:val="18"/>
          <w:szCs w:val="18"/>
          <w:b w:val="1"/>
          <w:bCs w:val="1"/>
          <w:color w:val="auto"/>
        </w:rPr>
        <w:t>Position with the Company</w:t>
      </w:r>
      <w:r>
        <w:rPr>
          <w:sz w:val="20"/>
          <w:szCs w:val="20"/>
          <w:color w:val="auto"/>
        </w:rPr>
        <w:tab/>
      </w:r>
      <w:r>
        <w:rPr>
          <w:rFonts w:ascii="Arial" w:cs="Arial" w:eastAsia="Arial" w:hAnsi="Arial"/>
          <w:sz w:val="18"/>
          <w:szCs w:val="18"/>
          <w:b w:val="1"/>
          <w:bCs w:val="1"/>
          <w:color w:val="auto"/>
        </w:rPr>
        <w:t>Number</w:t>
      </w:r>
      <w:r>
        <w:rPr>
          <w:sz w:val="20"/>
          <w:szCs w:val="20"/>
          <w:color w:val="auto"/>
        </w:rPr>
        <w:tab/>
      </w:r>
      <w:r>
        <w:rPr>
          <w:rFonts w:ascii="Arial" w:cs="Arial" w:eastAsia="Arial" w:hAnsi="Arial"/>
          <w:sz w:val="15"/>
          <w:szCs w:val="15"/>
          <w:b w:val="1"/>
          <w:bCs w:val="1"/>
          <w:color w:val="auto"/>
        </w:rPr>
        <w:t xml:space="preserve">Percent </w:t>
      </w:r>
      <w:r>
        <w:rPr>
          <w:rFonts w:ascii="Arial" w:cs="Arial" w:eastAsia="Arial" w:hAnsi="Arial"/>
          <w:sz w:val="21"/>
          <w:szCs w:val="21"/>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Beneficially Owned</w:t>
            </w:r>
          </w:p>
        </w:tc>
      </w:tr>
      <w:tr>
        <w:trPr>
          <w:trHeight w:val="216"/>
        </w:trPr>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Upon Completion of this</w:t>
            </w:r>
          </w:p>
        </w:tc>
      </w:tr>
      <w:tr>
        <w:trPr>
          <w:trHeight w:val="241"/>
        </w:trPr>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 Being</w:t>
            </w:r>
          </w:p>
        </w:tc>
        <w:tc>
          <w:tcPr>
            <w:tcW w:w="2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1180" w:type="dxa"/>
            <w:vAlign w:val="bottom"/>
          </w:tcPr>
          <w:p>
            <w:pPr>
              <w:jc w:val="center"/>
              <w:ind w:right="70"/>
              <w:spacing w:after="0" w:line="216" w:lineRule="exact"/>
              <w:rPr>
                <w:sz w:val="20"/>
                <w:szCs w:val="20"/>
                <w:color w:val="auto"/>
              </w:rPr>
            </w:pPr>
            <w:r>
              <w:rPr>
                <w:rFonts w:ascii="Arial" w:cs="Arial" w:eastAsia="Arial" w:hAnsi="Arial"/>
                <w:sz w:val="18"/>
                <w:szCs w:val="18"/>
                <w:b w:val="1"/>
                <w:bCs w:val="1"/>
                <w:color w:val="auto"/>
                <w:w w:val="87"/>
              </w:rPr>
              <w:t xml:space="preserve">Offered </w:t>
            </w:r>
            <w:r>
              <w:rPr>
                <w:rFonts w:ascii="Arial" w:cs="Arial" w:eastAsia="Arial" w:hAnsi="Arial"/>
                <w:sz w:val="25"/>
                <w:szCs w:val="25"/>
                <w:b w:val="1"/>
                <w:bCs w:val="1"/>
                <w:color w:val="auto"/>
                <w:w w:val="87"/>
                <w:vertAlign w:val="superscript"/>
              </w:rPr>
              <w:t>(2)</w:t>
            </w: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rPr>
              <w:t>Number</w:t>
            </w:r>
          </w:p>
        </w:tc>
        <w:tc>
          <w:tcPr>
            <w:tcW w:w="1220" w:type="dxa"/>
            <w:vAlign w:val="bottom"/>
          </w:tcPr>
          <w:p>
            <w:pPr>
              <w:ind w:left="260"/>
              <w:spacing w:after="0" w:line="216" w:lineRule="exact"/>
              <w:rPr>
                <w:sz w:val="20"/>
                <w:szCs w:val="20"/>
                <w:color w:val="auto"/>
              </w:rPr>
            </w:pPr>
            <w:r>
              <w:rPr>
                <w:rFonts w:ascii="Arial" w:cs="Arial" w:eastAsia="Arial" w:hAnsi="Arial"/>
                <w:sz w:val="18"/>
                <w:szCs w:val="18"/>
                <w:b w:val="1"/>
                <w:bCs w:val="1"/>
                <w:color w:val="auto"/>
              </w:rPr>
              <w:t xml:space="preserve">Percent </w:t>
            </w:r>
            <w:r>
              <w:rPr>
                <w:rFonts w:ascii="Arial" w:cs="Arial" w:eastAsia="Arial" w:hAnsi="Arial"/>
                <w:sz w:val="25"/>
                <w:szCs w:val="25"/>
                <w:b w:val="1"/>
                <w:bCs w:val="1"/>
                <w:color w:val="auto"/>
                <w:vertAlign w:val="superscript"/>
              </w:rPr>
              <w:t>(4)</w:t>
            </w:r>
          </w:p>
        </w:tc>
      </w:tr>
    </w:tbl>
    <w:p>
      <w:pPr>
        <w:spacing w:after="0" w:line="1" w:lineRule="exact"/>
        <w:rPr>
          <w:sz w:val="20"/>
          <w:szCs w:val="20"/>
          <w:color w:val="auto"/>
        </w:rPr>
      </w:pPr>
    </w:p>
    <w:p>
      <w:pPr>
        <w:sectPr>
          <w:pgSz w:w="11900" w:h="16838" w:orient="portrait"/>
          <w:cols w:equalWidth="0" w:num="2">
            <w:col w:w="7180" w:space="520"/>
            <w:col w:w="37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591,287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505,912</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Gordon Keller, Ph. D.</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Consultant</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20,961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35,528</w:t>
            </w:r>
          </w:p>
        </w:tc>
        <w:tc>
          <w:tcPr>
            <w:tcW w:w="1140" w:type="dxa"/>
            <w:vAlign w:val="bottom"/>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Kristina Bonham</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Employee</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12,362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2160" w:type="dxa"/>
            <w:vAlign w:val="bottom"/>
          </w:tcPr>
          <w:p>
            <w:pPr>
              <w:spacing w:after="0"/>
              <w:rPr>
                <w:sz w:val="17"/>
                <w:szCs w:val="17"/>
                <w:color w:val="auto"/>
              </w:rPr>
            </w:pPr>
          </w:p>
        </w:tc>
        <w:tc>
          <w:tcPr>
            <w:tcW w:w="23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President, Chief Scientific</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6"/>
              </w:rPr>
              <w:t>H. Ralph Snodgrass, Ph. D.</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Officer and Director</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389,293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21,569</w:t>
            </w:r>
          </w:p>
        </w:tc>
        <w:tc>
          <w:tcPr>
            <w:tcW w:w="1140" w:type="dxa"/>
            <w:vAlign w:val="bottom"/>
          </w:tcPr>
          <w:p>
            <w:pPr>
              <w:jc w:val="right"/>
              <w:spacing w:after="0"/>
              <w:rPr>
                <w:sz w:val="20"/>
                <w:szCs w:val="20"/>
                <w:color w:val="auto"/>
              </w:rPr>
            </w:pPr>
            <w:r>
              <w:rPr>
                <w:rFonts w:ascii="Arial" w:cs="Arial" w:eastAsia="Arial" w:hAnsi="Arial"/>
                <w:sz w:val="18"/>
                <w:szCs w:val="18"/>
                <w:color w:val="auto"/>
              </w:rPr>
              <w:t>367,724</w:t>
            </w: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17.75%</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Hai-Qing Xian</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Employee</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10,412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Carmina Blanco</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Employee</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4,837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14,978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Ryan Rodriguez</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Employee</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Danajane Katz</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Employee</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2,167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12,250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Jon S. Saxe</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96,564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608"/>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180" w:type="dxa"/>
            <w:vAlign w:val="bottom"/>
            <w:gridSpan w:val="3"/>
          </w:tcPr>
          <w:p>
            <w:pPr>
              <w:spacing w:after="0"/>
              <w:rPr>
                <w:rFonts w:ascii="Arial" w:cs="Arial" w:eastAsia="Arial" w:hAnsi="Arial"/>
                <w:sz w:val="14"/>
                <w:szCs w:val="14"/>
                <w:i w:val="1"/>
                <w:iCs w:val="1"/>
                <w:color w:val="0000EE"/>
              </w:rPr>
            </w:pPr>
            <w:hyperlink w:anchor="page5">
              <w:r>
                <w:rPr>
                  <w:rFonts w:ascii="Arial" w:cs="Arial" w:eastAsia="Arial" w:hAnsi="Arial"/>
                  <w:sz w:val="14"/>
                  <w:szCs w:val="14"/>
                  <w:i w:val="1"/>
                  <w:iCs w:val="1"/>
                  <w:color w:val="0000EE"/>
                </w:rPr>
                <w:t>Table of Contents</w:t>
              </w:r>
            </w:hyperlink>
          </w:p>
        </w:tc>
        <w:tc>
          <w:tcPr>
            <w:tcW w:w="2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Caren Scannell</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1,687</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11,750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Roberta Jones</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551</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10,551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Underdown</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91,125</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4.91%</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9,250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81,875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60" w:type="dxa"/>
            <w:vAlign w:val="bottom"/>
          </w:tcPr>
          <w:p>
            <w:pPr>
              <w:ind w:left="80"/>
              <w:spacing w:after="0" w:line="201" w:lineRule="exact"/>
              <w:rPr>
                <w:sz w:val="20"/>
                <w:szCs w:val="20"/>
                <w:color w:val="auto"/>
              </w:rPr>
            </w:pPr>
            <w:r>
              <w:rPr>
                <w:rFonts w:ascii="Arial" w:cs="Arial" w:eastAsia="Arial" w:hAnsi="Arial"/>
                <w:sz w:val="18"/>
                <w:szCs w:val="18"/>
                <w:color w:val="auto"/>
              </w:rPr>
              <w:t>Vice-President and Chief</w:t>
            </w: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Jerrold D. Dotson</w:t>
            </w:r>
          </w:p>
        </w:tc>
        <w:tc>
          <w:tcPr>
            <w:tcW w:w="2560" w:type="dxa"/>
            <w:vAlign w:val="bottom"/>
          </w:tcPr>
          <w:p>
            <w:pPr>
              <w:ind w:left="80"/>
              <w:spacing w:after="0"/>
              <w:rPr>
                <w:sz w:val="20"/>
                <w:szCs w:val="20"/>
                <w:color w:val="auto"/>
              </w:rPr>
            </w:pPr>
            <w:r>
              <w:rPr>
                <w:rFonts w:ascii="Arial" w:cs="Arial" w:eastAsia="Arial" w:hAnsi="Arial"/>
                <w:sz w:val="18"/>
                <w:szCs w:val="18"/>
                <w:color w:val="auto"/>
              </w:rPr>
              <w:t>Financial Officer</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169,751</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8.78%</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6,001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163,750</w:t>
            </w:r>
          </w:p>
        </w:tc>
        <w:tc>
          <w:tcPr>
            <w:tcW w:w="94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Dushyant Pathek</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3,000</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3,000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Patrick Mooney</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4,858</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2,501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2,357</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Reid Adler</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22,129</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19,629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Marion Kennedy</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949</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1,001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Lowe III</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2,895</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1,894</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w w:val="93"/>
              </w:rPr>
              <w:t>James V. Sanders DVM, Ph.</w:t>
            </w:r>
          </w:p>
        </w:tc>
        <w:tc>
          <w:tcPr>
            <w:tcW w:w="2560" w:type="dxa"/>
            <w:vAlign w:val="bottom"/>
          </w:tcPr>
          <w:p>
            <w:pPr>
              <w:ind w:left="80"/>
              <w:spacing w:after="0" w:line="201" w:lineRule="exact"/>
              <w:rPr>
                <w:sz w:val="20"/>
                <w:szCs w:val="20"/>
                <w:color w:val="auto"/>
              </w:rPr>
            </w:pPr>
            <w:r>
              <w:rPr>
                <w:rFonts w:ascii="Arial" w:cs="Arial" w:eastAsia="Arial" w:hAnsi="Arial"/>
                <w:sz w:val="18"/>
                <w:szCs w:val="18"/>
                <w:color w:val="auto"/>
              </w:rPr>
              <w:t>Consultant</w:t>
            </w: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D.</w:t>
            </w:r>
          </w:p>
        </w:tc>
        <w:tc>
          <w:tcPr>
            <w:tcW w:w="2560" w:type="dxa"/>
            <w:vAlign w:val="bottom"/>
          </w:tcPr>
          <w:p>
            <w:pPr>
              <w:spacing w:after="0"/>
              <w:rPr>
                <w:sz w:val="20"/>
                <w:szCs w:val="20"/>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2,895</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1,001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1,894</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Wester</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2,895</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1,894</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George A. Clay</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908</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876</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Bernhard Votteri, M.D.</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9,517</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775</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8,742</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Peter Backx</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1,144</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751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393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Gauldie</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1,143</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Kathleen Dotson</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676</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676</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Burke</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1,394</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893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Arthur Fetter</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1,372</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501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871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Kincaid</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1,250</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Michael C. Phillips</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60,447</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3.36%</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438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60,009</w:t>
            </w: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James R. Graham 1991 Trust</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19,435</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1.10%</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19,085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James A. Burness</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25,500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1.42%</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350</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25,150</w:t>
            </w: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Herman Greene</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1,630</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1,379</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David Patterson</w:t>
            </w:r>
          </w:p>
        </w:tc>
        <w:tc>
          <w:tcPr>
            <w:tcW w:w="2560" w:type="dxa"/>
            <w:vAlign w:val="bottom"/>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163</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163</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Cato</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Consultant</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2,977</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2,831</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____________</w:t>
            </w:r>
          </w:p>
        </w:tc>
        <w:tc>
          <w:tcPr>
            <w:tcW w:w="2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2180" w:type="dxa"/>
            <w:vAlign w:val="bottom"/>
            <w:gridSpan w:val="3"/>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less than 1%</w:t>
            </w:r>
          </w:p>
        </w:tc>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580" w:hanging="572"/>
        <w:spacing w:after="0" w:line="297"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as amended, and the information is not necessarily indicative of beneficial ownership for any other purpose. Under such rule, beneficial ownership includes any shares as to which the Selling Stockholder has sole or shared voting power or investment power and also any shares, which the Selling Stockholder has the right to acquire within 60 days. "Shares Beneficially Owned Upon Completion of this Offering" assumes the sale of all of the common stock offered by this Reoffer Prospectus and no other purchases or sales of our common stock by the Selling stockholders.</w:t>
      </w:r>
    </w:p>
    <w:p>
      <w:pPr>
        <w:spacing w:after="0" w:line="158"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otherwise indicated, all shares offered by the Selling Stockholders are shares of common stock issuable upon exercise of stock options issued pursuant to the Plans, some of which are not, and will not become vested within 60 days from November 30, 2015, and are not included in the calculation of "Shares Beneficially Owned Prior to this Offering".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58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otherwise indicated, the address for each Selling Stockholder is c/o VistaGen Therapeutics, Inc., 343 Allerton Avenue, South San Francisco, CA 94080.</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Applicable percentage ownership is based on 1,764,149 shares of common stock outstanding as of November 30, 2015, together with securities exercisable or convertible into shares of common stock within 60 days of November 30, 2015 for each stockholder, including, for purposes of the shares beneficially owned prior to the Offering, the shares offered for resale pursuant to this prospectus.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Shares of common stock that are currently exercisable or exercisable within 60 days of November 30, 2015,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Sales</w:t>
      </w:r>
    </w:p>
    <w:p>
      <w:pPr>
        <w:spacing w:after="0" w:line="283" w:lineRule="exact"/>
        <w:rPr>
          <w:sz w:val="20"/>
          <w:szCs w:val="20"/>
          <w:color w:val="auto"/>
        </w:rPr>
      </w:pPr>
    </w:p>
    <w:p>
      <w:pPr>
        <w:jc w:val="both"/>
        <w:ind w:firstLine="915"/>
        <w:spacing w:after="0" w:line="308" w:lineRule="auto"/>
        <w:rPr>
          <w:sz w:val="20"/>
          <w:szCs w:val="20"/>
          <w:color w:val="auto"/>
        </w:rPr>
      </w:pPr>
      <w:r>
        <w:rPr>
          <w:rFonts w:ascii="Arial" w:cs="Arial" w:eastAsia="Arial" w:hAnsi="Arial"/>
          <w:sz w:val="17"/>
          <w:szCs w:val="17"/>
          <w:color w:val="auto"/>
        </w:rPr>
        <w:t>Subject to the foregoing, the Selling Stockholders may offer and sell the shares covered by this Reoffer Prospectus at various times. The Selling Stockholders will act independently of our Company in making decisions with respect to the timing, manner and size of each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Known Agreements to Resell the Shares</w:t>
      </w:r>
    </w:p>
    <w:p>
      <w:pPr>
        <w:spacing w:after="0" w:line="283"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To our knowledge, no Selling Stockholder has any agreement or understanding, directly or indirectly, with any person to resell the common stock covered by this Reoffer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sales price offered by the Selling Stockholders to the public may be:</w:t>
      </w:r>
    </w:p>
    <w:p>
      <w:pPr>
        <w:spacing w:after="0" w:line="225" w:lineRule="exact"/>
        <w:rPr>
          <w:sz w:val="20"/>
          <w:szCs w:val="20"/>
          <w:color w:val="auto"/>
        </w:rPr>
      </w:pPr>
    </w:p>
    <w:p>
      <w:pPr>
        <w:ind w:left="880" w:hanging="50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prevailing at the time of sale;</w:t>
      </w:r>
    </w:p>
    <w:p>
      <w:pPr>
        <w:spacing w:after="0" w:line="23" w:lineRule="exact"/>
        <w:rPr>
          <w:rFonts w:ascii="Arial" w:cs="Arial" w:eastAsia="Arial" w:hAnsi="Arial"/>
          <w:sz w:val="18"/>
          <w:szCs w:val="18"/>
          <w:color w:val="auto"/>
        </w:rPr>
      </w:pPr>
    </w:p>
    <w:p>
      <w:pPr>
        <w:ind w:left="880" w:hanging="50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price related to such prevailing market price; or</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other price as the selling stockholders determine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Sale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 the extent permissible, the shares of common stock may be sold by means of one or more of the following methods:</w:t>
      </w:r>
    </w:p>
    <w:p>
      <w:pPr>
        <w:spacing w:after="0" w:line="225" w:lineRule="exact"/>
        <w:rPr>
          <w:sz w:val="20"/>
          <w:szCs w:val="20"/>
          <w:color w:val="auto"/>
        </w:rPr>
      </w:pPr>
    </w:p>
    <w:p>
      <w:pPr>
        <w:ind w:left="880" w:hanging="507"/>
        <w:spacing w:after="0" w:line="25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block trade in which the broker-dealer so engaged will attempt to sell the common stock as agent, but may position and resell a portion of the block as principal to facilitate the transaction;</w:t>
      </w:r>
    </w:p>
    <w:p>
      <w:pPr>
        <w:spacing w:after="0" w:line="1" w:lineRule="exact"/>
        <w:rPr>
          <w:rFonts w:ascii="Arial" w:cs="Arial" w:eastAsia="Arial" w:hAnsi="Arial"/>
          <w:sz w:val="18"/>
          <w:szCs w:val="18"/>
          <w:color w:val="auto"/>
        </w:rPr>
      </w:pPr>
    </w:p>
    <w:p>
      <w:pPr>
        <w:ind w:left="880" w:hanging="50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that broker-dealer for its account pursuant to this Reoffer Prospectus;</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ordinary brokerage transactions in which the broker solicits purchasers;</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options, swaps or derivatives;</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transactions to cover short sales;</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privately negotiated transactions; or</w:t>
      </w:r>
    </w:p>
    <w:p>
      <w:pPr>
        <w:spacing w:after="0" w:line="9" w:lineRule="exact"/>
        <w:rPr>
          <w:rFonts w:ascii="Arial" w:cs="Arial" w:eastAsia="Arial" w:hAnsi="Arial"/>
          <w:sz w:val="18"/>
          <w:szCs w:val="18"/>
          <w:color w:val="auto"/>
        </w:rPr>
      </w:pPr>
    </w:p>
    <w:p>
      <w:pPr>
        <w:ind w:left="880" w:hanging="50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combination of any of the above methods.</w:t>
      </w:r>
    </w:p>
    <w:p>
      <w:pPr>
        <w:spacing w:after="0" w:line="211" w:lineRule="exact"/>
        <w:rPr>
          <w:sz w:val="20"/>
          <w:szCs w:val="20"/>
          <w:color w:val="auto"/>
        </w:rPr>
      </w:pPr>
    </w:p>
    <w:p>
      <w:pPr>
        <w:jc w:val="both"/>
        <w:ind w:firstLine="965"/>
        <w:spacing w:after="0" w:line="257" w:lineRule="auto"/>
        <w:rPr>
          <w:sz w:val="20"/>
          <w:szCs w:val="20"/>
          <w:color w:val="auto"/>
        </w:rPr>
      </w:pPr>
      <w:r>
        <w:rPr>
          <w:rFonts w:ascii="Arial" w:cs="Arial" w:eastAsia="Arial" w:hAnsi="Arial"/>
          <w:sz w:val="18"/>
          <w:szCs w:val="18"/>
          <w:color w:val="auto"/>
        </w:rPr>
        <w:t>The Selling Stockholders may sell their common stock directly to purchasers or may use brokers, dealers, underwriters or agents to sell their common stock. Brokers or dealers engaged by the selling stockholders may arrange for other brokers or dealers to participate. Brokers or dealers may receive commissions, discounts or concessions from the selling stockholders, or, if any such broker-dealer acts as agent for the purchaser of common stock, from the purchaser in amounts to be negotiated immediately prior to the sale. The compensation received by brokers or dealers may, but is not expected to, exceed that which is customary for the types of transactions involved.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ind w:right="120" w:firstLine="846"/>
        <w:spacing w:after="0" w:line="264" w:lineRule="auto"/>
        <w:rPr>
          <w:sz w:val="20"/>
          <w:szCs w:val="20"/>
          <w:color w:val="auto"/>
        </w:rPr>
      </w:pPr>
      <w:r>
        <w:rPr>
          <w:rFonts w:ascii="Arial" w:cs="Arial" w:eastAsia="Arial" w:hAnsi="Arial"/>
          <w:sz w:val="18"/>
          <w:szCs w:val="18"/>
          <w:color w:val="auto"/>
        </w:rPr>
        <w:t>Broker-dealers may agree with a selling stockholder to sell a specified number of common stock at a stipulated price per share, and, to the extent the broker-dealer is unable to do so acting as agent for a selling stockholder, to purchase as principal any unsold common stock at the price required to fulfill the broker-dealer commitment to the selling stockholder.</w:t>
      </w:r>
    </w:p>
    <w:p>
      <w:pPr>
        <w:spacing w:after="0" w:line="208" w:lineRule="exact"/>
        <w:rPr>
          <w:sz w:val="20"/>
          <w:szCs w:val="20"/>
          <w:color w:val="auto"/>
        </w:rPr>
      </w:pPr>
    </w:p>
    <w:p>
      <w:pPr>
        <w:jc w:val="both"/>
        <w:ind w:firstLine="990"/>
        <w:spacing w:after="0" w:line="302" w:lineRule="auto"/>
        <w:rPr>
          <w:sz w:val="20"/>
          <w:szCs w:val="20"/>
          <w:color w:val="auto"/>
        </w:rPr>
      </w:pPr>
      <w:r>
        <w:rPr>
          <w:rFonts w:ascii="Arial" w:cs="Arial" w:eastAsia="Arial" w:hAnsi="Arial"/>
          <w:sz w:val="16"/>
          <w:szCs w:val="16"/>
          <w:color w:val="auto"/>
        </w:rPr>
        <w:t>Broker-dealers who acquire common stock as principal may thereafter resell the common stock from time to time in transactions, which may involve block transactions and sales to and through other broker-dealers, including transactions of the nature described above, in the over-the-counter market or otherwise at prices and on terms then prevailing at the time of sale, at prices then related to the then-current market price or in negotiated transactions. In connection with resales of the common stock, broker-dealers may pay to or receive from the purchasers of shares commissions as described above.</w:t>
      </w:r>
    </w:p>
    <w:p>
      <w:pPr>
        <w:spacing w:after="0" w:line="154" w:lineRule="exact"/>
        <w:rPr>
          <w:sz w:val="20"/>
          <w:szCs w:val="20"/>
          <w:color w:val="auto"/>
        </w:rPr>
      </w:pPr>
    </w:p>
    <w:p>
      <w:pPr>
        <w:jc w:val="both"/>
        <w:ind w:firstLine="1078"/>
        <w:spacing w:after="0" w:line="308" w:lineRule="auto"/>
        <w:rPr>
          <w:sz w:val="20"/>
          <w:szCs w:val="20"/>
          <w:color w:val="auto"/>
        </w:rPr>
      </w:pPr>
      <w:r>
        <w:rPr>
          <w:rFonts w:ascii="Arial" w:cs="Arial" w:eastAsia="Arial" w:hAnsi="Arial"/>
          <w:sz w:val="17"/>
          <w:szCs w:val="17"/>
          <w:color w:val="auto"/>
        </w:rPr>
        <w:t>If the Selling Stockholders enter into arrangements with brokers or dealers, as described above, we are obligated to file a post-effective amendment to this registration statement disclosing such arrangements, including the names of any broker-dealers acting as underwriters.</w:t>
      </w:r>
    </w:p>
    <w:p>
      <w:pPr>
        <w:spacing w:after="0" w:line="147" w:lineRule="exact"/>
        <w:rPr>
          <w:sz w:val="20"/>
          <w:szCs w:val="20"/>
          <w:color w:val="auto"/>
        </w:rPr>
      </w:pPr>
    </w:p>
    <w:p>
      <w:pPr>
        <w:jc w:val="both"/>
        <w:ind w:firstLine="887"/>
        <w:spacing w:after="0" w:line="286" w:lineRule="auto"/>
        <w:rPr>
          <w:sz w:val="20"/>
          <w:szCs w:val="20"/>
          <w:color w:val="auto"/>
        </w:rPr>
      </w:pPr>
      <w:r>
        <w:rPr>
          <w:rFonts w:ascii="Arial" w:cs="Arial" w:eastAsia="Arial" w:hAnsi="Arial"/>
          <w:sz w:val="17"/>
          <w:szCs w:val="17"/>
          <w:color w:val="auto"/>
        </w:rPr>
        <w:t>The Selling Stockholders and any broker-dealers or agents that participate with the Selling Stockholders in the sale of the common stock may be deemed to be “underwriters” within the meaning of the Securities Act. In that event, any commissions received by broker-dealers or agents and any profit on the resale of the common stock purchased by them may be deemed to be underwriting commissions or discounts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by Affiliates and Sales of Restricted Securities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Stockholders who are considered “affiliates” of the Company, as defined in Rule 405 under the Securities Act, or who are selling “restricted securities”, as defined in Rule 144(a)(3) under the Securities Act, may not sell an amount of shares pursuant to this reoffer prospectus which exceeds in any three month period the amount specified in Rule 144(e)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Pursuant to Rule 144</w:t>
      </w:r>
    </w:p>
    <w:p>
      <w:pPr>
        <w:spacing w:after="0" w:line="229" w:lineRule="exact"/>
        <w:rPr>
          <w:sz w:val="20"/>
          <w:szCs w:val="20"/>
          <w:color w:val="auto"/>
        </w:rPr>
      </w:pPr>
    </w:p>
    <w:p>
      <w:pPr>
        <w:jc w:val="both"/>
        <w:ind w:firstLine="853"/>
        <w:spacing w:after="0" w:line="277" w:lineRule="auto"/>
        <w:rPr>
          <w:sz w:val="20"/>
          <w:szCs w:val="20"/>
          <w:color w:val="auto"/>
        </w:rPr>
      </w:pPr>
      <w:r>
        <w:rPr>
          <w:rFonts w:ascii="Arial" w:cs="Arial" w:eastAsia="Arial" w:hAnsi="Arial"/>
          <w:sz w:val="18"/>
          <w:szCs w:val="18"/>
          <w:color w:val="auto"/>
        </w:rPr>
        <w:t>Any shares of common stock covered by this Reoffer Prospectus which qualify for sale pursuant to Rule 144 under the Securities Act may be sold under Rule 144 rather than pursuant to this Reoffer Prospectus.</w:t>
      </w:r>
    </w:p>
    <w:p>
      <w:pPr>
        <w:spacing w:after="0" w:line="224" w:lineRule="exact"/>
        <w:rPr>
          <w:sz w:val="20"/>
          <w:szCs w:val="20"/>
          <w:color w:val="auto"/>
        </w:rPr>
      </w:pPr>
    </w:p>
    <w:p>
      <w:pPr>
        <w:jc w:val="both"/>
        <w:ind w:right="20" w:firstLine="922"/>
        <w:spacing w:after="0" w:line="277" w:lineRule="auto"/>
        <w:rPr>
          <w:sz w:val="20"/>
          <w:szCs w:val="20"/>
          <w:color w:val="auto"/>
        </w:rPr>
      </w:pPr>
      <w:r>
        <w:rPr>
          <w:rFonts w:ascii="Arial" w:cs="Arial" w:eastAsia="Arial" w:hAnsi="Arial"/>
          <w:sz w:val="18"/>
          <w:szCs w:val="18"/>
          <w:color w:val="auto"/>
        </w:rPr>
        <w:t>Accordingly, during such times as a Selling Stockholder may be deemed to be engaged in a distribution of the common stock, and therefore be considered to be an underwriter, the selling stockholder must comply with applicable law and, among other things:</w:t>
      </w:r>
    </w:p>
    <w:p>
      <w:pPr>
        <w:spacing w:after="0" w:line="170" w:lineRule="exact"/>
        <w:rPr>
          <w:sz w:val="20"/>
          <w:szCs w:val="20"/>
          <w:color w:val="auto"/>
        </w:rPr>
      </w:pPr>
    </w:p>
    <w:p>
      <w:pPr>
        <w:ind w:left="880" w:hanging="50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engage in any stabilization activities in connection with our common stock;</w:t>
      </w:r>
    </w:p>
    <w:p>
      <w:pPr>
        <w:spacing w:after="0" w:line="23" w:lineRule="exact"/>
        <w:rPr>
          <w:rFonts w:ascii="Arial" w:cs="Arial" w:eastAsia="Arial" w:hAnsi="Arial"/>
          <w:sz w:val="18"/>
          <w:szCs w:val="18"/>
          <w:color w:val="auto"/>
        </w:rPr>
      </w:pPr>
    </w:p>
    <w:p>
      <w:pPr>
        <w:ind w:left="880" w:hanging="50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cover short sales by purchasing shares while the distribution is taking place; and</w:t>
      </w:r>
    </w:p>
    <w:p>
      <w:pPr>
        <w:spacing w:after="0" w:line="9" w:lineRule="exact"/>
        <w:rPr>
          <w:rFonts w:ascii="Arial" w:cs="Arial" w:eastAsia="Arial" w:hAnsi="Arial"/>
          <w:sz w:val="18"/>
          <w:szCs w:val="18"/>
          <w:color w:val="auto"/>
        </w:rPr>
      </w:pPr>
    </w:p>
    <w:p>
      <w:pPr>
        <w:ind w:left="880" w:hanging="507"/>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184" w:lineRule="exact"/>
        <w:rPr>
          <w:sz w:val="20"/>
          <w:szCs w:val="20"/>
          <w:color w:val="auto"/>
        </w:rPr>
      </w:pPr>
    </w:p>
    <w:p>
      <w:pPr>
        <w:jc w:val="both"/>
        <w:ind w:firstLine="977"/>
        <w:spacing w:after="0" w:line="277" w:lineRule="auto"/>
        <w:rPr>
          <w:sz w:val="20"/>
          <w:szCs w:val="20"/>
          <w:color w:val="auto"/>
        </w:rPr>
      </w:pPr>
      <w:r>
        <w:rPr>
          <w:rFonts w:ascii="Arial" w:cs="Arial" w:eastAsia="Arial" w:hAnsi="Arial"/>
          <w:sz w:val="18"/>
          <w:szCs w:val="18"/>
          <w:color w:val="auto"/>
        </w:rPr>
        <w:t>In addition, we will make copies of this Reoffer Prospectus available to the selling stockholders for the purpose of satisfying the prospectus delivery requirements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Securities Laws</w:t>
      </w:r>
    </w:p>
    <w:p>
      <w:pPr>
        <w:spacing w:after="0" w:line="229" w:lineRule="exact"/>
        <w:rPr>
          <w:sz w:val="20"/>
          <w:szCs w:val="20"/>
          <w:color w:val="auto"/>
        </w:rPr>
      </w:pPr>
    </w:p>
    <w:p>
      <w:pPr>
        <w:jc w:val="both"/>
        <w:ind w:right="20" w:firstLine="895"/>
        <w:spacing w:after="0" w:line="264" w:lineRule="auto"/>
        <w:rPr>
          <w:sz w:val="20"/>
          <w:szCs w:val="20"/>
          <w:color w:val="auto"/>
        </w:rPr>
      </w:pPr>
      <w:r>
        <w:rPr>
          <w:rFonts w:ascii="Arial" w:cs="Arial" w:eastAsia="Arial" w:hAnsi="Arial"/>
          <w:sz w:val="18"/>
          <w:szCs w:val="18"/>
          <w:color w:val="auto"/>
        </w:rPr>
        <w:t>Under the securities laws of some states, the common stock may be sold in such states only through registered or licensed brokers or dealers. In addition, in some states the common stock may not be sold unless the stock have been registered or qualified for sale in the state or an exemption from registration or qualification is available and is complied with.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229" w:lineRule="exact"/>
        <w:rPr>
          <w:sz w:val="20"/>
          <w:szCs w:val="20"/>
          <w:color w:val="auto"/>
        </w:rPr>
      </w:pPr>
    </w:p>
    <w:p>
      <w:pPr>
        <w:jc w:val="both"/>
        <w:ind w:firstLine="994"/>
        <w:spacing w:after="0" w:line="264" w:lineRule="auto"/>
        <w:rPr>
          <w:sz w:val="20"/>
          <w:szCs w:val="20"/>
          <w:color w:val="auto"/>
        </w:rPr>
      </w:pPr>
      <w:r>
        <w:rPr>
          <w:rFonts w:ascii="Arial" w:cs="Arial" w:eastAsia="Arial" w:hAnsi="Arial"/>
          <w:sz w:val="18"/>
          <w:szCs w:val="18"/>
          <w:color w:val="auto"/>
        </w:rPr>
        <w:t>We are bearing all costs relating to the registration of the common stock. These expenses are estimated to include, but not limited to, legal, accounting, printing and mailing fees. The Selling Stockholders, however, will pay any commissions or other fees payable to brokers or dealers in connection with any sale of the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861"/>
        <w:spacing w:after="0" w:line="264" w:lineRule="auto"/>
        <w:rPr>
          <w:sz w:val="20"/>
          <w:szCs w:val="20"/>
          <w:color w:val="auto"/>
        </w:rPr>
      </w:pPr>
      <w:r>
        <w:rPr>
          <w:rFonts w:ascii="Arial" w:cs="Arial" w:eastAsia="Arial" w:hAnsi="Arial"/>
          <w:sz w:val="18"/>
          <w:szCs w:val="18"/>
          <w:color w:val="auto"/>
        </w:rPr>
        <w:t>The validity of the common stock offered by this Reoffer Prospectus will be passed upon by Disclosure Law Group of San Diego, California. Mr. Daniel Rumsey, managing partner of Disclosure Law Group is the beneficial owner of 38,481 shares of our common stock, none of which are registered pursuant to this Reoffer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967"/>
        <w:spacing w:after="0" w:line="264" w:lineRule="auto"/>
        <w:rPr>
          <w:sz w:val="20"/>
          <w:szCs w:val="20"/>
          <w:color w:val="auto"/>
        </w:rPr>
      </w:pPr>
      <w:r>
        <w:rPr>
          <w:rFonts w:ascii="Arial" w:cs="Arial" w:eastAsia="Arial" w:hAnsi="Arial"/>
          <w:sz w:val="18"/>
          <w:szCs w:val="18"/>
          <w:color w:val="auto"/>
        </w:rPr>
        <w:t>The financial statements as of and for the fiscal year ended March 31, 2015, incorporated by reference in this Reoffer Prospectus, have been audited by OUM &amp; Co. LLP, our independent registered public accounting firm, as stated in their report and are incorporated by reference in reliance upon the report of such firm given upon their authority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903"/>
        <w:spacing w:after="0" w:line="279" w:lineRule="auto"/>
        <w:rPr>
          <w:sz w:val="20"/>
          <w:szCs w:val="20"/>
          <w:color w:val="auto"/>
        </w:rPr>
      </w:pPr>
      <w:r>
        <w:rPr>
          <w:rFonts w:ascii="Arial" w:cs="Arial" w:eastAsia="Arial" w:hAnsi="Arial"/>
          <w:sz w:val="17"/>
          <w:szCs w:val="17"/>
          <w:color w:val="auto"/>
        </w:rPr>
        <w:t>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allows us to "incorporate by reference" into this Reoffer Prospectus the information that we file with the SEC. This means that we can disclose important information to you by referring you to those documents. Information incorporated by reference is part of this Reoffer Prospectus. Information that we file at a future date with the SEC will update and supersede this information. For further information about the Company and our common stock, please read the documents incorporated by reference below.</w:t>
      </w:r>
    </w:p>
    <w:p>
      <w:pPr>
        <w:spacing w:after="0" w:line="171" w:lineRule="exact"/>
        <w:rPr>
          <w:sz w:val="20"/>
          <w:szCs w:val="20"/>
          <w:color w:val="auto"/>
        </w:rPr>
      </w:pPr>
    </w:p>
    <w:p>
      <w:pPr>
        <w:ind w:left="1020" w:hanging="60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March 31, 2015, as filed with the SEC on June 29, 2015;</w:t>
      </w:r>
    </w:p>
    <w:p>
      <w:pPr>
        <w:spacing w:after="0" w:line="252" w:lineRule="exact"/>
        <w:rPr>
          <w:rFonts w:ascii="Arial" w:cs="Arial" w:eastAsia="Arial" w:hAnsi="Arial"/>
          <w:sz w:val="18"/>
          <w:szCs w:val="18"/>
          <w:color w:val="auto"/>
        </w:rPr>
      </w:pPr>
    </w:p>
    <w:p>
      <w:pPr>
        <w:ind w:left="1020" w:hanging="610"/>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2015, as filed with the SEC on August 14, 2015;</w:t>
      </w:r>
    </w:p>
    <w:p>
      <w:pPr>
        <w:spacing w:after="0" w:line="252" w:lineRule="exact"/>
        <w:rPr>
          <w:rFonts w:ascii="Arial" w:cs="Arial" w:eastAsia="Arial" w:hAnsi="Arial"/>
          <w:sz w:val="18"/>
          <w:szCs w:val="18"/>
          <w:color w:val="auto"/>
        </w:rPr>
      </w:pPr>
    </w:p>
    <w:p>
      <w:pPr>
        <w:ind w:left="1020" w:hanging="605"/>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 ended September 30, 2015, as filed with the SEC on November 13, 2015; and</w:t>
      </w:r>
    </w:p>
    <w:p>
      <w:pPr>
        <w:spacing w:after="0" w:line="248" w:lineRule="exact"/>
        <w:rPr>
          <w:rFonts w:ascii="Arial" w:cs="Arial" w:eastAsia="Arial" w:hAnsi="Arial"/>
          <w:sz w:val="16"/>
          <w:szCs w:val="16"/>
          <w:color w:val="auto"/>
        </w:rPr>
      </w:pPr>
    </w:p>
    <w:p>
      <w:pPr>
        <w:ind w:left="1020" w:hanging="610"/>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 No. 000-54014), filed with the SEC on June 18, 2010.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jc w:val="both"/>
        <w:ind w:firstLine="719"/>
        <w:spacing w:after="0" w:line="269" w:lineRule="auto"/>
        <w:rPr>
          <w:sz w:val="20"/>
          <w:szCs w:val="20"/>
          <w:color w:val="auto"/>
        </w:rPr>
      </w:pPr>
      <w:r>
        <w:rPr>
          <w:rFonts w:ascii="Arial" w:cs="Arial" w:eastAsia="Arial" w:hAnsi="Arial"/>
          <w:sz w:val="17"/>
          <w:szCs w:val="17"/>
          <w:color w:val="auto"/>
        </w:rPr>
        <w:t>This Reoffer Prospectus is part of a registration statement on Form S-8 that we filed with the SEC. Certain information in the registration statement has been omitted from this Reoffer Prospectus in accordance with the rules of the SEC. We file annual, quarterly and special reports, proxy statements and other information with the SEC. You can inspect and copy the registration statement as well as reports, proxy statements and other information we have filed with the SEC at the public reference room maintained by the SEC at 100 F Street N.E. Washington, D.C. 20549, You can obtain copies from the public reference room of the SEC at 100 F Street N.E. Washington, D.C. 20549, upon payment of certain fees. You can call the SEC at 1-800-732-0330 for further information about the public reference room. We are also required to file electronic versions of these documents with the SEC, which may be accessed through the SEC's website at http://www.sec.gov. No dealer, salesperson or other person is authorized to give any information or to make any representations other than those contained in this Reoffer Prospectus, and, if given or made, such information or representations must not be relied upon as having been authorized by us. This Reoffer Prospectus does not constitute an offer to buy any security other than the securities offered by this Reoffer Prospectus, or an offer to sell or a solicitation of an offer to buy any securities by any person in any jurisdiction where such offer or solicitation is not authorized or is unlawful. Neither delivery of this Reoffer Prospectus nor any sale hereunder shall, under any circumstances, create any implication that there has been no change in the affairs of our company since the date 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jc w:val="both"/>
        <w:ind w:firstLine="723"/>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 In addition, indemnification may be limited by state securities laws.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296,738 shares of common stock</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Reoffer Prospectus</w:t>
      </w:r>
    </w:p>
    <w:p>
      <w:pPr>
        <w:spacing w:after="0" w:line="23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Dated, December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The following documents, which have been previously filed by the Registrant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are hereby incorporated by reference in this Registration Statement:</w:t>
      </w:r>
    </w:p>
    <w:p>
      <w:pPr>
        <w:spacing w:after="0" w:line="197" w:lineRule="exact"/>
        <w:rPr>
          <w:sz w:val="20"/>
          <w:szCs w:val="20"/>
          <w:color w:val="auto"/>
        </w:rPr>
      </w:pPr>
    </w:p>
    <w:p>
      <w:pPr>
        <w:ind w:left="1020" w:hanging="60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March 31, 2015, as filed with the SEC on June 29, 2015;</w:t>
      </w:r>
    </w:p>
    <w:p>
      <w:pPr>
        <w:spacing w:after="0" w:line="252" w:lineRule="exact"/>
        <w:rPr>
          <w:rFonts w:ascii="Arial" w:cs="Arial" w:eastAsia="Arial" w:hAnsi="Arial"/>
          <w:sz w:val="18"/>
          <w:szCs w:val="18"/>
          <w:color w:val="auto"/>
        </w:rPr>
      </w:pPr>
    </w:p>
    <w:p>
      <w:pPr>
        <w:ind w:left="1020" w:hanging="610"/>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2015, as filed with the SEC on August 14, 2015;</w:t>
      </w:r>
    </w:p>
    <w:p>
      <w:pPr>
        <w:spacing w:after="0" w:line="252" w:lineRule="exact"/>
        <w:rPr>
          <w:rFonts w:ascii="Arial" w:cs="Arial" w:eastAsia="Arial" w:hAnsi="Arial"/>
          <w:sz w:val="18"/>
          <w:szCs w:val="18"/>
          <w:color w:val="auto"/>
        </w:rPr>
      </w:pPr>
    </w:p>
    <w:p>
      <w:pPr>
        <w:ind w:left="1020" w:hanging="605"/>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 ended September 30, 2015, as filed with the SEC on November 13, 2015; and</w:t>
      </w:r>
    </w:p>
    <w:p>
      <w:pPr>
        <w:spacing w:after="0" w:line="275" w:lineRule="exact"/>
        <w:rPr>
          <w:rFonts w:ascii="Arial" w:cs="Arial" w:eastAsia="Arial" w:hAnsi="Arial"/>
          <w:sz w:val="16"/>
          <w:szCs w:val="16"/>
          <w:color w:val="auto"/>
        </w:rPr>
      </w:pPr>
    </w:p>
    <w:p>
      <w:pPr>
        <w:ind w:left="1020" w:hanging="610"/>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 No. 000-54014), filed with the SEC on June 18, 2010.</w:t>
      </w:r>
    </w:p>
    <w:p>
      <w:pPr>
        <w:spacing w:after="0" w:line="170" w:lineRule="exact"/>
        <w:rPr>
          <w:sz w:val="20"/>
          <w:szCs w:val="20"/>
          <w:color w:val="auto"/>
        </w:rPr>
      </w:pPr>
    </w:p>
    <w:p>
      <w:pPr>
        <w:jc w:val="both"/>
        <w:ind w:firstLine="783"/>
        <w:spacing w:after="0" w:line="291" w:lineRule="auto"/>
        <w:rPr>
          <w:sz w:val="20"/>
          <w:szCs w:val="20"/>
          <w:color w:val="auto"/>
        </w:rPr>
      </w:pPr>
      <w:r>
        <w:rPr>
          <w:rFonts w:ascii="Arial" w:cs="Arial" w:eastAsia="Arial" w:hAnsi="Arial"/>
          <w:sz w:val="16"/>
          <w:szCs w:val="16"/>
          <w:color w:val="auto"/>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70" w:lineRule="exact"/>
        <w:rPr>
          <w:sz w:val="20"/>
          <w:szCs w:val="20"/>
          <w:color w:val="auto"/>
        </w:rPr>
      </w:pPr>
    </w:p>
    <w:p>
      <w:pPr>
        <w:jc w:val="both"/>
        <w:ind w:firstLine="712"/>
        <w:spacing w:after="0" w:line="255"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ind w:firstLine="700"/>
        <w:spacing w:after="0" w:line="259"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87" w:lineRule="exact"/>
        <w:rPr>
          <w:sz w:val="20"/>
          <w:szCs w:val="20"/>
          <w:color w:val="auto"/>
        </w:rPr>
      </w:pPr>
    </w:p>
    <w:p>
      <w:pPr>
        <w:jc w:val="both"/>
        <w:ind w:firstLine="699"/>
        <w:spacing w:after="0" w:line="279" w:lineRule="auto"/>
        <w:rPr>
          <w:sz w:val="20"/>
          <w:szCs w:val="20"/>
          <w:color w:val="auto"/>
        </w:rPr>
      </w:pPr>
      <w:r>
        <w:rPr>
          <w:rFonts w:ascii="Arial" w:cs="Arial" w:eastAsia="Arial" w:hAnsi="Arial"/>
          <w:sz w:val="17"/>
          <w:szCs w:val="17"/>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our directors and officers pursuant to these indemnification provisions.</w:t>
      </w:r>
    </w:p>
    <w:p>
      <w:pPr>
        <w:spacing w:after="0" w:line="198" w:lineRule="exact"/>
        <w:rPr>
          <w:sz w:val="20"/>
          <w:szCs w:val="20"/>
          <w:color w:val="auto"/>
        </w:rPr>
      </w:pPr>
    </w:p>
    <w:p>
      <w:pPr>
        <w:jc w:val="both"/>
        <w:ind w:firstLine="70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81" w:lineRule="exact"/>
        <w:rPr>
          <w:sz w:val="20"/>
          <w:szCs w:val="20"/>
          <w:color w:val="auto"/>
        </w:rPr>
      </w:pPr>
    </w:p>
    <w:p>
      <w:pPr>
        <w:jc w:val="both"/>
        <w:ind w:firstLine="701"/>
        <w:spacing w:after="0" w:line="277" w:lineRule="auto"/>
        <w:rPr>
          <w:sz w:val="20"/>
          <w:szCs w:val="20"/>
          <w:color w:val="auto"/>
        </w:rPr>
      </w:pPr>
      <w:r>
        <w:rPr>
          <w:rFonts w:ascii="Arial" w:cs="Arial" w:eastAsia="Arial" w:hAnsi="Arial"/>
          <w:sz w:val="18"/>
          <w:szCs w:val="18"/>
          <w:color w:val="auto"/>
        </w:rPr>
        <w:t>There is no pending litigation or proceeding naming us or any of our directors or officers as to which indemnification is being sought, nor are we aware of any pending or threatened litigation that may result in claims for indemnification.</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1"/>
              </w:rPr>
              <w:t>Exhibits</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 No.</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Document Description</w:t>
            </w:r>
          </w:p>
        </w:tc>
        <w:tc>
          <w:tcPr>
            <w:tcW w:w="120" w:type="dxa"/>
            <w:vAlign w:val="bottom"/>
          </w:tcPr>
          <w:p>
            <w:pPr>
              <w:spacing w:after="0"/>
              <w:rPr>
                <w:sz w:val="24"/>
                <w:szCs w:val="24"/>
                <w:color w:val="auto"/>
              </w:rPr>
            </w:pPr>
          </w:p>
        </w:tc>
        <w:tc>
          <w:tcPr>
            <w:tcW w:w="592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Incorporation by Reference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Opinion and Consent of Disclosure Law Group</w:t>
            </w:r>
          </w:p>
        </w:tc>
        <w:tc>
          <w:tcPr>
            <w:tcW w:w="1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Consent of OUM &amp; Co., LLP, independent registered</w:t>
            </w:r>
          </w:p>
        </w:tc>
        <w:tc>
          <w:tcPr>
            <w:tcW w:w="12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accounting firm</w:t>
            </w:r>
          </w:p>
        </w:tc>
        <w:tc>
          <w:tcPr>
            <w:tcW w:w="12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1999</w:t>
            </w:r>
          </w:p>
        </w:tc>
        <w:tc>
          <w:tcPr>
            <w:tcW w:w="3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Stock Incentive Plan, as amended</w:t>
            </w:r>
          </w:p>
        </w:tc>
        <w:tc>
          <w:tcPr>
            <w:tcW w:w="12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Incorporated by reference from Exhibit 10.1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Form 8-K, filed with the SEC on May 16,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2008</w:t>
            </w:r>
          </w:p>
        </w:tc>
        <w:tc>
          <w:tcPr>
            <w:tcW w:w="3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Stock Incentive Plan, as amended</w:t>
            </w:r>
          </w:p>
        </w:tc>
        <w:tc>
          <w:tcPr>
            <w:tcW w:w="12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Incorporated by reference from Exhibit 10.5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Form 8-K, filed with the SEC on May 16, 2011.</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040" w:hanging="348"/>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360" w:hanging="344"/>
        <w:spacing w:after="0"/>
        <w:tabs>
          <w:tab w:leader="none" w:pos="1360" w:val="left"/>
        </w:tabs>
        <w:numPr>
          <w:ilvl w:val="4"/>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and</w:t>
      </w:r>
    </w:p>
    <w:p>
      <w:pPr>
        <w:spacing w:after="0" w:line="252" w:lineRule="exact"/>
        <w:rPr>
          <w:rFonts w:ascii="Arial" w:cs="Arial" w:eastAsia="Arial" w:hAnsi="Arial"/>
          <w:sz w:val="18"/>
          <w:szCs w:val="18"/>
          <w:color w:val="auto"/>
        </w:rPr>
      </w:pPr>
    </w:p>
    <w:p>
      <w:pPr>
        <w:jc w:val="both"/>
        <w:ind w:firstLine="1138"/>
        <w:spacing w:after="0" w:line="264" w:lineRule="auto"/>
        <w:tabs>
          <w:tab w:leader="none" w:pos="1528" w:val="left"/>
        </w:tabs>
        <w:numPr>
          <w:ilvl w:val="6"/>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spacing w:after="0" w:line="208" w:lineRule="exact"/>
        <w:rPr>
          <w:rFonts w:ascii="Arial" w:cs="Arial" w:eastAsia="Arial" w:hAnsi="Arial"/>
          <w:sz w:val="18"/>
          <w:szCs w:val="18"/>
          <w:color w:val="auto"/>
        </w:rPr>
      </w:pPr>
    </w:p>
    <w:p>
      <w:pPr>
        <w:ind w:firstLine="1070"/>
        <w:spacing w:after="0" w:line="277" w:lineRule="auto"/>
        <w:tabs>
          <w:tab w:leader="none" w:pos="1434" w:val="left"/>
        </w:tabs>
        <w:numPr>
          <w:ilvl w:val="5"/>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and</w:t>
      </w:r>
    </w:p>
    <w:p>
      <w:pPr>
        <w:spacing w:after="0" w:line="197" w:lineRule="exact"/>
        <w:rPr>
          <w:rFonts w:ascii="Arial" w:cs="Arial" w:eastAsia="Arial" w:hAnsi="Arial"/>
          <w:sz w:val="18"/>
          <w:szCs w:val="18"/>
          <w:color w:val="auto"/>
        </w:rPr>
      </w:pPr>
    </w:p>
    <w:p>
      <w:pPr>
        <w:jc w:val="both"/>
        <w:ind w:firstLine="760"/>
        <w:spacing w:after="0" w:line="264" w:lineRule="auto"/>
        <w:tabs>
          <w:tab w:leader="none" w:pos="1119"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8" w:lineRule="exact"/>
        <w:rPr>
          <w:rFonts w:ascii="Arial" w:cs="Arial" w:eastAsia="Arial" w:hAnsi="Arial"/>
          <w:sz w:val="18"/>
          <w:szCs w:val="18"/>
          <w:color w:val="auto"/>
        </w:rPr>
      </w:pPr>
    </w:p>
    <w:p>
      <w:pPr>
        <w:ind w:firstLine="868"/>
        <w:spacing w:after="0" w:line="277" w:lineRule="auto"/>
        <w:tabs>
          <w:tab w:leader="none" w:pos="1270" w:val="left"/>
        </w:tabs>
        <w:numPr>
          <w:ilvl w:val="3"/>
          <w:numId w:val="3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and (1)(ii)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Company pursuant to Section 13 or Section 15(d) of the Securities Exchange Act that are incorporated by reference in the Registration Statement.</w:t>
      </w:r>
    </w:p>
    <w:p>
      <w:pPr>
        <w:spacing w:after="0" w:line="208" w:lineRule="exact"/>
        <w:rPr>
          <w:sz w:val="20"/>
          <w:szCs w:val="20"/>
          <w:color w:val="auto"/>
        </w:rPr>
      </w:pPr>
    </w:p>
    <w:p>
      <w:pPr>
        <w:jc w:val="both"/>
        <w:ind w:firstLine="382"/>
        <w:spacing w:after="0" w:line="302"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6"/>
          <w:szCs w:val="16"/>
          <w:color w:val="auto"/>
        </w:rPr>
      </w:pPr>
    </w:p>
    <w:p>
      <w:pPr>
        <w:jc w:val="both"/>
        <w:ind w:firstLine="503"/>
        <w:spacing w:after="0" w:line="291" w:lineRule="auto"/>
        <w:tabs>
          <w:tab w:leader="none" w:pos="883"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December 4,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06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Title(s)</w:t>
            </w:r>
          </w:p>
        </w:tc>
        <w:tc>
          <w:tcPr>
            <w:tcW w:w="1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 Shawn K. Singh</w:t>
            </w:r>
          </w:p>
        </w:tc>
        <w:tc>
          <w:tcPr>
            <w:tcW w:w="27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4, 2015</w:t>
            </w:r>
          </w:p>
        </w:tc>
      </w:tr>
      <w:tr>
        <w:trPr>
          <w:trHeight w:val="237"/>
        </w:trPr>
        <w:tc>
          <w:tcPr>
            <w:tcW w:w="4160" w:type="dxa"/>
            <w:vAlign w:val="bottom"/>
            <w:gridSpan w:val="7"/>
          </w:tcPr>
          <w:p>
            <w:pPr>
              <w:spacing w:after="0"/>
              <w:rPr>
                <w:sz w:val="20"/>
                <w:szCs w:val="20"/>
                <w:color w:val="auto"/>
              </w:rPr>
            </w:pPr>
            <w:r>
              <w:rPr>
                <w:rFonts w:ascii="Arial" w:cs="Arial" w:eastAsia="Arial" w:hAnsi="Arial"/>
                <w:sz w:val="18"/>
                <w:szCs w:val="18"/>
                <w:color w:val="auto"/>
              </w:rPr>
              <w:t>Shawn K. Singh</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4160" w:type="dxa"/>
            <w:vAlign w:val="bottom"/>
            <w:gridSpan w:val="7"/>
          </w:tcPr>
          <w:p>
            <w:pPr>
              <w:spacing w:after="0"/>
              <w:rPr>
                <w:sz w:val="20"/>
                <w:szCs w:val="20"/>
                <w:color w:val="auto"/>
              </w:rPr>
            </w:pPr>
            <w:r>
              <w:rPr>
                <w:rFonts w:ascii="Arial" w:cs="Arial" w:eastAsia="Arial" w:hAnsi="Arial"/>
                <w:sz w:val="18"/>
                <w:szCs w:val="18"/>
                <w:color w:val="auto"/>
              </w:rPr>
              <w:t>/s/ Jerrold D. Dotson</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1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4, 2015</w:t>
            </w:r>
          </w:p>
        </w:tc>
      </w:tr>
      <w:tr>
        <w:trPr>
          <w:trHeight w:val="237"/>
        </w:trPr>
        <w:tc>
          <w:tcPr>
            <w:tcW w:w="1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Jerrold D. Dotson</w:t>
            </w:r>
          </w:p>
        </w:tc>
        <w:tc>
          <w:tcPr>
            <w:tcW w:w="26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 H. Ralph Snodgrass</w:t>
            </w:r>
          </w:p>
        </w:tc>
        <w:tc>
          <w:tcPr>
            <w:tcW w:w="25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c>
          <w:tcPr>
            <w:tcW w:w="1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4, 2015</w:t>
            </w:r>
          </w:p>
        </w:tc>
      </w:tr>
      <w:tr>
        <w:trPr>
          <w:trHeight w:val="237"/>
        </w:trPr>
        <w:tc>
          <w:tcPr>
            <w:tcW w:w="4160" w:type="dxa"/>
            <w:vAlign w:val="bottom"/>
            <w:gridSpan w:val="7"/>
          </w:tcPr>
          <w:p>
            <w:pPr>
              <w:spacing w:after="0"/>
              <w:rPr>
                <w:sz w:val="20"/>
                <w:szCs w:val="20"/>
                <w:color w:val="auto"/>
              </w:rPr>
            </w:pPr>
            <w:r>
              <w:rPr>
                <w:rFonts w:ascii="Arial" w:cs="Arial" w:eastAsia="Arial" w:hAnsi="Arial"/>
                <w:sz w:val="18"/>
                <w:szCs w:val="18"/>
                <w:color w:val="auto"/>
              </w:rPr>
              <w:t>H. Ralph Snodgrass, Ph. D</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4160" w:type="dxa"/>
            <w:vAlign w:val="bottom"/>
            <w:gridSpan w:val="7"/>
          </w:tcPr>
          <w:p>
            <w:pPr>
              <w:spacing w:after="0"/>
              <w:rPr>
                <w:sz w:val="20"/>
                <w:szCs w:val="20"/>
                <w:color w:val="auto"/>
              </w:rPr>
            </w:pPr>
            <w:r>
              <w:rPr>
                <w:rFonts w:ascii="Arial" w:cs="Arial" w:eastAsia="Arial" w:hAnsi="Arial"/>
                <w:sz w:val="18"/>
                <w:szCs w:val="18"/>
                <w:color w:val="auto"/>
              </w:rPr>
              <w:t>/s/ Jon S. Saxe</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4, 2015</w:t>
            </w: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7"/>
        </w:trPr>
        <w:tc>
          <w:tcPr>
            <w:tcW w:w="4160" w:type="dxa"/>
            <w:vAlign w:val="bottom"/>
            <w:gridSpan w:val="7"/>
          </w:tcPr>
          <w:p>
            <w:pPr>
              <w:spacing w:after="0"/>
              <w:rPr>
                <w:sz w:val="20"/>
                <w:szCs w:val="20"/>
                <w:color w:val="auto"/>
              </w:rPr>
            </w:pPr>
            <w:r>
              <w:rPr>
                <w:rFonts w:ascii="Arial" w:cs="Arial" w:eastAsia="Arial" w:hAnsi="Arial"/>
                <w:sz w:val="18"/>
                <w:szCs w:val="18"/>
                <w:color w:val="auto"/>
              </w:rPr>
              <w:t>Jon S. Saxe</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 Brian J. Underdown</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4, 2015</w:t>
            </w:r>
          </w:p>
        </w:tc>
      </w:tr>
      <w:tr>
        <w:trPr>
          <w:trHeight w:val="237"/>
        </w:trPr>
        <w:tc>
          <w:tcPr>
            <w:tcW w:w="4160" w:type="dxa"/>
            <w:vAlign w:val="bottom"/>
            <w:gridSpan w:val="7"/>
          </w:tcPr>
          <w:p>
            <w:pPr>
              <w:spacing w:after="0"/>
              <w:rPr>
                <w:sz w:val="20"/>
                <w:szCs w:val="20"/>
                <w:color w:val="auto"/>
              </w:rPr>
            </w:pPr>
            <w:r>
              <w:rPr>
                <w:rFonts w:ascii="Arial" w:cs="Arial" w:eastAsia="Arial" w:hAnsi="Arial"/>
                <w:sz w:val="18"/>
                <w:szCs w:val="18"/>
                <w:color w:val="auto"/>
              </w:rPr>
              <w:t>Brian J. Underdown, Ph. D</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5.1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AND CONSENT OF DISCLOSURE LAW GROUP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December 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 for VistaGen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acted as counsel to VistaGen Therapeutics, Inc., a Nevada corporation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the Form S-8 Registration Statement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registering under the Securities Act of 1933, as amended (the “</w:t>
      </w:r>
      <w:r>
        <w:rPr>
          <w:rFonts w:ascii="Arial" w:cs="Arial" w:eastAsia="Arial" w:hAnsi="Arial"/>
          <w:sz w:val="17"/>
          <w:szCs w:val="17"/>
          <w:i w:val="1"/>
          <w:iCs w:val="1"/>
          <w:color w:val="auto"/>
        </w:rPr>
        <w:t>Act</w:t>
      </w:r>
      <w:r>
        <w:rPr>
          <w:rFonts w:ascii="Arial" w:cs="Arial" w:eastAsia="Arial" w:hAnsi="Arial"/>
          <w:sz w:val="17"/>
          <w:szCs w:val="17"/>
          <w:color w:val="auto"/>
        </w:rPr>
        <w:t>”), an aggregate total of 997,229 shares of the Company’s common stock, par value $0.001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to be issued pursuant to the Company’s 1999 Stock Incentive Plan and the 2008 Stock Incentive Plan (the “</w:t>
      </w:r>
      <w:r>
        <w:rPr>
          <w:rFonts w:ascii="Arial" w:cs="Arial" w:eastAsia="Arial" w:hAnsi="Arial"/>
          <w:sz w:val="17"/>
          <w:szCs w:val="17"/>
          <w:i w:val="1"/>
          <w:iCs w:val="1"/>
          <w:color w:val="auto"/>
        </w:rPr>
        <w:t>Plans</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examined copies of such corporate records and made such inquiries as we have deemed necessary for purposes of rendering the opinion set forth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 foregoing, in our opinion, the shares of Common Stock, when issued in the manner contemplated by the Plans, will be legally issued, fully paid and non-assessable.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rendering the opinion set forth above, we express no opinion as to the laws of any jurisdiction other than the Nevada Revised Statutes and the federal laws of the United States of America.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a copy of this opinion with the Commission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Disclosure Law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Disclosure Law Group</w:t>
      </w:r>
    </w:p>
    <w:p>
      <w:pPr>
        <w:sectPr>
          <w:pgSz w:w="11900" w:h="16838" w:orient="portrait"/>
          <w:cols w:equalWidth="0" w:num="1">
            <w:col w:w="11420"/>
          </w:cols>
          <w:pgMar w:left="240" w:top="11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Reoffer Prospectus constituting a part of this Registration Statement on Form S-8 of VistaGen Therapeutics, Inc., pertaining to the 1999 Stock Incentive Plan, as amended, and the 2008 Stock Incentive Plan, as amended,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included in its Annual Report on Form 10-K for the fiscal year ended March 31,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Reoffer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4,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lvl w:ilvl="1">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3"/>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3"/>
    </w:lvl>
    <w:lvl w:ilvl="4">
      <w:lvlJc w:val="left"/>
      <w:lvlText w:val="(%5)"/>
      <w:numFmt w:val="lowerRoman"/>
      <w:start w:val="1"/>
    </w:lvl>
    <w:lvl w:ilvl="5">
      <w:lvlJc w:val="left"/>
      <w:lvlText w:val="(%6)"/>
      <w:numFmt w:val="lowerRoman"/>
      <w:start w:val="2"/>
    </w:lvl>
    <w:lvl w:ilvl="6">
      <w:lvlJc w:val="left"/>
      <w:lvlText w:val="(%7)"/>
      <w:numFmt w:val="lowerRoman"/>
      <w:start w:val="2"/>
    </w:lvl>
  </w:abstractNum>
  <w:abstractNum w:abstractNumId="36">
    <w:nsid w:val="77465F01"/>
    <w:multiLevelType w:val="hybridMultilevel"/>
    <w:lvl w:ilvl="0">
      <w:lvlJc w:val="left"/>
      <w:lvlText w:val="(%1)"/>
      <w:numFmt w:val="lowerLetter"/>
      <w:start w:val="2"/>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2020-01-25T09:08:34Z</dcterms:created>
  <dcterms:modified xsi:type="dcterms:W3CDTF">2020-01-25T09:08:34Z</dcterms:modified>
</cp:coreProperties>
</file>