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92840H400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StemPoint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2,053,842.00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2,328,492.00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2,328,492.00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StemPoint Capital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2,053,842.00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2,328,492.00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2,328,492.00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Michelle Ross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2,053,842.00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2,328,492.00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2,328,492.00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Vistagen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419"/>
        <w:spacing w:after="0"/>
        <w:rPr>
          <w:sz w:val="20"/>
          <w:szCs w:val="20"/>
          <w:color w:val="auto"/>
        </w:rPr>
      </w:pPr>
      <w:r>
        <w:rPr>
          <w:rFonts w:ascii="Times New Roman" w:cs="Times New Roman" w:eastAsia="Times New Roman" w:hAnsi="Times New Roman"/>
          <w:sz w:val="22"/>
          <w:szCs w:val="22"/>
          <w:color w:val="auto"/>
        </w:rPr>
        <w:t>343 Allerton Avenue, South San Francisco, CA, 94080</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This filing is being jointly filed by StemPoint Capital LP, StemPoint Capital Management GP LLC, and Michelle Ross (the "Reporting Persons").</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business addresses of each Reporting Persons is: 520 Madison Avenue, 19th Floor New York, NY 10022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00" w:lineRule="exact"/>
        <w:rPr>
          <w:sz w:val="20"/>
          <w:szCs w:val="20"/>
          <w:color w:val="auto"/>
        </w:rPr>
      </w:pPr>
    </w:p>
    <w:p>
      <w:pPr>
        <w:sectPr>
          <w:pgSz w:w="11900" w:h="16838" w:orient="portrait"/>
          <w:cols w:equalWidth="0" w:num="2">
            <w:col w:w="620" w:space="300"/>
            <w:col w:w="10100"/>
          </w:cols>
          <w:pgMar w:left="360" w:top="112" w:right="519" w:bottom="0" w:gutter="0" w:footer="0" w:header="0"/>
        </w:sectPr>
      </w:pPr>
    </w:p>
    <w:p>
      <w:pPr>
        <w:spacing w:after="0" w:line="33" w:lineRule="exact"/>
        <w:rPr>
          <w:sz w:val="20"/>
          <w:szCs w:val="20"/>
          <w:color w:val="auto"/>
        </w:rPr>
      </w:pPr>
    </w:p>
    <w:p>
      <w:pPr>
        <w:ind w:left="920" w:right="12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StemPoint Capital LP is a limited partnership organized under the laws of the State of Delaware. StemPoint Capital Management GP LLC is a limited liability company organized under the laws of the State of Delaware. Michelle Ross is a citizen of the United States of America.</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92840H400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8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Items 5-9 of each cover page are incorporated by reference. Each Reporting Person may be deemed to be the beneficial owner of 2,328,492 Shares, which amount consists of 1,711,743 of Shares and 616,749 Shares issuable upon the exercise of Warrants.</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Reporting Person may be deemed to beneficially own 8.2% of the Shares, which is calculated based on</w:t>
      </w:r>
    </w:p>
    <w:p>
      <w:pPr>
        <w:spacing w:after="0" w:line="14" w:lineRule="exact"/>
        <w:rPr>
          <w:rFonts w:ascii="Times New Roman" w:cs="Times New Roman" w:eastAsia="Times New Roman" w:hAnsi="Times New Roman"/>
          <w:sz w:val="22"/>
          <w:szCs w:val="22"/>
          <w:color w:val="auto"/>
        </w:rPr>
      </w:pPr>
    </w:p>
    <w:p>
      <w:pPr>
        <w:ind w:left="920" w:hanging="912"/>
        <w:spacing w:after="0" w:line="193" w:lineRule="auto"/>
        <w:tabs>
          <w:tab w:leader="none" w:pos="920" w:val="left"/>
        </w:tabs>
        <w:numPr>
          <w:ilvl w:val="0"/>
          <w:numId w:val="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27,843,466 Shares outstanding as of November 6, 2024, as reported in the Issuer's quarterly report on Form 10-Q for the quarterly period ended September 30, 2024, filed with the SEC on November 7, 2024, plus the total number of Shares that the Reporting Persons have the right to acquire upon exercise of Warrants, subject to the Beneficial Ownership Limitation, which amount has been added to the shares outstanding in accordance with Rule 13d-3(d)(1)</w:t>
      </w:r>
    </w:p>
    <w:p>
      <w:pPr>
        <w:spacing w:after="0" w:line="1" w:lineRule="exact"/>
        <w:rPr>
          <w:rFonts w:ascii="Times New Roman" w:cs="Times New Roman" w:eastAsia="Times New Roman" w:hAnsi="Times New Roman"/>
          <w:sz w:val="42"/>
          <w:szCs w:val="42"/>
          <w:color w:val="auto"/>
          <w:vertAlign w:val="subscript"/>
        </w:rPr>
      </w:pPr>
    </w:p>
    <w:p>
      <w:pPr>
        <w:ind w:left="1180" w:hanging="254"/>
        <w:spacing w:after="0"/>
        <w:tabs>
          <w:tab w:leader="none" w:pos="118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the Act. %</w:t>
      </w:r>
    </w:p>
    <w:p>
      <w:pPr>
        <w:spacing w:after="0" w:line="20"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1180" w:hanging="254"/>
        <w:spacing w:after="0"/>
        <w:tabs>
          <w:tab w:leader="none" w:pos="118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2,053,842. Comment: Shared voting power included 616,749 warrants beneficially owned by the Reporting Persons.</w:t>
      </w:r>
    </w:p>
    <w:p>
      <w:pPr>
        <w:spacing w:after="0" w:line="299" w:lineRule="exact"/>
        <w:rPr>
          <w:sz w:val="20"/>
          <w:szCs w:val="20"/>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ectPr>
          <w:pgSz w:w="11900" w:h="16838" w:orient="portrait"/>
          <w:cols w:equalWidth="0" w:num="1">
            <w:col w:w="11020"/>
          </w:cols>
          <w:pgMar w:left="360" w:top="112" w:right="51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2,328,492. Comment: Shared dispositive power Includes 616,749 warrants beneficially owned by the Reporting Persons.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53"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StemPoint Capital LP</w:t>
      </w:r>
    </w:p>
    <w:p>
      <w:pPr>
        <w:spacing w:after="0" w:line="152"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Sean C. Tan</w:t>
      </w:r>
    </w:p>
    <w:p>
      <w:pPr>
        <w:spacing w:after="0" w:line="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Name/Title: Sean C. Tan, Authorized Signatory</w:t>
      </w:r>
    </w:p>
    <w:p>
      <w:pPr>
        <w:spacing w:after="0" w:line="44"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StemPoint Capital Management GP LLC</w:t>
      </w:r>
    </w:p>
    <w:p>
      <w:pPr>
        <w:spacing w:after="0" w:line="152"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Sean C. Tan</w:t>
      </w:r>
    </w:p>
    <w:p>
      <w:pPr>
        <w:spacing w:after="0" w:line="4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Name/Title: Sean C. Tan, Authorized Signatory</w:t>
      </w:r>
    </w:p>
    <w:p>
      <w:pPr>
        <w:spacing w:after="0" w:line="44" w:lineRule="exact"/>
        <w:rPr>
          <w:sz w:val="20"/>
          <w:szCs w:val="20"/>
          <w:color w:val="auto"/>
        </w:rPr>
      </w:pPr>
    </w:p>
    <w:p>
      <w:pPr>
        <w:ind w:left="430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Michelle Ross</w:t>
      </w:r>
    </w:p>
    <w:p>
      <w:pPr>
        <w:spacing w:after="0" w:line="152"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Michelle Ross</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Michelle Ross</w:t>
      </w:r>
    </w:p>
    <w:p>
      <w:pPr>
        <w:spacing w:after="0" w:line="44"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08" w:lineRule="exact"/>
        <w:rPr>
          <w:sz w:val="20"/>
          <w:szCs w:val="20"/>
          <w:color w:val="auto"/>
        </w:rPr>
      </w:pPr>
    </w:p>
    <w:p>
      <w:pPr>
        <w:jc w:val="center"/>
        <w:ind w:right="54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JOINT FILING AGREEMENT PURSUANT TO RULE 13d-1(k)</w:t>
      </w:r>
    </w:p>
    <w:p>
      <w:pPr>
        <w:sectPr>
          <w:pgSz w:w="11900" w:h="16838" w:orient="portrait"/>
          <w:cols w:equalWidth="0" w:num="1">
            <w:col w:w="11140"/>
          </w:cols>
          <w:pgMar w:left="360" w:top="153" w:right="39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StemPoint Capital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StemPoint Capital Management GP LLC</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Sean C.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Sean C. Tan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StemPoint Capital Management GP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Sean C.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Sean C. Tan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Michelle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Michelle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3"/>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1"/>
    </w:lvl>
    <w:lvl w:ilvl="1">
      <w:lvlJc w:val="left"/>
      <w:lvlText w:val="(%2)"/>
      <w:numFmt w:val="lowerLetter"/>
      <w:start w:val="9"/>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2025-02-14T12:05:37Z</dcterms:created>
  <dcterms:modified xsi:type="dcterms:W3CDTF">2025-02-14T12:05:37Z</dcterms:modified>
</cp:coreProperties>
</file>