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VISTAGEN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92840H400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92840H400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3,185,564.00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3,185,564.00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3,185,564.00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92840H400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3,185,564.00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3,185,564.00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3,185,564.00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92840H400</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3,185,564.00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3,185,564.00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3,185,564.00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VISTAGEN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343 ALLERTON AVENUE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jc w:val="left"/>
              <w:rPr/>
            </w:pPr>
            <w:r>
              <w:rPr/>
              <w:t xml:space="preserve">CUSIP No.: </w:t>
            </w:r>
          </w:p>
          <w:p>
            <w:pPr>
              <w:pStyle w:val="TableContents"/>
              <w:bidi w:val="0"/>
              <w:spacing w:before="0" w:after="0"/>
              <w:jc w:val="left"/>
              <w:rPr/>
            </w:pPr>
            <w:r>
              <w:rPr/>
              <w:t>92840H400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September 30, 2025, Nantahala may be deemed to be the beneficial owner of 3,185,564 Shares held by funds and separately managed accounts under its control, and as the managing members of Nantahala, each of Messrs. Harkey and Mack may be deemed to be a beneficial owner of those Shares. The 3,185,564 Shares includes 1,207,072 Shares which may be acquired by the Reporting Persons within sixty days through the exercise of warrants.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September 30, 2025, each of the Reporting Persons may be deemed to be the beneficial owner of the following percentage of the total number of Shares outstanding: (1) Nantahala Capital Management, LLC ("Nantahala") : 9.99% (2) Wilmot B. Harkey: 9.99% (3) Daniel Mack: 9.99%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3,185,564 Shares. (2) Wilmot B. Harkey: 3,185,564 Shares. (3) Daniel Mack: 3,185,564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3,185,564 Shares. (2) Wilmot B. Harkey: 3,185,564 Shares. (3) Daniel Mack: 3,185,564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BLACKWELL PARTNERS LLC - SERIES A, a fund advised by Nantahala, has the right to receive or the power to direct the receipt of dividends from, or the proceeds from the sale of more than five percent of the outstanding shares of common stock beneficially owned by Nantahala reported herein.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1455</Words>
  <Characters>7545</Characters>
  <CharactersWithSpaces>8944</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