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SEC Only (as permitted by Rule 14a-6(e)(2))</w:t>
      </w:r>
    </w:p>
    <w:p>
      <w:pPr>
        <w:spacing w:after="0" w:line="15" w:lineRule="exact"/>
        <w:rPr>
          <w:rFonts w:ascii="MS PGothic" w:cs="MS PGothic" w:eastAsia="MS PGothic" w:hAnsi="MS PGothic"/>
          <w:sz w:val="18"/>
          <w:szCs w:val="18"/>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14a-12</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800" w:hanging="792"/>
        <w:spacing w:after="0"/>
        <w:tabs>
          <w:tab w:leader="none" w:pos="8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00" w:hanging="792"/>
        <w:spacing w:after="0"/>
        <w:tabs>
          <w:tab w:leader="none" w:pos="8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1" w:name="page2"/>
    <w:bookmarkEnd w:id="1"/>
    <w:p>
      <w:pPr>
        <w:ind w:left="6920"/>
        <w:spacing w:after="0"/>
        <w:rPr>
          <w:sz w:val="20"/>
          <w:szCs w:val="20"/>
          <w:color w:val="auto"/>
        </w:rPr>
      </w:pPr>
      <w:r>
        <w:rPr>
          <w:rFonts w:ascii="Arial" w:cs="Arial" w:eastAsia="Arial" w:hAnsi="Arial"/>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-119380</wp:posOffset>
            </wp:positionV>
            <wp:extent cx="182562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1" w:lineRule="exact"/>
        <w:rPr>
          <w:sz w:val="20"/>
          <w:szCs w:val="20"/>
          <w:color w:val="auto"/>
        </w:rPr>
      </w:pPr>
    </w:p>
    <w:p>
      <w:pPr>
        <w:ind w:left="10560"/>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 reflect on the time that has passed since our last annual meeting, I am impressed by our team’s continuous drive to address unmet mental health needs in communities across the globe. The prevalence of anxiety and depression disorders has grown considerably since the beginning of the pandemic, and it is clear to us that currently approved treatments are underserving people struggling with these conditions. Individuals across a broad range of demographics need new, faster-acting treatment options without the negative side effects and safety concerns often associated with currently approved medicines. This need drives us to remain focused on and committed to developing and commercializing new differentiated treatments with the potential to improve lives.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It is with this focus and commitment in mind that I invite you to attend the 2022 Annual Meeting of Stockholders of Vistagen Therapeutics, Inc. (the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Meeting</w:t>
      </w:r>
      <w:r>
        <w:rPr>
          <w:rFonts w:ascii="Arial" w:cs="Arial" w:eastAsia="Arial" w:hAnsi="Arial"/>
          <w:sz w:val="18"/>
          <w:szCs w:val="18"/>
          <w:color w:val="auto"/>
        </w:rPr>
        <w:t>), which we will hold virtually at 10:00 a.m. Pacific Time on October 14, 2022. The accompanying Proxy Statement details information regarding the Annual Meeting, including a description of the proposals to be considered by stockholders at the Meeting and instructions for submitting your vote. Our management team and Board of Directors believe these proposals will provide our company with the resources necessary to continue developing our drug pipeline as we strive to fundamentally shift the treatment paradigm for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conserve environmental resources and prevent unnecessary corporate expense, we are using the “Notice and Access” method of providing proxy materials to you via the Internet pursuant to the regulations promulgated by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We believe that this process will provide you with a safe, convenient and efficient way to access your proxy materials and vote your shares. On or about [•], 2022, we will mail to our stockholders a one-page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containing instructions on how to access our Proxy Statement and vote electronically via the Internet or by telephone. The Notice will also contain instructions on how to receive a paper copy of your proxy materials. In addition to the accompanying Proxy Statement, we have also included a copy of our Annual Report on Form 10-K for the year ended March 31, 2022 (</w:t>
      </w:r>
      <w:r>
        <w:rPr>
          <w:rFonts w:ascii="Arial" w:cs="Arial" w:eastAsia="Arial" w:hAnsi="Arial"/>
          <w:sz w:val="18"/>
          <w:szCs w:val="18"/>
          <w:i w:val="1"/>
          <w:iCs w:val="1"/>
          <w:color w:val="auto"/>
        </w:rPr>
        <w:t>Annual Report</w:t>
      </w:r>
      <w:r>
        <w:rPr>
          <w:rFonts w:ascii="Arial" w:cs="Arial" w:eastAsia="Arial" w:hAnsi="Arial"/>
          <w:sz w:val="18"/>
          <w:szCs w:val="18"/>
          <w:color w:val="auto"/>
        </w:rPr>
        <w:t>), which we encourage you to read. It includes our audited financial statements and provides important information about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Your vote is very important to us. Whether or not you plan to attend the Annual Meeting virtually, please carefully review the accompanying Proxy Statement and then cast your vote by Internet, telephone or postal mail as promptly as possible so that your shares will be voted at the Meeting. Please refer to the Notice for instructions on submitting your vote</w:t>
      </w:r>
      <w:r>
        <w:rPr>
          <w:rFonts w:ascii="Arial" w:cs="Arial" w:eastAsia="Arial" w:hAnsi="Arial"/>
          <w:sz w:val="18"/>
          <w:szCs w:val="18"/>
          <w:color w:val="auto"/>
        </w:rPr>
        <w:t>. Our Board of Directors has approved the proposals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accompanying Proxy Statement and we recommend that you vote in favor of each such proposal.</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Although we had a setback in the recent clinical trial for PH94B, our drug candidate under development for social anxiety disorder, we have a clear mission and detailed operational plan to advance our CNS pipeline. Our team remains focused on driving innovation to help patients live healthier, happier and more productive lives. We are passionate about transforming mental health and delivering solutions that benefit patients while adding value to health care providers treating anxiety and depression. We are singularly focused on changing patient outcomes for the better – </w:t>
      </w:r>
      <w:r>
        <w:rPr>
          <w:rFonts w:ascii="Arial" w:cs="Arial" w:eastAsia="Arial" w:hAnsi="Arial"/>
          <w:sz w:val="16"/>
          <w:szCs w:val="16"/>
          <w:i w:val="1"/>
          <w:iCs w:val="1"/>
          <w:color w:val="auto"/>
        </w:rPr>
        <w:t>One Mind at a Time</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continued support of Vistagen. We look forward to your participation at the Annual Meeting.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-121920</wp:posOffset>
            </wp:positionV>
            <wp:extent cx="1139825" cy="1705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9825" cy="170561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Shawn K Singh, J.D.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Shawn K. Singh, J.D.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ind w:left="6920"/>
        <w:spacing w:after="0"/>
        <w:rPr>
          <w:sz w:val="20"/>
          <w:szCs w:val="20"/>
          <w:color w:val="auto"/>
        </w:rPr>
      </w:pPr>
      <w:r>
        <w:rPr>
          <w:rFonts w:ascii="Arial" w:cs="Arial" w:eastAsia="Arial" w:hAnsi="Arial"/>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-119380</wp:posOffset>
            </wp:positionV>
            <wp:extent cx="182562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October 14,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are pleased to invite you to virtually attend the 2022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or </w:t>
      </w:r>
      <w:r>
        <w:rPr>
          <w:rFonts w:ascii="Arial" w:cs="Arial" w:eastAsia="Arial" w:hAnsi="Arial"/>
          <w:sz w:val="18"/>
          <w:szCs w:val="18"/>
          <w:i w:val="1"/>
          <w:iCs w:val="1"/>
          <w:color w:val="auto"/>
        </w:rPr>
        <w:t>Meeting</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or </w:t>
      </w:r>
      <w:r>
        <w:rPr>
          <w:rFonts w:ascii="Arial" w:cs="Arial" w:eastAsia="Arial" w:hAnsi="Arial"/>
          <w:sz w:val="18"/>
          <w:szCs w:val="18"/>
          <w:i w:val="1"/>
          <w:iCs w:val="1"/>
          <w:color w:val="auto"/>
        </w:rPr>
        <w:t>our</w:t>
      </w:r>
      <w:r>
        <w:rPr>
          <w:rFonts w:ascii="Arial" w:cs="Arial" w:eastAsia="Arial" w:hAnsi="Arial"/>
          <w:sz w:val="18"/>
          <w:szCs w:val="18"/>
          <w:color w:val="auto"/>
        </w:rPr>
        <w:t>). The Annual Meeting will be a virtual-format meeting, held exclusively via the Internet at [•] on Friday, October 14, 2022, at 10:00 a.m. Pacific Time, for the following purposes:</w:t>
      </w:r>
    </w:p>
    <w:p>
      <w:pPr>
        <w:spacing w:after="0" w:line="184" w:lineRule="exact"/>
        <w:rPr>
          <w:sz w:val="20"/>
          <w:szCs w:val="20"/>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elect seven directors to our Board of Directors, each to serve until our 2023 Annual Meeting of Stockholders, or until her or his respective successor is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our Named Executive Officers;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conduct an advisory vote to indicate how frequently stockholders believe we should conduct a non-binding advisory vote on the compensation of our Named Executive Officers;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ratify the appointment of WithumSmith+Brown, PC as our independent registered public accounting firm for our fiscal year ending March 31, 2023;</w:t>
      </w:r>
    </w:p>
    <w:p>
      <w:pPr>
        <w:spacing w:after="0" w:line="170" w:lineRule="exact"/>
        <w:rPr>
          <w:rFonts w:ascii="Arial" w:cs="Arial" w:eastAsia="Arial" w:hAnsi="Arial"/>
          <w:sz w:val="18"/>
          <w:szCs w:val="18"/>
          <w:color w:val="auto"/>
        </w:rPr>
      </w:pPr>
    </w:p>
    <w:p>
      <w:pPr>
        <w:jc w:val="both"/>
        <w:ind w:left="1300" w:hanging="718"/>
        <w:spacing w:after="0" w:line="275"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discretionary authority for our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xml:space="preserve">) to implement a reverse stock split of our issued and outstanding shares of common stock at a ratio of between 1-for-2 and 1-for-30, which ratio will be determined by the Board (the </w:t>
      </w:r>
      <w:r>
        <w:rPr>
          <w:rFonts w:ascii="Arial" w:cs="Arial" w:eastAsia="Arial" w:hAnsi="Arial"/>
          <w:sz w:val="17"/>
          <w:szCs w:val="17"/>
          <w:i w:val="1"/>
          <w:iCs w:val="1"/>
          <w:color w:val="auto"/>
        </w:rPr>
        <w:t>Reverse Split</w:t>
      </w:r>
      <w:r>
        <w:rPr>
          <w:rFonts w:ascii="Arial" w:cs="Arial" w:eastAsia="Arial" w:hAnsi="Arial"/>
          <w:sz w:val="17"/>
          <w:szCs w:val="17"/>
          <w:color w:val="auto"/>
        </w:rPr>
        <w:t>), and to file an amendment to the Company’s Restated and Amended Articles of Incorporation, as amended, with the Nevada Secretary of State to effect the Reverse Split at any time as the Board may deem necessary and advisable prior to the one-year anniversary of this Annual Meeting in order to, among other things, maintain the Company’s listing on The NASDAQ Capital Market;</w:t>
      </w:r>
    </w:p>
    <w:p>
      <w:pPr>
        <w:spacing w:after="0" w:line="17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approve of an amendment to the Company’s Second Amended and Restated Bylaws to allow the Company’s Board of Directors in its sole discretion to determine, from time to time, the number of directors constituting the Board of Directors;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vote upon such other matters, if any, as may properly come before the Annual Meeting or any adjournment or postponement of the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more fully discussed in the attached Proxy 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elected to provide access to our proxy materials primarily electronically via the Internet, pursuant to the “Notice and Access” method regulations promulgated by the U.S.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We believe this method expedites our stockholders’ safe receipt of proxy materials, conserves natural resources and significantly reduces the costs of the Annual Meeting. On or about [•], 2022, we began mailing a one-page Notice of Internet Availability of Proxy Materials (the </w:t>
      </w:r>
      <w:r>
        <w:rPr>
          <w:rFonts w:ascii="Arial" w:cs="Arial" w:eastAsia="Arial" w:hAnsi="Arial"/>
          <w:sz w:val="17"/>
          <w:szCs w:val="17"/>
          <w:i w:val="1"/>
          <w:iCs w:val="1"/>
          <w:color w:val="auto"/>
        </w:rPr>
        <w:t>Notice</w:t>
      </w:r>
      <w:r>
        <w:rPr>
          <w:rFonts w:ascii="Arial" w:cs="Arial" w:eastAsia="Arial" w:hAnsi="Arial"/>
          <w:sz w:val="17"/>
          <w:szCs w:val="17"/>
          <w:color w:val="auto"/>
        </w:rPr>
        <w:t xml:space="preserve">) to each of our stockholders entitled to notice of and to vote at the Annual Meeting, which Notice contains instructions for accessing the attached Proxy Statement, our Annual Report on Form 10-K for our fiscal year ended March 31, 2022 (the </w:t>
      </w:r>
      <w:r>
        <w:rPr>
          <w:rFonts w:ascii="Arial" w:cs="Arial" w:eastAsia="Arial" w:hAnsi="Arial"/>
          <w:sz w:val="17"/>
          <w:szCs w:val="17"/>
          <w:i w:val="1"/>
          <w:iCs w:val="1"/>
          <w:color w:val="auto"/>
        </w:rPr>
        <w:t>Annual Report</w:t>
      </w:r>
      <w:r>
        <w:rPr>
          <w:rFonts w:ascii="Arial" w:cs="Arial" w:eastAsia="Arial" w:hAnsi="Arial"/>
          <w:sz w:val="17"/>
          <w:szCs w:val="17"/>
          <w:color w:val="auto"/>
        </w:rPr>
        <w:t>) via the Internet, as well as voting instructions. The Notice also includes instructions on how you can receive a paper copy of your proxy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materials. </w:t>
      </w:r>
      <w:r>
        <w:rPr>
          <w:rFonts w:ascii="Arial" w:cs="Arial" w:eastAsia="Arial" w:hAnsi="Arial"/>
          <w:sz w:val="17"/>
          <w:szCs w:val="17"/>
          <w:b w:val="1"/>
          <w:bCs w:val="1"/>
          <w:color w:val="auto"/>
        </w:rPr>
        <w:t>The Proxy Statement and the Annual Report are both available on the Internet at: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ind w:firstLine="648"/>
        <w:spacing w:after="0" w:line="255" w:lineRule="auto"/>
        <w:rPr>
          <w:sz w:val="20"/>
          <w:szCs w:val="20"/>
          <w:color w:val="auto"/>
        </w:rPr>
      </w:pPr>
      <w:r>
        <w:rPr>
          <w:rFonts w:ascii="Arial" w:cs="Arial" w:eastAsia="Arial" w:hAnsi="Arial"/>
          <w:sz w:val="18"/>
          <w:szCs w:val="18"/>
          <w:color w:val="auto"/>
        </w:rPr>
        <w:t xml:space="preserve">The close of business on August 16, 2022 (the </w:t>
      </w:r>
      <w:r>
        <w:rPr>
          <w:rFonts w:ascii="Arial" w:cs="Arial" w:eastAsia="Arial" w:hAnsi="Arial"/>
          <w:sz w:val="18"/>
          <w:szCs w:val="18"/>
          <w:i w:val="1"/>
          <w:iCs w:val="1"/>
          <w:color w:val="auto"/>
        </w:rPr>
        <w:t>Record Date</w:t>
      </w:r>
      <w:r>
        <w:rPr>
          <w:rFonts w:ascii="Arial" w:cs="Arial" w:eastAsia="Arial" w:hAnsi="Arial"/>
          <w:sz w:val="18"/>
          <w:szCs w:val="18"/>
          <w:color w:val="auto"/>
        </w:rPr>
        <w:t xml:space="preserve">)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Arial" w:cs="Arial" w:eastAsia="Arial" w:hAnsi="Arial"/>
          <w:sz w:val="18"/>
          <w:szCs w:val="18"/>
          <w:u w:val="single" w:color="auto"/>
          <w:color w:val="auto"/>
        </w:rPr>
        <w:t>Corp.Secretary@vistagen.com</w:t>
      </w:r>
      <w:r>
        <w:rPr>
          <w:rFonts w:ascii="Arial" w:cs="Arial" w:eastAsia="Arial" w:hAnsi="Arial"/>
          <w:sz w:val="18"/>
          <w:szCs w:val="18"/>
          <w:color w:val="auto"/>
        </w:rPr>
        <w:t xml:space="preserve"> stating the purpose of the request and providing proof of ownership of our common stock. This list will also be available for examination by stockholders of record during the webcast of the Annual Meeting at [•].</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are entitled to virtually attend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the Annual Meeting. Further information about how to attend the Annual Meeting, vote your shares online during the Meeting and submit questions during the Meeting is included in the accompanying Proxy Statement. For instructions on how to vote your shares, please refer to the instructions on the Notice of Internet Availability of Proxy Materials you received by postal mail, the section titled “Voting” beginning on page 2 of the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251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VOTES ARE IMPORTANT</w:t>
      </w:r>
    </w:p>
    <w:p>
      <w:pPr>
        <w:spacing w:after="0" w:line="27" w:lineRule="exact"/>
        <w:rPr>
          <w:sz w:val="20"/>
          <w:szCs w:val="20"/>
          <w:color w:val="auto"/>
        </w:rPr>
      </w:pPr>
    </w:p>
    <w:p>
      <w:pPr>
        <w:jc w:val="both"/>
        <w:ind w:left="220" w:right="240"/>
        <w:spacing w:after="0" w:line="252" w:lineRule="auto"/>
        <w:rPr>
          <w:sz w:val="20"/>
          <w:szCs w:val="20"/>
          <w:color w:val="auto"/>
        </w:rPr>
      </w:pPr>
      <w:r>
        <w:rPr>
          <w:rFonts w:ascii="Arial" w:cs="Arial" w:eastAsia="Arial" w:hAnsi="Arial"/>
          <w:sz w:val="18"/>
          <w:szCs w:val="18"/>
          <w:b w:val="1"/>
          <w:bCs w:val="1"/>
          <w:color w:val="auto"/>
        </w:rPr>
        <w:t xml:space="preserve">All stockholders are cordially invited to virtually attend the Annual Meeting.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incurring additional expense for duplicate proxy solicitations. By following the procedures described in the section entitled </w:t>
      </w:r>
      <w:r>
        <w:rPr>
          <w:rFonts w:ascii="Arial" w:cs="Arial" w:eastAsia="Arial" w:hAnsi="Arial"/>
          <w:sz w:val="18"/>
          <w:szCs w:val="18"/>
          <w:color w:val="auto"/>
        </w:rPr>
        <w:t>“</w:t>
      </w:r>
      <w:r>
        <w:rPr>
          <w:rFonts w:ascii="Arial" w:cs="Arial" w:eastAsia="Arial" w:hAnsi="Arial"/>
          <w:sz w:val="18"/>
          <w:szCs w:val="18"/>
          <w:b w:val="1"/>
          <w:bCs w:val="1"/>
          <w:color w:val="auto"/>
        </w:rPr>
        <w:t>Voting</w:t>
      </w:r>
      <w:r>
        <w:rPr>
          <w:rFonts w:ascii="Arial" w:cs="Arial" w:eastAsia="Arial" w:hAnsi="Arial"/>
          <w:sz w:val="18"/>
          <w:szCs w:val="18"/>
          <w:color w:val="auto"/>
        </w:rPr>
        <w:t>”</w:t>
      </w:r>
      <w:r>
        <w:rPr>
          <w:rFonts w:ascii="Arial" w:cs="Arial" w:eastAsia="Arial" w:hAnsi="Arial"/>
          <w:sz w:val="18"/>
          <w:szCs w:val="18"/>
          <w:b w:val="1"/>
          <w:bCs w:val="1"/>
          <w:color w:val="auto"/>
        </w:rPr>
        <w:t xml:space="preserve"> beginning on page </w:t>
      </w:r>
      <w:r>
        <w:rPr>
          <w:rFonts w:ascii="Arial" w:cs="Arial" w:eastAsia="Arial" w:hAnsi="Arial"/>
          <w:sz w:val="18"/>
          <w:szCs w:val="18"/>
          <w:b w:val="1"/>
          <w:bCs w:val="1"/>
          <w:u w:val="single" w:color="auto"/>
          <w:color w:val="0000EE"/>
        </w:rPr>
        <w:t>2</w:t>
      </w:r>
      <w:r>
        <w:rPr>
          <w:rFonts w:ascii="Arial" w:cs="Arial" w:eastAsia="Arial" w:hAnsi="Arial"/>
          <w:sz w:val="18"/>
          <w:szCs w:val="18"/>
          <w:b w:val="1"/>
          <w:bCs w:val="1"/>
          <w:color w:val="auto"/>
        </w:rPr>
        <w:t xml:space="preserve"> of the attached Proxy Statement, any stockholder attending the Annual Meeting virtually may vote at the Meeting, even if he or she has returned a proxy prior to the Meeting.</w:t>
      </w: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Arial" w:cs="Arial" w:eastAsia="Arial" w:hAnsi="Arial"/>
          <w:sz w:val="18"/>
          <w:szCs w:val="18"/>
          <w:color w:val="auto"/>
        </w:rPr>
        <w:t>If your shares are held in the name of a bank, broker, brokerage firm or other fiduciary, please follow the instructions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 card furnished by the record holder.</w:t>
      </w:r>
    </w:p>
    <w:p>
      <w:pPr>
        <w:spacing w:after="0" w:line="180" w:lineRule="exact"/>
        <w:rPr>
          <w:sz w:val="20"/>
          <w:szCs w:val="20"/>
          <w:color w:val="auto"/>
        </w:rPr>
      </w:pPr>
    </w:p>
    <w:p>
      <w:pPr>
        <w:jc w:val="both"/>
        <w:ind w:firstLine="486"/>
        <w:spacing w:after="0" w:line="347" w:lineRule="auto"/>
        <w:rPr>
          <w:sz w:val="20"/>
          <w:szCs w:val="20"/>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w:t>
      </w:r>
      <w:r>
        <w:rPr>
          <w:rFonts w:ascii="Arial" w:cs="Arial" w:eastAsia="Arial" w:hAnsi="Arial"/>
          <w:sz w:val="16"/>
          <w:szCs w:val="16"/>
          <w:b w:val="1"/>
          <w:bCs w:val="1"/>
          <w:color w:val="auto"/>
        </w:rPr>
        <w:t xml:space="preserve"> each of the Director nominees identified in Proposal No. 1, and "FOR" Proposals No. 2, 4, 5, and 6, and for </w:t>
      </w:r>
      <w:r>
        <w:rPr>
          <w:rFonts w:ascii="Arial" w:cs="Arial" w:eastAsia="Arial" w:hAnsi="Arial"/>
          <w:sz w:val="16"/>
          <w:szCs w:val="16"/>
          <w:color w:val="auto"/>
        </w:rPr>
        <w:t>“</w:t>
      </w:r>
      <w:r>
        <w:rPr>
          <w:rFonts w:ascii="Arial" w:cs="Arial" w:eastAsia="Arial" w:hAnsi="Arial"/>
          <w:sz w:val="16"/>
          <w:szCs w:val="16"/>
          <w:b w:val="1"/>
          <w:bCs w:val="1"/>
          <w:color w:val="auto"/>
        </w:rPr>
        <w:t>EVERY THREE YEARS</w:t>
      </w:r>
      <w:r>
        <w:rPr>
          <w:rFonts w:ascii="Arial" w:cs="Arial" w:eastAsia="Arial" w:hAnsi="Arial"/>
          <w:sz w:val="16"/>
          <w:szCs w:val="16"/>
          <w:color w:val="auto"/>
        </w:rPr>
        <w:t>”</w:t>
      </w:r>
      <w:r>
        <w:rPr>
          <w:rFonts w:ascii="Arial" w:cs="Arial" w:eastAsia="Arial" w:hAnsi="Arial"/>
          <w:sz w:val="16"/>
          <w:szCs w:val="16"/>
          <w:b w:val="1"/>
          <w:bCs w:val="1"/>
          <w:color w:val="auto"/>
        </w:rPr>
        <w:t xml:space="preserve"> in Proposal No. 3, all of which are described in detail in the accompanying Proxy Statement.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THE ANNUAL REPORT AND PROXY STATEMENT ARE AVAILABLE ONLINE VIA THE INTERNET AT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Jerrold D. Dotson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ind w:left="6920"/>
        <w:spacing w:after="0"/>
        <w:rPr>
          <w:sz w:val="20"/>
          <w:szCs w:val="20"/>
          <w:color w:val="auto"/>
        </w:rPr>
      </w:pPr>
      <w:r>
        <w:rPr>
          <w:rFonts w:ascii="Arial" w:cs="Arial" w:eastAsia="Arial" w:hAnsi="Arial"/>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-119380</wp:posOffset>
            </wp:positionV>
            <wp:extent cx="182562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enclosed proxy is solicited on behalf of the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xml:space="preserve">) of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us</w:t>
      </w:r>
      <w:r>
        <w:rPr>
          <w:rFonts w:ascii="Arial" w:cs="Arial" w:eastAsia="Arial" w:hAnsi="Arial"/>
          <w:sz w:val="17"/>
          <w:szCs w:val="17"/>
          <w:color w:val="auto"/>
        </w:rPr>
        <w:t>,</w:t>
      </w:r>
      <w:r>
        <w:rPr>
          <w:rFonts w:ascii="Arial" w:cs="Arial" w:eastAsia="Arial" w:hAnsi="Arial"/>
          <w:sz w:val="17"/>
          <w:szCs w:val="17"/>
          <w:i w:val="1"/>
          <w:iCs w:val="1"/>
          <w:color w:val="auto"/>
        </w:rPr>
        <w:t xml:space="preserve"> we </w:t>
      </w:r>
      <w:r>
        <w:rPr>
          <w:rFonts w:ascii="Arial" w:cs="Arial" w:eastAsia="Arial" w:hAnsi="Arial"/>
          <w:sz w:val="17"/>
          <w:szCs w:val="17"/>
          <w:color w:val="auto"/>
        </w:rPr>
        <w:t>or</w:t>
      </w:r>
      <w:r>
        <w:rPr>
          <w:rFonts w:ascii="Arial" w:cs="Arial" w:eastAsia="Arial" w:hAnsi="Arial"/>
          <w:sz w:val="17"/>
          <w:szCs w:val="17"/>
          <w:i w:val="1"/>
          <w:iCs w:val="1"/>
          <w:color w:val="auto"/>
        </w:rPr>
        <w:t xml:space="preserve"> our</w:t>
      </w:r>
      <w:r>
        <w:rPr>
          <w:rFonts w:ascii="Arial" w:cs="Arial" w:eastAsia="Arial" w:hAnsi="Arial"/>
          <w:sz w:val="17"/>
          <w:szCs w:val="17"/>
          <w:color w:val="auto"/>
        </w:rPr>
        <w:t>), for use at the Company’s 2022 Annual Meeting of Stockholders (the</w:t>
      </w:r>
      <w:r>
        <w:rPr>
          <w:rFonts w:ascii="Arial" w:cs="Arial" w:eastAsia="Arial" w:hAnsi="Arial"/>
          <w:sz w:val="17"/>
          <w:szCs w:val="17"/>
          <w:i w:val="1"/>
          <w:iCs w:val="1"/>
          <w:color w:val="auto"/>
        </w:rPr>
        <w:t xml:space="preserve"> Annual Meeting </w:t>
      </w:r>
      <w:r>
        <w:rPr>
          <w:rFonts w:ascii="Arial" w:cs="Arial" w:eastAsia="Arial" w:hAnsi="Arial"/>
          <w:sz w:val="17"/>
          <w:szCs w:val="17"/>
          <w:color w:val="auto"/>
        </w:rPr>
        <w:t>or the</w:t>
      </w:r>
      <w:r>
        <w:rPr>
          <w:rFonts w:ascii="Arial" w:cs="Arial" w:eastAsia="Arial" w:hAnsi="Arial"/>
          <w:sz w:val="17"/>
          <w:szCs w:val="17"/>
          <w:i w:val="1"/>
          <w:iCs w:val="1"/>
          <w:color w:val="auto"/>
        </w:rPr>
        <w:t xml:space="preserve"> Meeting</w:t>
      </w:r>
      <w:r>
        <w:rPr>
          <w:rFonts w:ascii="Arial" w:cs="Arial" w:eastAsia="Arial" w:hAnsi="Arial"/>
          <w:sz w:val="17"/>
          <w:szCs w:val="17"/>
          <w:color w:val="auto"/>
        </w:rPr>
        <w:t>). The Annual Meeting will</w:t>
      </w:r>
      <w:r>
        <w:rPr>
          <w:rFonts w:ascii="Arial" w:cs="Arial" w:eastAsia="Arial" w:hAnsi="Arial"/>
          <w:sz w:val="17"/>
          <w:szCs w:val="17"/>
          <w:i w:val="1"/>
          <w:iCs w:val="1"/>
          <w:color w:val="auto"/>
        </w:rPr>
        <w:t xml:space="preserve"> </w:t>
      </w:r>
      <w:r>
        <w:rPr>
          <w:rFonts w:ascii="Arial" w:cs="Arial" w:eastAsia="Arial" w:hAnsi="Arial"/>
          <w:sz w:val="17"/>
          <w:szCs w:val="17"/>
          <w:color w:val="auto"/>
        </w:rPr>
        <w:t>take place in a virtual meeting format on Friday, October 14, 2022, at 10:00 a.m., Pacific Time, and will be held exclusively via the Internet at [•].</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elected to provide access to the proxy materials for the Annual Meeting primarily over the Internet in accordance with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On or about [•], 2022, we began mailing a one-page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to each of our stockholders entitled to notice of and to vote at the Annual Meeting. The Notice contains instructions for accessing this Proxy Statement, our Annual Report on Form 10-K for our fiscal year ended March 31, 2022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Annual Meeting voting instructions. The Notice also includes instructions on how you can receive a paper copy of your proxy materials by postal mail. </w:t>
      </w:r>
      <w:r>
        <w:rPr>
          <w:rFonts w:ascii="Arial" w:cs="Arial" w:eastAsia="Arial" w:hAnsi="Arial"/>
          <w:sz w:val="18"/>
          <w:szCs w:val="18"/>
          <w:b w:val="1"/>
          <w:bCs w:val="1"/>
          <w:color w:val="auto"/>
        </w:rPr>
        <w:t>This Proxy Statement and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Report are available on the Internet at: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Record Date and Shares</w:t>
            </w: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3"/>
              </w:rPr>
              <w:t>Each of the specific proposals to be considered and acted upon at the Annual Meeting is described in this Proxy</w:t>
            </w:r>
          </w:p>
        </w:tc>
      </w:tr>
      <w:tr>
        <w:trPr>
          <w:trHeight w:val="220"/>
        </w:trPr>
        <w:tc>
          <w:tcPr>
            <w:tcW w:w="23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Outstanding</w:t>
            </w: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3"/>
              </w:rPr>
              <w:t xml:space="preserve">Statement. Only holders of our common stock as of the close of business on August 16, 2022 (the </w:t>
            </w:r>
            <w:r>
              <w:rPr>
                <w:rFonts w:ascii="Arial" w:cs="Arial" w:eastAsia="Arial" w:hAnsi="Arial"/>
                <w:sz w:val="18"/>
                <w:szCs w:val="18"/>
                <w:i w:val="1"/>
                <w:iCs w:val="1"/>
                <w:color w:val="auto"/>
                <w:w w:val="93"/>
              </w:rPr>
              <w:t>Record Date</w:t>
            </w:r>
            <w:r>
              <w:rPr>
                <w:rFonts w:ascii="Arial" w:cs="Arial" w:eastAsia="Arial" w:hAnsi="Arial"/>
                <w:sz w:val="18"/>
                <w:szCs w:val="18"/>
                <w:color w:val="auto"/>
                <w:w w:val="93"/>
              </w:rPr>
              <w:t>)</w:t>
            </w:r>
          </w:p>
        </w:tc>
      </w:tr>
      <w:tr>
        <w:trPr>
          <w:trHeight w:val="230"/>
        </w:trPr>
        <w:tc>
          <w:tcPr>
            <w:tcW w:w="2380" w:type="dxa"/>
            <w:vAlign w:val="bottom"/>
            <w:shd w:val="clear" w:color="auto" w:fill="E6E6E6"/>
          </w:tcPr>
          <w:p>
            <w:pPr>
              <w:spacing w:after="0"/>
              <w:rPr>
                <w:sz w:val="20"/>
                <w:szCs w:val="20"/>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are entitled to notice of and to vote at the Annual Meeting.</w:t>
            </w:r>
          </w:p>
        </w:tc>
      </w:tr>
      <w:tr>
        <w:trPr>
          <w:trHeight w:val="418"/>
        </w:trPr>
        <w:tc>
          <w:tcPr>
            <w:tcW w:w="2380" w:type="dxa"/>
            <w:vAlign w:val="bottom"/>
            <w:shd w:val="clear" w:color="auto" w:fill="E6E6E6"/>
          </w:tcPr>
          <w:p>
            <w:pPr>
              <w:spacing w:after="0"/>
              <w:rPr>
                <w:sz w:val="24"/>
                <w:szCs w:val="24"/>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1"/>
              </w:rPr>
              <w:t>On the Record Date, there were 206,836,345 shares of our common stock issued and outstanding. Each holder of</w:t>
            </w:r>
          </w:p>
        </w:tc>
      </w:tr>
      <w:tr>
        <w:trPr>
          <w:trHeight w:val="230"/>
        </w:trPr>
        <w:tc>
          <w:tcPr>
            <w:tcW w:w="2380" w:type="dxa"/>
            <w:vAlign w:val="bottom"/>
            <w:shd w:val="clear" w:color="auto" w:fill="E6E6E6"/>
          </w:tcPr>
          <w:p>
            <w:pPr>
              <w:spacing w:after="0"/>
              <w:rPr>
                <w:sz w:val="20"/>
                <w:szCs w:val="20"/>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common stock is entitled to one vote for each share held as of the Record Date.</w:t>
            </w:r>
          </w:p>
        </w:tc>
      </w:tr>
      <w:tr>
        <w:trPr>
          <w:trHeight w:val="216"/>
        </w:trPr>
        <w:tc>
          <w:tcPr>
            <w:tcW w:w="238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02"/>
        </w:trPr>
        <w:tc>
          <w:tcPr>
            <w:tcW w:w="2380" w:type="dxa"/>
            <w:vAlign w:val="bottom"/>
            <w:shd w:val="clear" w:color="auto" w:fill="E6E6E6"/>
          </w:tcPr>
          <w:p>
            <w:pPr>
              <w:spacing w:after="0" w:line="201" w:lineRule="exact"/>
              <w:rPr>
                <w:sz w:val="20"/>
                <w:szCs w:val="20"/>
                <w:color w:val="auto"/>
              </w:rPr>
            </w:pPr>
            <w:r>
              <w:rPr>
                <w:rFonts w:ascii="Arial" w:cs="Arial" w:eastAsia="Arial" w:hAnsi="Arial"/>
                <w:sz w:val="18"/>
                <w:szCs w:val="18"/>
                <w:b w:val="1"/>
                <w:bCs w:val="1"/>
                <w:color w:val="auto"/>
              </w:rPr>
              <w:t>Quorum</w:t>
            </w:r>
          </w:p>
        </w:tc>
        <w:tc>
          <w:tcPr>
            <w:tcW w:w="8860" w:type="dxa"/>
            <w:vAlign w:val="bottom"/>
            <w:shd w:val="clear" w:color="auto" w:fill="E6E6E6"/>
          </w:tcPr>
          <w:p>
            <w:pPr>
              <w:ind w:left="520"/>
              <w:spacing w:after="0" w:line="201" w:lineRule="exact"/>
              <w:rPr>
                <w:sz w:val="20"/>
                <w:szCs w:val="20"/>
                <w:color w:val="auto"/>
              </w:rPr>
            </w:pPr>
            <w:r>
              <w:rPr>
                <w:rFonts w:ascii="Arial" w:cs="Arial" w:eastAsia="Arial" w:hAnsi="Arial"/>
                <w:sz w:val="18"/>
                <w:szCs w:val="18"/>
                <w:color w:val="auto"/>
                <w:w w:val="93"/>
              </w:rPr>
              <w:t>For any business to be conducted at the Annual Meeting, the holders of more than 50% of the shares entitled to</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1"/>
              </w:rPr>
              <w:t>vote must be represented at the Meeting, either in person or by properly executed proxy. If a quorum is not present</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4"/>
              </w:rPr>
              <w:t>at the scheduled time of the Annual Meeting, the stockholders who are present may adjourn the Meeting until a</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8"/>
              </w:rPr>
              <w:t>quorum is present. The time and place of the adjourned Annual Meeting will be announced at the time the</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3"/>
              </w:rPr>
              <w:t>adjournment is taken, and no other notice will be given. An adjournment will have no effect on the business that</w:t>
            </w:r>
          </w:p>
        </w:tc>
      </w:tr>
      <w:tr>
        <w:trPr>
          <w:trHeight w:val="230"/>
        </w:trPr>
        <w:tc>
          <w:tcPr>
            <w:tcW w:w="2380" w:type="dxa"/>
            <w:vAlign w:val="bottom"/>
            <w:shd w:val="clear" w:color="auto" w:fill="E6E6E6"/>
          </w:tcPr>
          <w:p>
            <w:pPr>
              <w:spacing w:after="0"/>
              <w:rPr>
                <w:sz w:val="20"/>
                <w:szCs w:val="20"/>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may be conducted at the Annual Meeting.</w:t>
            </w:r>
          </w:p>
        </w:tc>
      </w:tr>
      <w:tr>
        <w:trPr>
          <w:trHeight w:val="216"/>
        </w:trPr>
        <w:tc>
          <w:tcPr>
            <w:tcW w:w="238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02"/>
        </w:trPr>
        <w:tc>
          <w:tcPr>
            <w:tcW w:w="2380" w:type="dxa"/>
            <w:vAlign w:val="bottom"/>
            <w:shd w:val="clear" w:color="auto" w:fill="E6E6E6"/>
          </w:tcPr>
          <w:p>
            <w:pPr>
              <w:spacing w:after="0" w:line="201" w:lineRule="exact"/>
              <w:rPr>
                <w:sz w:val="20"/>
                <w:szCs w:val="20"/>
                <w:color w:val="auto"/>
              </w:rPr>
            </w:pPr>
            <w:r>
              <w:rPr>
                <w:rFonts w:ascii="Arial" w:cs="Arial" w:eastAsia="Arial" w:hAnsi="Arial"/>
                <w:sz w:val="18"/>
                <w:szCs w:val="18"/>
                <w:b w:val="1"/>
                <w:bCs w:val="1"/>
                <w:color w:val="auto"/>
              </w:rPr>
              <w:t>Stockholder List</w:t>
            </w:r>
          </w:p>
        </w:tc>
        <w:tc>
          <w:tcPr>
            <w:tcW w:w="8860" w:type="dxa"/>
            <w:vAlign w:val="bottom"/>
            <w:shd w:val="clear" w:color="auto" w:fill="E6E6E6"/>
          </w:tcPr>
          <w:p>
            <w:pPr>
              <w:ind w:left="520"/>
              <w:spacing w:after="0" w:line="201" w:lineRule="exact"/>
              <w:rPr>
                <w:sz w:val="20"/>
                <w:szCs w:val="20"/>
                <w:color w:val="auto"/>
              </w:rPr>
            </w:pPr>
            <w:r>
              <w:rPr>
                <w:rFonts w:ascii="Arial" w:cs="Arial" w:eastAsia="Arial" w:hAnsi="Arial"/>
                <w:sz w:val="18"/>
                <w:szCs w:val="18"/>
                <w:color w:val="auto"/>
                <w:w w:val="90"/>
              </w:rPr>
              <w:t>A list of registered stockholders as of the close of business on the Record Date will be open for examination by any</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1"/>
              </w:rPr>
              <w:t>stockholder for a period of ten days prior to the Annual Meeting for a purpose pertaining to the Meeting by sending</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2"/>
              </w:rPr>
              <w:t>an email to Corp.Secretary@vistagen.com, stating the purpose of the request and providing proof of ownership of</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w w:val="97"/>
              </w:rPr>
              <w:t>our common stock. This list will also be available for examination to stockholders of record during the virtual</w:t>
            </w:r>
          </w:p>
        </w:tc>
      </w:tr>
      <w:tr>
        <w:trPr>
          <w:trHeight w:val="230"/>
        </w:trPr>
        <w:tc>
          <w:tcPr>
            <w:tcW w:w="2380" w:type="dxa"/>
            <w:vAlign w:val="bottom"/>
            <w:shd w:val="clear" w:color="auto" w:fill="E6E6E6"/>
          </w:tcPr>
          <w:p>
            <w:pPr>
              <w:spacing w:after="0"/>
              <w:rPr>
                <w:sz w:val="20"/>
                <w:szCs w:val="20"/>
                <w:color w:val="auto"/>
              </w:rPr>
            </w:pPr>
          </w:p>
        </w:tc>
        <w:tc>
          <w:tcPr>
            <w:tcW w:w="88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Annual Meeting webcast at [•].</w:t>
            </w:r>
          </w:p>
        </w:tc>
      </w:tr>
      <w:tr>
        <w:trPr>
          <w:trHeight w:val="432"/>
        </w:trPr>
        <w:tc>
          <w:tcPr>
            <w:tcW w:w="2380" w:type="dxa"/>
            <w:vAlign w:val="bottom"/>
          </w:tcPr>
          <w:p>
            <w:pPr>
              <w:spacing w:after="0"/>
              <w:rPr>
                <w:sz w:val="24"/>
                <w:szCs w:val="24"/>
                <w:color w:val="auto"/>
              </w:rPr>
            </w:pPr>
          </w:p>
        </w:tc>
        <w:tc>
          <w:tcPr>
            <w:tcW w:w="8860" w:type="dxa"/>
            <w:vAlign w:val="bottom"/>
          </w:tcPr>
          <w:p>
            <w:pPr>
              <w:ind w:left="3140"/>
              <w:spacing w:after="0"/>
              <w:rPr>
                <w:sz w:val="20"/>
                <w:szCs w:val="20"/>
                <w:color w:val="auto"/>
              </w:rPr>
            </w:pPr>
            <w:r>
              <w:rPr>
                <w:rFonts w:ascii="Arial" w:cs="Arial" w:eastAsia="Arial" w:hAnsi="Arial"/>
                <w:sz w:val="18"/>
                <w:szCs w:val="18"/>
                <w:color w:val="auto"/>
              </w:rPr>
              <w:t>-1-</w:t>
            </w:r>
          </w:p>
        </w:tc>
      </w:tr>
      <w:tr>
        <w:trPr>
          <w:trHeight w:val="115"/>
        </w:trPr>
        <w:tc>
          <w:tcPr>
            <w:tcW w:w="238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3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Attendance  at  Virtual  Annual</w:t>
            </w: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We will host the Annual Meeting live online, via Internet webcast. You may attend the Annual Meeting virtually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Meeting</w:t>
            </w: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visiting [•]. The webcast will start at 10:00 a.m., Pacific Time, on Friday, October 14,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To virtually attend the Annual Meeting please go to [•]. You have the option to log in to the virtual Annual Meeting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3"/>
              </w:rPr>
              <w:t>as a “Stockholder” with a control number” or as a “Guest.” If you are a stockholder of record (i.e., if you hold your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1"/>
              </w:rPr>
              <w:t xml:space="preserve">shares through Computershare, our registrar and transfer agent) (a </w:t>
            </w:r>
            <w:r>
              <w:rPr>
                <w:rFonts w:ascii="Arial" w:cs="Arial" w:eastAsia="Arial" w:hAnsi="Arial"/>
                <w:sz w:val="18"/>
                <w:szCs w:val="18"/>
                <w:i w:val="1"/>
                <w:iCs w:val="1"/>
                <w:color w:val="auto"/>
                <w:w w:val="91"/>
              </w:rPr>
              <w:t>Stockholder</w:t>
            </w:r>
            <w:r>
              <w:rPr>
                <w:rFonts w:ascii="Arial" w:cs="Arial" w:eastAsia="Arial" w:hAnsi="Arial"/>
                <w:sz w:val="18"/>
                <w:szCs w:val="18"/>
                <w:color w:val="auto"/>
                <w:w w:val="91"/>
              </w:rPr>
              <w:t>), you may log in as a Stockholder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using the control number which can be found on your Notice and proxy card, and Annual Meeting password.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3"/>
              </w:rPr>
              <w:t>password for the meeting is [•]. If you are not a stockholder of record (i.e., if you do not hold your shares through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0"/>
              </w:rPr>
              <w:t>Computershare), but hold shares through an intermediary, such as a bank or broker, trustee or nominee (sometimes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referred to as holding in “street name”), you may attend the meeting as “Guest” by entering your name and email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4"/>
              </w:rPr>
              <w:t>address. As a Guest, you will have access to the meeting materials and will be able to ask questions during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Annual Meeting, but you will not be able to vote during the Meeting.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0"/>
              </w:rPr>
              <w:t>If you hold your shares through an intermediary, such as a bank or broker, and you desire to vote during the Annual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0"/>
              </w:rPr>
              <w:t>Meeting, you must register in advance to virtually attend the Annual Meeting as a Stockholder. To register to attend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6"/>
              </w:rPr>
              <w:t>the virtual Annual Meeting as a Stockholder, you must provide proof of beneficial ownership as of the Record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0"/>
              </w:rPr>
              <w:t>Date, such as an account statement, legal proxy from your broker, or similar evidence of ownership along with your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0"/>
              </w:rPr>
              <w:t>name and email address to Computershare. Requests for Annual Meeting registration of beneficial owners must be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6"/>
              </w:rPr>
              <w:t>labeled as “Legal Proxy” and be received no later than 5:00 p.m., Eastern Time, on October 4, 2022. You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5"/>
              </w:rPr>
              <w:t>receive a confirmation of your virtual Annual Meeting registration by email after Computershare receives your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registration materials. Requests for registration should be directed by email to legalproxy@computershare.com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1"/>
              </w:rPr>
              <w:t>by mail to Computershare, Vistagen Therapeutics, Inc. Legal Proxy, P.O. Box 43001, Providence, RI 02940-3001.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3"/>
              </w:rPr>
              <w:t>You will receive a confirmation email from Computershare of your Annual Meeting registration and will receive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control number to enter the meeting as a Stockholder.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1"/>
              </w:rPr>
              <w:t>Whether you virtually attend the Annual Meeting as a Stockholder or as a Guest, please allow yourself ample time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for the online check-in procedures.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E6E6E6"/>
          </w:tcPr>
          <w:p>
            <w:pPr>
              <w:spacing w:after="0" w:line="201" w:lineRule="exact"/>
              <w:rPr>
                <w:sz w:val="20"/>
                <w:szCs w:val="20"/>
                <w:color w:val="auto"/>
              </w:rPr>
            </w:pPr>
            <w:r>
              <w:rPr>
                <w:rFonts w:ascii="Arial" w:cs="Arial" w:eastAsia="Arial" w:hAnsi="Arial"/>
                <w:sz w:val="18"/>
                <w:szCs w:val="18"/>
                <w:b w:val="1"/>
                <w:bCs w:val="1"/>
                <w:color w:val="auto"/>
                <w:w w:val="96"/>
              </w:rPr>
              <w:t>Questions at the Annual Meeting</w:t>
            </w:r>
          </w:p>
        </w:tc>
        <w:tc>
          <w:tcPr>
            <w:tcW w:w="8520" w:type="dxa"/>
            <w:vAlign w:val="bottom"/>
            <w:shd w:val="clear" w:color="auto" w:fill="E6E6E6"/>
          </w:tcPr>
          <w:p>
            <w:pPr>
              <w:ind w:left="180"/>
              <w:spacing w:after="0" w:line="201" w:lineRule="exact"/>
              <w:rPr>
                <w:sz w:val="20"/>
                <w:szCs w:val="20"/>
                <w:color w:val="auto"/>
              </w:rPr>
            </w:pPr>
            <w:r>
              <w:rPr>
                <w:rFonts w:ascii="Arial" w:cs="Arial" w:eastAsia="Arial" w:hAnsi="Arial"/>
                <w:sz w:val="18"/>
                <w:szCs w:val="18"/>
                <w:color w:val="auto"/>
                <w:w w:val="96"/>
              </w:rPr>
              <w:t>If you wish to submit a question during the Annual Meeting, you may log in online, and ask a question on our</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8"/>
              </w:rPr>
              <w:t>virtual Annual Meeting platform at [•]. Our virtual Annual Meeting will be governed by our Rules of Conduct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7"/>
              </w:rPr>
              <w:t>which will be available on the virtual Meeting platform during the Annual Meeting. The Rules of Conduct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w w:val="92"/>
              </w:rPr>
              <w:t>address the ability of stockholders to ask questions during the meeting, including rules on permissible topics,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rules for how questions and comments will be recognized and disclosed to meeting participants.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Voting</w:t>
            </w:r>
          </w:p>
        </w:tc>
        <w:tc>
          <w:tcPr>
            <w:tcW w:w="8520" w:type="dxa"/>
            <w:vAlign w:val="bottom"/>
            <w:shd w:val="clear" w:color="auto" w:fill="E6E6E6"/>
          </w:tcPr>
          <w:p>
            <w:pPr>
              <w:ind w:left="220"/>
              <w:spacing w:after="0"/>
              <w:rPr>
                <w:sz w:val="20"/>
                <w:szCs w:val="20"/>
                <w:color w:val="auto"/>
              </w:rPr>
            </w:pPr>
            <w:r>
              <w:rPr>
                <w:rFonts w:ascii="Arial" w:cs="Arial" w:eastAsia="Arial" w:hAnsi="Arial"/>
                <w:sz w:val="18"/>
                <w:szCs w:val="18"/>
                <w:color w:val="auto"/>
              </w:rPr>
              <w:t>There are four (4) ways a stockholder of record can vote: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3"/>
              </w:rPr>
              <w:t xml:space="preserve">(1) </w:t>
            </w:r>
            <w:r>
              <w:rPr>
                <w:rFonts w:ascii="Arial" w:cs="Arial" w:eastAsia="Arial" w:hAnsi="Arial"/>
                <w:sz w:val="18"/>
                <w:szCs w:val="18"/>
                <w:i w:val="1"/>
                <w:iCs w:val="1"/>
                <w:color w:val="auto"/>
                <w:w w:val="93"/>
              </w:rPr>
              <w:t>By Internet</w:t>
            </w:r>
            <w:r>
              <w:rPr>
                <w:rFonts w:ascii="Arial" w:cs="Arial" w:eastAsia="Arial" w:hAnsi="Arial"/>
                <w:sz w:val="18"/>
                <w:szCs w:val="18"/>
                <w:color w:val="auto"/>
                <w:w w:val="93"/>
              </w:rPr>
              <w:t>:  If you are a stockholder as of the Record Date, you may vote over the Internet by following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the instructions provided in the Notice.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4"/>
              </w:rPr>
              <w:t xml:space="preserve">(2) </w:t>
            </w:r>
            <w:r>
              <w:rPr>
                <w:rFonts w:ascii="Arial" w:cs="Arial" w:eastAsia="Arial" w:hAnsi="Arial"/>
                <w:sz w:val="18"/>
                <w:szCs w:val="18"/>
                <w:i w:val="1"/>
                <w:iCs w:val="1"/>
                <w:color w:val="auto"/>
                <w:w w:val="94"/>
              </w:rPr>
              <w:t>By Telephone</w:t>
            </w:r>
            <w:r>
              <w:rPr>
                <w:rFonts w:ascii="Arial" w:cs="Arial" w:eastAsia="Arial" w:hAnsi="Arial"/>
                <w:sz w:val="18"/>
                <w:szCs w:val="18"/>
                <w:color w:val="auto"/>
                <w:w w:val="94"/>
              </w:rPr>
              <w:t>:  If you are a stockholder as of the Record Date, you may vote by telephone by following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the instructions in the Notice.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2"/>
              </w:rPr>
              <w:t xml:space="preserve">(3) </w:t>
            </w:r>
            <w:r>
              <w:rPr>
                <w:rFonts w:ascii="Arial" w:cs="Arial" w:eastAsia="Arial" w:hAnsi="Arial"/>
                <w:sz w:val="18"/>
                <w:szCs w:val="18"/>
                <w:i w:val="1"/>
                <w:iCs w:val="1"/>
                <w:color w:val="auto"/>
                <w:w w:val="92"/>
              </w:rPr>
              <w:t>By Mail</w:t>
            </w:r>
            <w:r>
              <w:rPr>
                <w:rFonts w:ascii="Arial" w:cs="Arial" w:eastAsia="Arial" w:hAnsi="Arial"/>
                <w:sz w:val="18"/>
                <w:szCs w:val="18"/>
                <w:color w:val="auto"/>
                <w:w w:val="92"/>
              </w:rPr>
              <w:t>:  If you requested printed copies of proxy materials and are a stockholder as of the Record Date,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you may vote by mailing your proxy as described in the proxy materials.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4"/>
              </w:rPr>
              <w:t xml:space="preserve">(4) </w:t>
            </w:r>
            <w:r>
              <w:rPr>
                <w:rFonts w:ascii="Arial" w:cs="Arial" w:eastAsia="Arial" w:hAnsi="Arial"/>
                <w:sz w:val="18"/>
                <w:szCs w:val="18"/>
                <w:i w:val="1"/>
                <w:iCs w:val="1"/>
                <w:color w:val="auto"/>
                <w:w w:val="94"/>
              </w:rPr>
              <w:t>During the Annual Meeting</w:t>
            </w:r>
            <w:r>
              <w:rPr>
                <w:rFonts w:ascii="Arial" w:cs="Arial" w:eastAsia="Arial" w:hAnsi="Arial"/>
                <w:sz w:val="18"/>
                <w:szCs w:val="18"/>
                <w:color w:val="auto"/>
                <w:w w:val="94"/>
              </w:rPr>
              <w:t>:  The Annual Meeting will be held exclusively via the Internet, and can only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0"/>
              </w:rPr>
              <w:t>be accessed at [•]. Subject to the provisions applicable to other than holders of record as outlined above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3"/>
              </w:rPr>
              <w:t>section entitled “Attendance at Virtual Annual Meeting,” if you are a stockholder as of the Record Date, you</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3"/>
              </w:rPr>
              <w:t>will have the ability to attend the virtual Meeting and vote online during the Meeting. Submitting a proxy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w w:val="92"/>
              </w:rPr>
              <w:t>not prevent a stockholder from attending the Annual Meeting virtually, revoking an earlier-submitted proxy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accordance with the process outlined below and voting online during the virtual Meeting.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20" w:type="dxa"/>
            <w:vAlign w:val="bottom"/>
            <w:shd w:val="clear" w:color="auto" w:fill="E6E6E6"/>
          </w:tcPr>
          <w:p>
            <w:pPr>
              <w:spacing w:after="0"/>
              <w:rPr>
                <w:sz w:val="24"/>
                <w:szCs w:val="24"/>
                <w:color w:val="auto"/>
              </w:rPr>
            </w:pPr>
          </w:p>
        </w:tc>
        <w:tc>
          <w:tcPr>
            <w:tcW w:w="8520" w:type="dxa"/>
            <w:vAlign w:val="bottom"/>
            <w:shd w:val="clear" w:color="auto" w:fill="E6E6E6"/>
          </w:tcPr>
          <w:p>
            <w:pPr>
              <w:ind w:left="220"/>
              <w:spacing w:after="0"/>
              <w:rPr>
                <w:sz w:val="20"/>
                <w:szCs w:val="20"/>
                <w:color w:val="auto"/>
              </w:rPr>
            </w:pPr>
            <w:r>
              <w:rPr>
                <w:rFonts w:ascii="Arial" w:cs="Arial" w:eastAsia="Arial" w:hAnsi="Arial"/>
                <w:sz w:val="18"/>
                <w:szCs w:val="18"/>
                <w:color w:val="auto"/>
                <w:w w:val="91"/>
              </w:rPr>
              <w:t>In order to be counted, proxies submitted by telephone or via the Internet must be received by 11:59 p.m., Eastern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6E6E6"/>
          </w:tcPr>
          <w:p>
            <w:pPr>
              <w:spacing w:after="0"/>
              <w:rPr>
                <w:sz w:val="18"/>
                <w:szCs w:val="18"/>
                <w:color w:val="auto"/>
              </w:rPr>
            </w:pPr>
          </w:p>
        </w:tc>
        <w:tc>
          <w:tcPr>
            <w:tcW w:w="8520" w:type="dxa"/>
            <w:vAlign w:val="bottom"/>
            <w:shd w:val="clear" w:color="auto" w:fill="E6E6E6"/>
          </w:tcPr>
          <w:p>
            <w:pPr>
              <w:ind w:left="220"/>
              <w:spacing w:after="0"/>
              <w:rPr>
                <w:sz w:val="20"/>
                <w:szCs w:val="20"/>
                <w:color w:val="auto"/>
              </w:rPr>
            </w:pPr>
            <w:r>
              <w:rPr>
                <w:rFonts w:ascii="Arial" w:cs="Arial" w:eastAsia="Arial" w:hAnsi="Arial"/>
                <w:sz w:val="18"/>
                <w:szCs w:val="18"/>
                <w:color w:val="auto"/>
                <w:w w:val="91"/>
              </w:rPr>
              <w:t>Time, on October 13, 2022. Proxies submitted by U.S. mail must be received before the start of the virtual Annual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E6E6E6"/>
          </w:tcPr>
          <w:p>
            <w:pPr>
              <w:spacing w:after="0"/>
              <w:rPr>
                <w:sz w:val="20"/>
                <w:szCs w:val="20"/>
                <w:color w:val="auto"/>
              </w:rPr>
            </w:pPr>
          </w:p>
        </w:tc>
        <w:tc>
          <w:tcPr>
            <w:tcW w:w="8520" w:type="dxa"/>
            <w:vAlign w:val="bottom"/>
            <w:shd w:val="clear" w:color="auto" w:fill="E6E6E6"/>
          </w:tcPr>
          <w:p>
            <w:pPr>
              <w:ind w:left="220"/>
              <w:spacing w:after="0"/>
              <w:rPr>
                <w:sz w:val="20"/>
                <w:szCs w:val="20"/>
                <w:color w:val="auto"/>
              </w:rPr>
            </w:pPr>
            <w:r>
              <w:rPr>
                <w:rFonts w:ascii="Arial" w:cs="Arial" w:eastAsia="Arial" w:hAnsi="Arial"/>
                <w:sz w:val="18"/>
                <w:szCs w:val="18"/>
                <w:color w:val="auto"/>
              </w:rPr>
              <w:t>Meeting. If you hold your shares through a bank or broker, please follow their voting 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4"/>
                <w:szCs w:val="24"/>
                <w:color w:val="auto"/>
              </w:rPr>
            </w:pPr>
          </w:p>
        </w:tc>
        <w:tc>
          <w:tcPr>
            <w:tcW w:w="8520" w:type="dxa"/>
            <w:vAlign w:val="bottom"/>
          </w:tcPr>
          <w:p>
            <w:pPr>
              <w:ind w:left="28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auto"/>
            </w:tcBorders>
          </w:tcPr>
          <w:p>
            <w:pPr>
              <w:spacing w:after="0"/>
              <w:rPr>
                <w:sz w:val="10"/>
                <w:szCs w:val="10"/>
                <w:color w:val="auto"/>
              </w:rPr>
            </w:pPr>
          </w:p>
        </w:tc>
        <w:tc>
          <w:tcPr>
            <w:tcW w:w="8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Required Vote for Approval</w:t>
            </w: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i w:val="1"/>
                <w:iCs w:val="1"/>
                <w:color w:val="auto"/>
                <w:w w:val="91"/>
              </w:rPr>
              <w:t xml:space="preserve">Proposal No. 1: Election of Directors. </w:t>
            </w:r>
            <w:r>
              <w:rPr>
                <w:rFonts w:ascii="Arial" w:cs="Arial" w:eastAsia="Arial" w:hAnsi="Arial"/>
                <w:sz w:val="18"/>
                <w:szCs w:val="18"/>
                <w:color w:val="auto"/>
                <w:w w:val="91"/>
              </w:rPr>
              <w:t>Directors are elected by a plurality vote of the votes cast, either in person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3"/>
              </w:rPr>
              <w:t>represented by proxy, and entitled to vote at the Annual Meeting.  The seven director nominees who receive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0"/>
              </w:rPr>
              <w:t>greatest number of affirmative votes cast at the Annual Meeting by the shares present, either in person or by proxy,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and entitled to vote will be elected to serve on our Board of Directors until our 2023 Annual Meeting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Stockholders, or until her or his successor is duly elected and qualified.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voted “FOR” the election of the nominees.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201" w:lineRule="exact"/>
              <w:rPr>
                <w:sz w:val="20"/>
                <w:szCs w:val="20"/>
                <w:color w:val="auto"/>
              </w:rPr>
            </w:pPr>
            <w:r>
              <w:rPr>
                <w:rFonts w:ascii="Arial" w:cs="Arial" w:eastAsia="Arial" w:hAnsi="Arial"/>
                <w:sz w:val="18"/>
                <w:szCs w:val="18"/>
                <w:i w:val="1"/>
                <w:iCs w:val="1"/>
                <w:color w:val="auto"/>
                <w:w w:val="93"/>
              </w:rPr>
              <w:t>Proposal No. 2: Approval, on a Non-Binding Advisory Basis, of the Compensation Paid to our Named Executive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i w:val="1"/>
                <w:iCs w:val="1"/>
                <w:color w:val="auto"/>
                <w:w w:val="96"/>
              </w:rPr>
              <w:t xml:space="preserve">Officers. </w:t>
            </w:r>
            <w:r>
              <w:rPr>
                <w:rFonts w:ascii="Arial" w:cs="Arial" w:eastAsia="Arial" w:hAnsi="Arial"/>
                <w:sz w:val="18"/>
                <w:szCs w:val="18"/>
                <w:color w:val="auto"/>
                <w:w w:val="96"/>
              </w:rPr>
              <w:t>This proposal calls for a non-binding, advisory vote regarding the compensation paid to our Named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5"/>
              </w:rPr>
              <w:t xml:space="preserve">Executive Officers (the </w:t>
            </w:r>
            <w:r>
              <w:rPr>
                <w:rFonts w:ascii="Arial" w:cs="Arial" w:eastAsia="Arial" w:hAnsi="Arial"/>
                <w:sz w:val="18"/>
                <w:szCs w:val="18"/>
                <w:i w:val="1"/>
                <w:iCs w:val="1"/>
                <w:color w:val="auto"/>
                <w:w w:val="95"/>
              </w:rPr>
              <w:t>Say-on-Pay</w:t>
            </w:r>
            <w:r>
              <w:rPr>
                <w:rFonts w:ascii="Arial" w:cs="Arial" w:eastAsia="Arial" w:hAnsi="Arial"/>
                <w:sz w:val="18"/>
                <w:szCs w:val="18"/>
                <w:color w:val="auto"/>
                <w:w w:val="95"/>
              </w:rPr>
              <w:t>). Accordingly, there is no “required vote” that would constitute approval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3"/>
              </w:rPr>
              <w:t>this proposal. However, our Board, including the Compensation Committee of the Board, values the opinions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4"/>
              </w:rPr>
              <w:t>our stockholders and will consider the result of the vote when making future decisions regarding our executive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4"/>
              </w:rPr>
              <w:t>compensation policies and practices. The affirmative “FOR” vote of a majority of the votes cast, in person or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proxy, excluding abstentions, is required to approve this non-binding, advisory proposal.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voted “FOR” the approval of this non-binding, advisory proposal.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201" w:lineRule="exact"/>
              <w:rPr>
                <w:sz w:val="20"/>
                <w:szCs w:val="20"/>
                <w:color w:val="auto"/>
              </w:rPr>
            </w:pPr>
            <w:r>
              <w:rPr>
                <w:rFonts w:ascii="Arial" w:cs="Arial" w:eastAsia="Arial" w:hAnsi="Arial"/>
                <w:sz w:val="18"/>
                <w:szCs w:val="18"/>
                <w:i w:val="1"/>
                <w:iCs w:val="1"/>
                <w:color w:val="auto"/>
                <w:w w:val="94"/>
              </w:rPr>
              <w:t>Proposal  No.  3:  Advisory  Vote  to  Approve  the  Frequency  of  Non-Binding  Advisory  Votes  on  Executive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i w:val="1"/>
                <w:iCs w:val="1"/>
                <w:color w:val="auto"/>
                <w:w w:val="91"/>
              </w:rPr>
              <w:t xml:space="preserve">Compensation. </w:t>
            </w:r>
            <w:r>
              <w:rPr>
                <w:rFonts w:ascii="Arial" w:cs="Arial" w:eastAsia="Arial" w:hAnsi="Arial"/>
                <w:sz w:val="18"/>
                <w:szCs w:val="18"/>
                <w:color w:val="auto"/>
                <w:w w:val="91"/>
              </w:rPr>
              <w:t>This proposal provides a choice among three frequency periods (every one, two or three years)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future advisory Say-on-Pay proposals (</w:t>
            </w:r>
            <w:r>
              <w:rPr>
                <w:rFonts w:ascii="Arial" w:cs="Arial" w:eastAsia="Arial" w:hAnsi="Arial"/>
                <w:sz w:val="18"/>
                <w:szCs w:val="18"/>
                <w:i w:val="1"/>
                <w:iCs w:val="1"/>
                <w:color w:val="auto"/>
                <w:w w:val="91"/>
              </w:rPr>
              <w:t>Say-on-Frequency</w:t>
            </w:r>
            <w:r>
              <w:rPr>
                <w:rFonts w:ascii="Arial" w:cs="Arial" w:eastAsia="Arial" w:hAnsi="Arial"/>
                <w:sz w:val="18"/>
                <w:szCs w:val="18"/>
                <w:color w:val="auto"/>
                <w:w w:val="91"/>
              </w:rPr>
              <w:t>). The frequency period that receives the most votes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0"/>
              </w:rPr>
              <w:t>be deemed to be the recommendation of our stockholders. However, because this vote is advisory and not binding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on our Board of Directors or management, we may decide that it is in the best interests of our stockholders to hold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a Say-on-Pay proposals more or less frequently than the frequency period selected by our stockholders.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voted for “EVERY THREE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201" w:lineRule="exact"/>
              <w:rPr>
                <w:sz w:val="20"/>
                <w:szCs w:val="20"/>
                <w:color w:val="auto"/>
              </w:rPr>
            </w:pPr>
            <w:r>
              <w:rPr>
                <w:rFonts w:ascii="Arial" w:cs="Arial" w:eastAsia="Arial" w:hAnsi="Arial"/>
                <w:sz w:val="18"/>
                <w:szCs w:val="18"/>
                <w:i w:val="1"/>
                <w:iCs w:val="1"/>
                <w:color w:val="auto"/>
                <w:w w:val="92"/>
              </w:rPr>
              <w:t xml:space="preserve">Proposal No. 4: Ratification of Appointment of our Independent Registered Public Accounting Firm. </w:t>
            </w:r>
            <w:r>
              <w:rPr>
                <w:rFonts w:ascii="Arial" w:cs="Arial" w:eastAsia="Arial" w:hAnsi="Arial"/>
                <w:sz w:val="18"/>
                <w:szCs w:val="18"/>
                <w:color w:val="auto"/>
                <w:w w:val="92"/>
              </w:rPr>
              <w:t>This proposal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2"/>
              </w:rPr>
              <w:t>requests stockholders to ratify the appointment of WithumSmith+Brown, PC as our independent registered public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6"/>
              </w:rPr>
              <w:t>accounting firm for our current fiscal year ending March 31, 2023. The affirmative “FOR” vote of a majority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7"/>
              </w:rPr>
              <w:t>the votes cast, either in person or by proxy at the Annual Meeting, excluding abstentions, is required for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3"/>
              </w:rPr>
              <w:t>ratification of the selection of WithumSmith+Brown, PC as our independent registered public accounting firm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our current fiscal year ending March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5"/>
              </w:rPr>
              <w:t>voted “FOR” the ratification of the selection of WithumSmith+Brown, PC as our independent registered public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accounting firm for our current fiscal year ending March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201" w:lineRule="exact"/>
              <w:rPr>
                <w:sz w:val="20"/>
                <w:szCs w:val="20"/>
                <w:color w:val="auto"/>
              </w:rPr>
            </w:pPr>
            <w:r>
              <w:rPr>
                <w:rFonts w:ascii="Arial" w:cs="Arial" w:eastAsia="Arial" w:hAnsi="Arial"/>
                <w:sz w:val="18"/>
                <w:szCs w:val="18"/>
                <w:i w:val="1"/>
                <w:iCs w:val="1"/>
                <w:color w:val="auto"/>
                <w:w w:val="93"/>
              </w:rPr>
              <w:t xml:space="preserve">Proposal No. 5 Approval of Discretionary Authorization to Implement a Reverse Stock Split. </w:t>
            </w:r>
            <w:r>
              <w:rPr>
                <w:rFonts w:ascii="Arial" w:cs="Arial" w:eastAsia="Arial" w:hAnsi="Arial"/>
                <w:sz w:val="18"/>
                <w:szCs w:val="18"/>
                <w:color w:val="auto"/>
                <w:w w:val="93"/>
              </w:rPr>
              <w:t>This proposal asks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2"/>
              </w:rPr>
              <w:t>stockholders to approve discretionary authority for our Board to implement a reverse stock split of our issued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2"/>
              </w:rPr>
              <w:t>outstanding shares of common stock at a ratio of between 1-for-2 and 1-for-30, which ratio will be determined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5"/>
              </w:rPr>
              <w:t xml:space="preserve">the Board (the </w:t>
            </w:r>
            <w:r>
              <w:rPr>
                <w:rFonts w:ascii="Arial" w:cs="Arial" w:eastAsia="Arial" w:hAnsi="Arial"/>
                <w:sz w:val="18"/>
                <w:szCs w:val="18"/>
                <w:i w:val="1"/>
                <w:iCs w:val="1"/>
                <w:color w:val="auto"/>
                <w:w w:val="95"/>
              </w:rPr>
              <w:t>Reverse Split</w:t>
            </w:r>
            <w:r>
              <w:rPr>
                <w:rFonts w:ascii="Arial" w:cs="Arial" w:eastAsia="Arial" w:hAnsi="Arial"/>
                <w:sz w:val="18"/>
                <w:szCs w:val="18"/>
                <w:color w:val="auto"/>
                <w:w w:val="95"/>
              </w:rPr>
              <w:t>), and to file an amendment to the Company’s Restated and Amended Articles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0"/>
              </w:rPr>
              <w:t>Incorporation, as amended, with the Nevada Secretary of State to effect the Reverse Split at any time as the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3"/>
              </w:rPr>
              <w:t>may deem necessary and advisable prior to the one-year anniversary of this Annual Meeting in order to, among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4"/>
              </w:rPr>
              <w:t xml:space="preserve">other things, maintain the Company’s listing on The NASDAQ Capital Market (the </w:t>
            </w:r>
            <w:r>
              <w:rPr>
                <w:rFonts w:ascii="Arial" w:cs="Arial" w:eastAsia="Arial" w:hAnsi="Arial"/>
                <w:sz w:val="18"/>
                <w:szCs w:val="18"/>
                <w:i w:val="1"/>
                <w:iCs w:val="1"/>
                <w:color w:val="auto"/>
                <w:w w:val="94"/>
              </w:rPr>
              <w:t>Reverse Split Authorization</w:t>
            </w:r>
            <w:r>
              <w:rPr>
                <w:rFonts w:ascii="Arial" w:cs="Arial" w:eastAsia="Arial" w:hAnsi="Arial"/>
                <w:sz w:val="18"/>
                <w:szCs w:val="18"/>
                <w:color w:val="auto"/>
                <w:w w:val="9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2"/>
              </w:rPr>
              <w:t>The affirmative “FOR” vote of a majority of shares of our common stock outstanding and eligible to vote as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Record Date is required to approve the Reverse Split Authorization.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voted “FOR” the Reverse Split Authorization.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201" w:lineRule="exact"/>
              <w:rPr>
                <w:sz w:val="20"/>
                <w:szCs w:val="20"/>
                <w:color w:val="auto"/>
              </w:rPr>
            </w:pPr>
            <w:r>
              <w:rPr>
                <w:rFonts w:ascii="Arial" w:cs="Arial" w:eastAsia="Arial" w:hAnsi="Arial"/>
                <w:sz w:val="18"/>
                <w:szCs w:val="18"/>
                <w:i w:val="1"/>
                <w:iCs w:val="1"/>
                <w:color w:val="auto"/>
                <w:w w:val="91"/>
              </w:rPr>
              <w:t>Proposal No. 6 Bylaw Amendment</w:t>
            </w:r>
            <w:r>
              <w:rPr>
                <w:rFonts w:ascii="Arial" w:cs="Arial" w:eastAsia="Arial" w:hAnsi="Arial"/>
                <w:sz w:val="18"/>
                <w:szCs w:val="18"/>
                <w:color w:val="auto"/>
                <w:w w:val="91"/>
              </w:rPr>
              <w:t>. This proposal asks stockholders to amend our Bylaws to give the Board, in its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4"/>
              </w:rPr>
              <w:t>sole discretion, flexibility to set the number of directors to serve on our Board. Currently, our Second Amended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2"/>
              </w:rPr>
              <w:t xml:space="preserve">and Restated Bylaws (our </w:t>
            </w:r>
            <w:r>
              <w:rPr>
                <w:rFonts w:ascii="Arial" w:cs="Arial" w:eastAsia="Arial" w:hAnsi="Arial"/>
                <w:sz w:val="18"/>
                <w:szCs w:val="18"/>
                <w:i w:val="1"/>
                <w:iCs w:val="1"/>
                <w:color w:val="auto"/>
                <w:w w:val="92"/>
              </w:rPr>
              <w:t>Bylaws</w:t>
            </w:r>
            <w:r>
              <w:rPr>
                <w:rFonts w:ascii="Arial" w:cs="Arial" w:eastAsia="Arial" w:hAnsi="Arial"/>
                <w:sz w:val="18"/>
                <w:szCs w:val="18"/>
                <w:color w:val="auto"/>
                <w:w w:val="92"/>
              </w:rPr>
              <w:t>) states that the number of directors serving on our Board must be no less than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8"/>
              </w:rPr>
              <w:t>one (1) and no more than seven (7), with the exact number set at seven (7). Currently, the Bylaws require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3"/>
              </w:rPr>
              <w:t>stockholder approval to change the exact number of directors constituting our Board. At the recommendation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0"/>
              </w:rPr>
              <w:t>our Corporate Governance and Nominating Committee, our Board has approved an amendment to the Bylaws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i w:val="1"/>
                <w:iCs w:val="1"/>
                <w:color w:val="auto"/>
                <w:w w:val="99"/>
              </w:rPr>
              <w:t>Bylaw Amendment</w:t>
            </w:r>
            <w:r>
              <w:rPr>
                <w:rFonts w:ascii="Arial" w:cs="Arial" w:eastAsia="Arial" w:hAnsi="Arial"/>
                <w:sz w:val="18"/>
                <w:szCs w:val="18"/>
                <w:color w:val="auto"/>
                <w:w w:val="99"/>
              </w:rPr>
              <w:t>) that will allow the Board in its sole discretion to change the exact number of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7"/>
              </w:rPr>
              <w:t>constituting our Board, and now presents the Bylaw Amendment to stockholders for approval at the Annual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4"/>
              </w:rPr>
              <w:t>Meeting. The affirmative “FOR” vote of a majority of shares of our common stock outstanding as and eligible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 as of the Record Date is required to approve the Bylaw Amendment.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w w:val="91"/>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voted “FOR” the Bylaw Amendment.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40" w:type="dxa"/>
            <w:vAlign w:val="bottom"/>
          </w:tcPr>
          <w:p>
            <w:pPr>
              <w:spacing w:after="0"/>
              <w:rPr>
                <w:sz w:val="24"/>
                <w:szCs w:val="24"/>
                <w:color w:val="auto"/>
              </w:rPr>
            </w:pPr>
          </w:p>
        </w:tc>
        <w:tc>
          <w:tcPr>
            <w:tcW w:w="8700" w:type="dxa"/>
            <w:vAlign w:val="bottom"/>
          </w:tcPr>
          <w:p>
            <w:pPr>
              <w:ind w:left="29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9" w:right="339" w:bottom="204"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Abstentions and Broker Non-</w:t>
            </w: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7"/>
              </w:rPr>
              <w:t>All votes will be tabulated by the inspector of election appointed for the Annual Meeting, who will separately</w:t>
            </w:r>
          </w:p>
        </w:tc>
      </w:tr>
      <w:tr>
        <w:trPr>
          <w:trHeight w:val="220"/>
        </w:trPr>
        <w:tc>
          <w:tcPr>
            <w:tcW w:w="260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Votes</w:t>
            </w: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0"/>
              </w:rPr>
              <w:t>tabulate affirmative and negative votes, abstentions and broker non-votes. An abstention is the voluntary act of not</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1"/>
              </w:rPr>
              <w:t>voting by a stockholder who is present at a meeting and entitled to vote. A broker “non-vote” occurs when a broker</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89"/>
              </w:rPr>
              <w:t>nominee holding shares for a beneficial owner does not vote on a particular proposal because the nominee does not</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4"/>
              </w:rPr>
              <w:t>have discretionary power for that particular item and has not received instructions from the beneficial owner. If</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you hold your shares in “street name” through a broker, brokerage firm or other nominee, your broker, brokerage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1"/>
              </w:rPr>
              <w:t>firm or nominee may not be permitted to exercise voting discretion with respect to some of the matters to be acted</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upon. If you do not give your broker, brokerage firm or nominee specific instructions regarding such matters, your</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proxy will be deemed a “broker non-vote.”</w:t>
            </w:r>
          </w:p>
        </w:tc>
      </w:tr>
      <w:tr>
        <w:trPr>
          <w:trHeight w:val="418"/>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3"/>
              </w:rPr>
              <w:t>As noted above, the seven director nominees identified under Proposal No. 1 who receive the most votes at the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Annual Meeting will be elected to serve on our Board of Directors until our 2023 Annual Meeting of Stockholders,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0"/>
              </w:rPr>
              <w:t>or until her or his successor is duly elected and qualified, thus abstentions and broker non-votes will have no effect</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on the outcome of Proposal No. 1.</w:t>
            </w:r>
          </w:p>
        </w:tc>
      </w:tr>
      <w:tr>
        <w:trPr>
          <w:trHeight w:val="418"/>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1"/>
              </w:rPr>
              <w:t>Under Nevada law and our Bylaws, Proposals No. 2, 3 and 4 will each be determined by the vote of the holders of</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0"/>
              </w:rPr>
              <w:t>a majority of the votes cast by those present at the Annual Meeting or by proxy. For these matters, abstentions and</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any broker non-votes cast will not be counted as votes in favor of such proposals, and will also not be counted as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0"/>
              </w:rPr>
              <w:t>shares voting on such matters. As such, abstentions and broker non-votes will have no effect on Proposals No. 2, 3</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and 4.</w:t>
            </w:r>
          </w:p>
        </w:tc>
      </w:tr>
      <w:tr>
        <w:trPr>
          <w:trHeight w:val="418"/>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0"/>
              </w:rPr>
              <w:t>Proposals No. 5 and 6 each require approval from holders of a majority of our shares of common stock outstanding</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8"/>
              </w:rPr>
              <w:t>and eligible to vote at the Annual Meeting as of the Record Date. For these matters, broker non-votes and</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abstentions will be counted as votes against these proposals.</w:t>
            </w:r>
          </w:p>
        </w:tc>
      </w:tr>
      <w:tr>
        <w:trPr>
          <w:trHeight w:val="216"/>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202"/>
        </w:trPr>
        <w:tc>
          <w:tcPr>
            <w:tcW w:w="2600" w:type="dxa"/>
            <w:vAlign w:val="bottom"/>
            <w:shd w:val="clear" w:color="auto" w:fill="E6E6E6"/>
          </w:tcPr>
          <w:p>
            <w:pPr>
              <w:spacing w:after="0" w:line="201" w:lineRule="exact"/>
              <w:rPr>
                <w:sz w:val="20"/>
                <w:szCs w:val="20"/>
                <w:color w:val="auto"/>
              </w:rPr>
            </w:pPr>
            <w:r>
              <w:rPr>
                <w:rFonts w:ascii="Arial" w:cs="Arial" w:eastAsia="Arial" w:hAnsi="Arial"/>
                <w:sz w:val="18"/>
                <w:szCs w:val="18"/>
                <w:b w:val="1"/>
                <w:bCs w:val="1"/>
                <w:color w:val="auto"/>
              </w:rPr>
              <w:t>Revocation of Proxies</w:t>
            </w:r>
          </w:p>
        </w:tc>
        <w:tc>
          <w:tcPr>
            <w:tcW w:w="8640" w:type="dxa"/>
            <w:vAlign w:val="bottom"/>
            <w:shd w:val="clear" w:color="auto" w:fill="E6E6E6"/>
          </w:tcPr>
          <w:p>
            <w:pPr>
              <w:ind w:left="340"/>
              <w:spacing w:after="0" w:line="201" w:lineRule="exact"/>
              <w:rPr>
                <w:sz w:val="20"/>
                <w:szCs w:val="20"/>
                <w:color w:val="auto"/>
              </w:rPr>
            </w:pPr>
            <w:r>
              <w:rPr>
                <w:rFonts w:ascii="Arial" w:cs="Arial" w:eastAsia="Arial" w:hAnsi="Arial"/>
                <w:sz w:val="18"/>
                <w:szCs w:val="18"/>
                <w:color w:val="auto"/>
                <w:w w:val="98"/>
              </w:rPr>
              <w:t>You may revoke or change your proxy at any time before the Annual Meeting by filing, with our Corporate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6"/>
              </w:rPr>
              <w:t>Secretary at our principal executive offices, located at 343 Allerton Avenue, South San Francisco, California</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7"/>
              </w:rPr>
              <w:t>94080, a notice of revocation or another signed proxy with a later date. You may also revoke your proxy by</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4"/>
              </w:rPr>
              <w:t>virtually attending the Annual Meeting and voting in person. Your attendance at the virtual Annual Meeting will</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not, by itself, revoke your proxy.</w:t>
            </w:r>
          </w:p>
        </w:tc>
      </w:tr>
      <w:tr>
        <w:trPr>
          <w:trHeight w:val="216"/>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202"/>
        </w:trPr>
        <w:tc>
          <w:tcPr>
            <w:tcW w:w="2600" w:type="dxa"/>
            <w:vAlign w:val="bottom"/>
            <w:shd w:val="clear" w:color="auto" w:fill="E6E6E6"/>
          </w:tcPr>
          <w:p>
            <w:pPr>
              <w:spacing w:after="0" w:line="201" w:lineRule="exact"/>
              <w:rPr>
                <w:sz w:val="20"/>
                <w:szCs w:val="20"/>
                <w:color w:val="auto"/>
              </w:rPr>
            </w:pPr>
            <w:r>
              <w:rPr>
                <w:rFonts w:ascii="Arial" w:cs="Arial" w:eastAsia="Arial" w:hAnsi="Arial"/>
                <w:sz w:val="18"/>
                <w:szCs w:val="18"/>
                <w:b w:val="1"/>
                <w:bCs w:val="1"/>
                <w:color w:val="auto"/>
              </w:rPr>
              <w:t>Solicitation</w:t>
            </w:r>
          </w:p>
        </w:tc>
        <w:tc>
          <w:tcPr>
            <w:tcW w:w="8640" w:type="dxa"/>
            <w:vAlign w:val="bottom"/>
            <w:shd w:val="clear" w:color="auto" w:fill="E6E6E6"/>
          </w:tcPr>
          <w:p>
            <w:pPr>
              <w:ind w:left="340"/>
              <w:spacing w:after="0" w:line="201" w:lineRule="exact"/>
              <w:rPr>
                <w:sz w:val="20"/>
                <w:szCs w:val="20"/>
                <w:color w:val="auto"/>
              </w:rPr>
            </w:pPr>
            <w:r>
              <w:rPr>
                <w:rFonts w:ascii="Arial" w:cs="Arial" w:eastAsia="Arial" w:hAnsi="Arial"/>
                <w:sz w:val="18"/>
                <w:szCs w:val="18"/>
                <w:color w:val="auto"/>
                <w:w w:val="92"/>
              </w:rPr>
              <w:t>We will bear the entire cost of solicitation, including the preparation, assembly, printing and mailing of the Notice,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6"/>
              </w:rPr>
              <w:t>as well as the preparation and posting on the Internet of this Proxy Statement and any additional solicitation</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1"/>
              </w:rPr>
              <w:t>materials furnished to the stockholders. Copies of any solicitation materials will be furnished to brokerage houses,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3"/>
              </w:rPr>
              <w:t>fiduciaries and custodians holding shares in their names that are beneficially owned by others so that they may</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forward the solicitation materials to such beneficial owners. In addition, we may reimburse such persons for their</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2"/>
              </w:rPr>
              <w:t>costs in forwarding the solicitation materials to such beneficial owners. The original solicitation of proxies may be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3"/>
              </w:rPr>
              <w:t>supplemented by a solicitation, by telephone, email or other means, by our directors, officers or employees. No</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w w:val="91"/>
              </w:rPr>
              <w:t>additional compensation will be paid to these individuals for any such services. Except as described above, we do</w:t>
            </w:r>
          </w:p>
        </w:tc>
      </w:tr>
      <w:tr>
        <w:trPr>
          <w:trHeight w:val="230"/>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not presently intend to solicit proxies other than by the Internet, telephone, email and postal mail.</w:t>
            </w:r>
          </w:p>
        </w:tc>
      </w:tr>
      <w:tr>
        <w:trPr>
          <w:trHeight w:val="648"/>
        </w:trPr>
        <w:tc>
          <w:tcPr>
            <w:tcW w:w="2600" w:type="dxa"/>
            <w:vAlign w:val="bottom"/>
          </w:tcPr>
          <w:p>
            <w:pPr>
              <w:spacing w:after="0"/>
              <w:rPr>
                <w:sz w:val="24"/>
                <w:szCs w:val="24"/>
                <w:color w:val="auto"/>
              </w:rPr>
            </w:pPr>
          </w:p>
        </w:tc>
        <w:tc>
          <w:tcPr>
            <w:tcW w:w="8640" w:type="dxa"/>
            <w:vAlign w:val="bottom"/>
          </w:tcPr>
          <w:p>
            <w:pPr>
              <w:ind w:left="2920"/>
              <w:spacing w:after="0"/>
              <w:rPr>
                <w:sz w:val="20"/>
                <w:szCs w:val="20"/>
                <w:color w:val="auto"/>
              </w:rPr>
            </w:pPr>
            <w:r>
              <w:rPr>
                <w:rFonts w:ascii="Arial" w:cs="Arial" w:eastAsia="Arial" w:hAnsi="Arial"/>
                <w:sz w:val="18"/>
                <w:szCs w:val="18"/>
                <w:color w:val="auto"/>
              </w:rPr>
              <w:t>-4-</w:t>
            </w:r>
          </w:p>
        </w:tc>
      </w:tr>
      <w:tr>
        <w:trPr>
          <w:trHeight w:val="115"/>
        </w:trPr>
        <w:tc>
          <w:tcPr>
            <w:tcW w:w="26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(1), nor more than seven (7) directors, with the exact number fixed at seven (7). Our Bylaws currently requires stockholder approval to change the exact number of directors constituting our Board. However, should stockholders approve the Bylaw Amendment under Proposal No. 6 at the Annual Meeting, our Board in its sole discretion will have the ability to change the exact number of directors.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our current directors is nominated for election at the virtual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before the Annual Meeting, your proxy will be voted for the election of a substitute nominee recommended by the current Board, if 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recommendation of the members of its Corporate Governance and Nominating Committee, the Board has nominated the following directors for election at our Annual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Jon S. Saxe, J.D., LL.M.</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5"/>
              </w:rPr>
              <w:t>Jerry B. Gin, Ph.D., MBA</w:t>
            </w:r>
          </w:p>
        </w:tc>
      </w:tr>
      <w:tr>
        <w:trPr>
          <w:trHeight w:val="230"/>
        </w:trPr>
        <w:tc>
          <w:tcPr>
            <w:tcW w:w="562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Chairman and Independent Director</w:t>
            </w:r>
          </w:p>
        </w:tc>
        <w:tc>
          <w:tcPr>
            <w:tcW w:w="4080" w:type="dxa"/>
            <w:vAlign w:val="bottom"/>
          </w:tcPr>
          <w:p>
            <w:pPr>
              <w:jc w:val="center"/>
              <w:ind w:left="1350"/>
              <w:spacing w:after="0"/>
              <w:rPr>
                <w:sz w:val="20"/>
                <w:szCs w:val="20"/>
                <w:color w:val="auto"/>
              </w:rPr>
            </w:pPr>
            <w:r>
              <w:rPr>
                <w:rFonts w:ascii="Arial" w:cs="Arial" w:eastAsia="Arial" w:hAnsi="Arial"/>
                <w:sz w:val="18"/>
                <w:szCs w:val="18"/>
                <w:i w:val="1"/>
                <w:iCs w:val="1"/>
                <w:color w:val="auto"/>
                <w:w w:val="92"/>
              </w:rPr>
              <w:t>Independent Director</w:t>
            </w:r>
          </w:p>
        </w:tc>
      </w:tr>
      <w:tr>
        <w:trPr>
          <w:trHeight w:val="323"/>
        </w:trPr>
        <w:tc>
          <w:tcPr>
            <w:tcW w:w="562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Ann M. Cunningham, MBA</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5"/>
              </w:rPr>
              <w:t>Mary L. Rotunno, J.D.</w:t>
            </w:r>
          </w:p>
        </w:tc>
      </w:tr>
      <w:tr>
        <w:trPr>
          <w:trHeight w:val="230"/>
        </w:trPr>
        <w:tc>
          <w:tcPr>
            <w:tcW w:w="562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Chief Commercial Officer and Director</w:t>
            </w:r>
          </w:p>
        </w:tc>
        <w:tc>
          <w:tcPr>
            <w:tcW w:w="4080" w:type="dxa"/>
            <w:vAlign w:val="bottom"/>
          </w:tcPr>
          <w:p>
            <w:pPr>
              <w:jc w:val="center"/>
              <w:ind w:left="1350"/>
              <w:spacing w:after="0"/>
              <w:rPr>
                <w:sz w:val="20"/>
                <w:szCs w:val="20"/>
                <w:color w:val="auto"/>
              </w:rPr>
            </w:pPr>
            <w:r>
              <w:rPr>
                <w:rFonts w:ascii="Arial" w:cs="Arial" w:eastAsia="Arial" w:hAnsi="Arial"/>
                <w:sz w:val="18"/>
                <w:szCs w:val="18"/>
                <w:i w:val="1"/>
                <w:iCs w:val="1"/>
                <w:color w:val="auto"/>
                <w:w w:val="92"/>
              </w:rPr>
              <w:t>Independent Director</w:t>
            </w:r>
          </w:p>
        </w:tc>
      </w:tr>
      <w:tr>
        <w:trPr>
          <w:trHeight w:val="323"/>
        </w:trPr>
        <w:tc>
          <w:tcPr>
            <w:tcW w:w="56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Joanne Curley, Ph.D.</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Shawn K. Singh, J.D.</w:t>
            </w:r>
          </w:p>
        </w:tc>
      </w:tr>
      <w:tr>
        <w:trPr>
          <w:trHeight w:val="230"/>
        </w:trPr>
        <w:tc>
          <w:tcPr>
            <w:tcW w:w="562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Independent Director</w:t>
            </w:r>
          </w:p>
        </w:tc>
        <w:tc>
          <w:tcPr>
            <w:tcW w:w="4080" w:type="dxa"/>
            <w:vAlign w:val="bottom"/>
          </w:tcPr>
          <w:p>
            <w:pPr>
              <w:jc w:val="center"/>
              <w:ind w:left="1330"/>
              <w:spacing w:after="0"/>
              <w:rPr>
                <w:sz w:val="20"/>
                <w:szCs w:val="20"/>
                <w:color w:val="auto"/>
              </w:rPr>
            </w:pPr>
            <w:r>
              <w:rPr>
                <w:rFonts w:ascii="Arial" w:cs="Arial" w:eastAsia="Arial" w:hAnsi="Arial"/>
                <w:sz w:val="18"/>
                <w:szCs w:val="18"/>
                <w:i w:val="1"/>
                <w:iCs w:val="1"/>
                <w:color w:val="auto"/>
                <w:w w:val="92"/>
              </w:rPr>
              <w:t>Chief Executive Officer and Director</w:t>
            </w:r>
          </w:p>
        </w:tc>
      </w:tr>
      <w:tr>
        <w:trPr>
          <w:trHeight w:val="323"/>
        </w:trPr>
        <w:tc>
          <w:tcPr>
            <w:tcW w:w="562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Margaret M. FitzPatrick, M.A.</w:t>
            </w:r>
          </w:p>
        </w:tc>
        <w:tc>
          <w:tcPr>
            <w:tcW w:w="4080" w:type="dxa"/>
            <w:vAlign w:val="bottom"/>
          </w:tcPr>
          <w:p>
            <w:pPr>
              <w:spacing w:after="0"/>
              <w:rPr>
                <w:sz w:val="24"/>
                <w:szCs w:val="24"/>
                <w:color w:val="auto"/>
              </w:rPr>
            </w:pPr>
          </w:p>
        </w:tc>
      </w:tr>
      <w:tr>
        <w:trPr>
          <w:trHeight w:val="230"/>
        </w:trPr>
        <w:tc>
          <w:tcPr>
            <w:tcW w:w="562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Independent Director</w:t>
            </w:r>
          </w:p>
        </w:tc>
        <w:tc>
          <w:tcPr>
            <w:tcW w:w="408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Required Vote and Recommendation</w:t>
            </w:r>
          </w:p>
        </w:tc>
        <w:tc>
          <w:tcPr>
            <w:tcW w:w="40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seven nominees receiving the highest number of affirmative votes will be elected to serve on our Board of Directors until our 2023 Annual Meeting of Stockholders, or until her or his successor is duly elected and qualified. Withholding authority to vote your shares with respect to one or more director nominees will have no effect on the election of those nominees. Broker non-votes are not considered votes cast and will also have no effect on the election of the nominees. Unless otherwise instructed or unless authority to vote is withheld, shares represented by executed proxies will be voted “FOR” the election of the nominees.</w:t>
      </w:r>
    </w:p>
    <w:p>
      <w:pPr>
        <w:sectPr>
          <w:pgSz w:w="11900" w:h="16838" w:orient="portrait"/>
          <w:cols w:equalWidth="0" w:num="1">
            <w:col w:w="11240"/>
          </w:cols>
          <w:pgMar w:left="320" w:top="796" w:right="339" w:bottom="1440" w:gutter="0" w:footer="0" w:header="0"/>
        </w:sectPr>
      </w:pP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Board recommends that the stockholders vote Gin, Ms. Rotunno and Mr. Singh.</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w:t>
      </w:r>
      <w:r>
        <w:rPr>
          <w:rFonts w:ascii="Arial" w:cs="Arial" w:eastAsia="Arial" w:hAnsi="Arial"/>
          <w:sz w:val="17"/>
          <w:szCs w:val="17"/>
          <w:b w:val="1"/>
          <w:bCs w:val="1"/>
          <w:color w:val="auto"/>
        </w:rPr>
        <w:t>the election of Mr. Saxe, Ms. Cunningham, Dr. Curley, Ms. FitzPatrick, Dr.</w:t>
      </w:r>
    </w:p>
    <w:p>
      <w:pPr>
        <w:spacing w:after="0" w:line="490" w:lineRule="exact"/>
        <w:rPr>
          <w:sz w:val="20"/>
          <w:szCs w:val="20"/>
          <w:color w:val="auto"/>
        </w:rPr>
      </w:pPr>
    </w:p>
    <w:p>
      <w:pPr>
        <w:sectPr>
          <w:pgSz w:w="11900" w:h="16838" w:orient="portrait"/>
          <w:cols w:equalWidth="0" w:num="2">
            <w:col w:w="4620" w:space="60"/>
            <w:col w:w="6560"/>
          </w:cols>
          <w:pgMar w:left="320" w:top="796"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Qualification and Experience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believes that our seven (7) director nominees provide our Company with the combined skills, experience and personal qualities needed for an effective, engaged and well-functioning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Nominee Diversity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seven (7) directors come from diverse backgrounds, drawing on their substantial experience in the pharmaceutical industry, finance, law and business. We comply with California SB 826, which requires a minimum of three female directors for corporations with six or more directors, and California AB 979, which requires corporations with nine or more directors to have a minimum of three directors from underrepresented communities. We also comply with Nasdaq Listing Rule 5605(f), which requires Nasdaq-listed companies to have at least two diverse directors, including one self-identified woman and one individual who self-identifies as an underrepresented minority or as LGBTQ+.</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certain highlights of the composition of our Board members and nominees as of August 16, 2022. Each of the categories listed in the table below has the meaning as it is used in Nasdaq Listing Rule 5605(f).</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420" w:type="dxa"/>
            <w:vAlign w:val="bottom"/>
            <w:tcBorders>
              <w:top w:val="single" w:sz="8" w:color="auto"/>
              <w:left w:val="single" w:sz="8" w:color="auto"/>
            </w:tcBorders>
            <w:shd w:val="clear" w:color="auto" w:fill="BBBBBB"/>
          </w:tcPr>
          <w:p>
            <w:pPr>
              <w:spacing w:after="0"/>
              <w:rPr>
                <w:sz w:val="18"/>
                <w:szCs w:val="18"/>
                <w:color w:val="auto"/>
              </w:rPr>
            </w:pPr>
          </w:p>
        </w:tc>
        <w:tc>
          <w:tcPr>
            <w:tcW w:w="2500" w:type="dxa"/>
            <w:vAlign w:val="bottom"/>
            <w:tcBorders>
              <w:top w:val="single" w:sz="8" w:color="auto"/>
            </w:tcBorders>
            <w:shd w:val="clear" w:color="auto" w:fill="BBBBBB"/>
          </w:tcPr>
          <w:p>
            <w:pPr>
              <w:jc w:val="center"/>
              <w:ind w:right="10"/>
              <w:spacing w:after="0"/>
              <w:rPr>
                <w:sz w:val="20"/>
                <w:szCs w:val="20"/>
                <w:color w:val="auto"/>
              </w:rPr>
            </w:pPr>
            <w:r>
              <w:rPr>
                <w:rFonts w:ascii="Arial" w:cs="Arial" w:eastAsia="Arial" w:hAnsi="Arial"/>
                <w:sz w:val="18"/>
                <w:szCs w:val="18"/>
                <w:b w:val="1"/>
                <w:bCs w:val="1"/>
                <w:color w:val="auto"/>
                <w:w w:val="94"/>
              </w:rPr>
              <w:t>Board Diversity Matrix</w:t>
            </w:r>
          </w:p>
        </w:tc>
        <w:tc>
          <w:tcPr>
            <w:tcW w:w="1000" w:type="dxa"/>
            <w:vAlign w:val="bottom"/>
            <w:tcBorders>
              <w:top w:val="single" w:sz="8" w:color="auto"/>
            </w:tcBorders>
            <w:shd w:val="clear" w:color="auto" w:fill="BBBBBB"/>
          </w:tcPr>
          <w:p>
            <w:pPr>
              <w:spacing w:after="0"/>
              <w:rPr>
                <w:sz w:val="18"/>
                <w:szCs w:val="18"/>
                <w:color w:val="auto"/>
              </w:rPr>
            </w:pPr>
          </w:p>
        </w:tc>
        <w:tc>
          <w:tcPr>
            <w:tcW w:w="1740" w:type="dxa"/>
            <w:vAlign w:val="bottom"/>
            <w:tcBorders>
              <w:top w:val="single" w:sz="8" w:color="auto"/>
            </w:tcBorders>
            <w:shd w:val="clear" w:color="auto" w:fill="BBBBBB"/>
          </w:tcPr>
          <w:p>
            <w:pPr>
              <w:spacing w:after="0"/>
              <w:rPr>
                <w:sz w:val="18"/>
                <w:szCs w:val="18"/>
                <w:color w:val="auto"/>
              </w:rPr>
            </w:pPr>
          </w:p>
        </w:tc>
        <w:tc>
          <w:tcPr>
            <w:tcW w:w="1580" w:type="dxa"/>
            <w:vAlign w:val="bottom"/>
            <w:tcBorders>
              <w:top w:val="single" w:sz="8" w:color="auto"/>
              <w:right w:val="single" w:sz="8" w:color="auto"/>
            </w:tcBorders>
            <w:shd w:val="clear" w:color="auto" w:fill="BBBBBB"/>
          </w:tcPr>
          <w:p>
            <w:pPr>
              <w:spacing w:after="0"/>
              <w:rPr>
                <w:sz w:val="18"/>
                <w:szCs w:val="18"/>
                <w:color w:val="auto"/>
              </w:rPr>
            </w:pPr>
          </w:p>
        </w:tc>
      </w:tr>
      <w:tr>
        <w:trPr>
          <w:trHeight w:val="227"/>
        </w:trPr>
        <w:tc>
          <w:tcPr>
            <w:tcW w:w="4420" w:type="dxa"/>
            <w:vAlign w:val="bottom"/>
            <w:tcBorders>
              <w:left w:val="single" w:sz="8" w:color="auto"/>
              <w:bottom w:val="single" w:sz="8" w:color="auto"/>
            </w:tcBorders>
            <w:shd w:val="clear" w:color="auto" w:fill="BBBBBB"/>
          </w:tcPr>
          <w:p>
            <w:pPr>
              <w:spacing w:after="0"/>
              <w:rPr>
                <w:sz w:val="19"/>
                <w:szCs w:val="19"/>
                <w:color w:val="auto"/>
              </w:rPr>
            </w:pPr>
          </w:p>
        </w:tc>
        <w:tc>
          <w:tcPr>
            <w:tcW w:w="2500" w:type="dxa"/>
            <w:vAlign w:val="bottom"/>
            <w:tcBorders>
              <w:bottom w:val="single" w:sz="8" w:color="auto"/>
            </w:tcBorders>
            <w:shd w:val="clear" w:color="auto" w:fill="BBBBBB"/>
          </w:tcPr>
          <w:p>
            <w:pPr>
              <w:jc w:val="center"/>
              <w:spacing w:after="0"/>
              <w:rPr>
                <w:sz w:val="20"/>
                <w:szCs w:val="20"/>
                <w:color w:val="auto"/>
              </w:rPr>
            </w:pPr>
            <w:r>
              <w:rPr>
                <w:rFonts w:ascii="Arial" w:cs="Arial" w:eastAsia="Arial" w:hAnsi="Arial"/>
                <w:sz w:val="18"/>
                <w:szCs w:val="18"/>
                <w:i w:val="1"/>
                <w:iCs w:val="1"/>
                <w:color w:val="auto"/>
                <w:w w:val="89"/>
              </w:rPr>
              <w:t>(As of August 16, 2022)</w:t>
            </w:r>
          </w:p>
        </w:tc>
        <w:tc>
          <w:tcPr>
            <w:tcW w:w="1000" w:type="dxa"/>
            <w:vAlign w:val="bottom"/>
            <w:tcBorders>
              <w:bottom w:val="single" w:sz="8" w:color="auto"/>
            </w:tcBorders>
            <w:shd w:val="clear" w:color="auto" w:fill="BBBBBB"/>
          </w:tcPr>
          <w:p>
            <w:pPr>
              <w:spacing w:after="0"/>
              <w:rPr>
                <w:sz w:val="19"/>
                <w:szCs w:val="19"/>
                <w:color w:val="auto"/>
              </w:rPr>
            </w:pPr>
          </w:p>
        </w:tc>
        <w:tc>
          <w:tcPr>
            <w:tcW w:w="1740" w:type="dxa"/>
            <w:vAlign w:val="bottom"/>
            <w:tcBorders>
              <w:bottom w:val="single" w:sz="8" w:color="auto"/>
            </w:tcBorders>
            <w:shd w:val="clear" w:color="auto" w:fill="BBBBBB"/>
          </w:tcPr>
          <w:p>
            <w:pPr>
              <w:spacing w:after="0"/>
              <w:rPr>
                <w:sz w:val="19"/>
                <w:szCs w:val="19"/>
                <w:color w:val="auto"/>
              </w:rPr>
            </w:pPr>
          </w:p>
        </w:tc>
        <w:tc>
          <w:tcPr>
            <w:tcW w:w="1580" w:type="dxa"/>
            <w:vAlign w:val="bottom"/>
            <w:tcBorders>
              <w:bottom w:val="single" w:sz="8" w:color="auto"/>
              <w:right w:val="single" w:sz="8" w:color="auto"/>
            </w:tcBorders>
            <w:shd w:val="clear" w:color="auto" w:fill="BBBBBB"/>
          </w:tcPr>
          <w:p>
            <w:pPr>
              <w:spacing w:after="0"/>
              <w:rPr>
                <w:sz w:val="19"/>
                <w:szCs w:val="19"/>
                <w:color w:val="auto"/>
              </w:rPr>
            </w:pPr>
          </w:p>
        </w:tc>
      </w:tr>
      <w:tr>
        <w:trPr>
          <w:trHeight w:val="213"/>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Number of Directors</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b w:val="1"/>
                <w:bCs w:val="1"/>
                <w:color w:val="auto"/>
                <w:w w:val="99"/>
              </w:rPr>
              <w:t>7</w:t>
            </w:r>
          </w:p>
        </w:tc>
        <w:tc>
          <w:tcPr>
            <w:tcW w:w="1580" w:type="dxa"/>
            <w:vAlign w:val="bottom"/>
            <w:tcBorders>
              <w:bottom w:val="single" w:sz="8" w:color="auto"/>
            </w:tcBorders>
          </w:tcPr>
          <w:p>
            <w:pPr>
              <w:spacing w:after="0"/>
              <w:rPr>
                <w:sz w:val="18"/>
                <w:szCs w:val="18"/>
                <w:color w:val="auto"/>
              </w:rPr>
            </w:pPr>
          </w:p>
        </w:tc>
      </w:tr>
      <w:tr>
        <w:trPr>
          <w:trHeight w:val="191"/>
        </w:trPr>
        <w:tc>
          <w:tcPr>
            <w:tcW w:w="4420" w:type="dxa"/>
            <w:vAlign w:val="bottom"/>
            <w:tcBorders>
              <w:left w:val="single" w:sz="8" w:color="E6E6E6"/>
            </w:tcBorders>
            <w:shd w:val="clear" w:color="auto" w:fill="E6E6E6"/>
          </w:tcPr>
          <w:p>
            <w:pPr>
              <w:spacing w:after="0"/>
              <w:rPr>
                <w:sz w:val="16"/>
                <w:szCs w:val="16"/>
                <w:color w:val="auto"/>
              </w:rPr>
            </w:pPr>
          </w:p>
        </w:tc>
        <w:tc>
          <w:tcPr>
            <w:tcW w:w="2500" w:type="dxa"/>
            <w:vAlign w:val="bottom"/>
            <w:shd w:val="clear" w:color="auto" w:fill="E6E6E6"/>
          </w:tcPr>
          <w:p>
            <w:pPr>
              <w:spacing w:after="0"/>
              <w:rPr>
                <w:sz w:val="16"/>
                <w:szCs w:val="16"/>
                <w:color w:val="auto"/>
              </w:rPr>
            </w:pPr>
          </w:p>
        </w:tc>
        <w:tc>
          <w:tcPr>
            <w:tcW w:w="1000" w:type="dxa"/>
            <w:vAlign w:val="bottom"/>
            <w:shd w:val="clear" w:color="auto" w:fill="E6E6E6"/>
          </w:tcPr>
          <w:p>
            <w:pPr>
              <w:spacing w:after="0"/>
              <w:rPr>
                <w:sz w:val="16"/>
                <w:szCs w:val="16"/>
                <w:color w:val="auto"/>
              </w:rPr>
            </w:pPr>
          </w:p>
        </w:tc>
        <w:tc>
          <w:tcPr>
            <w:tcW w:w="1740" w:type="dxa"/>
            <w:vAlign w:val="bottom"/>
            <w:shd w:val="clear" w:color="auto" w:fill="E6E6E6"/>
          </w:tcPr>
          <w:p>
            <w:pPr>
              <w:spacing w:after="0"/>
              <w:rPr>
                <w:sz w:val="16"/>
                <w:szCs w:val="16"/>
                <w:color w:val="auto"/>
              </w:rPr>
            </w:pPr>
          </w:p>
        </w:tc>
        <w:tc>
          <w:tcPr>
            <w:tcW w:w="1580" w:type="dxa"/>
            <w:vAlign w:val="bottom"/>
            <w:tcBorders>
              <w:right w:val="single" w:sz="8" w:color="E6E6E6"/>
            </w:tcBorders>
            <w:shd w:val="clear" w:color="auto" w:fill="E6E6E6"/>
          </w:tcPr>
          <w:p>
            <w:pPr>
              <w:jc w:val="center"/>
              <w:spacing w:after="0" w:line="191" w:lineRule="exact"/>
              <w:rPr>
                <w:sz w:val="20"/>
                <w:szCs w:val="20"/>
                <w:color w:val="auto"/>
              </w:rPr>
            </w:pPr>
            <w:r>
              <w:rPr>
                <w:rFonts w:ascii="Arial" w:cs="Arial" w:eastAsia="Arial" w:hAnsi="Arial"/>
                <w:sz w:val="18"/>
                <w:szCs w:val="18"/>
                <w:b w:val="1"/>
                <w:bCs w:val="1"/>
                <w:color w:val="auto"/>
                <w:w w:val="88"/>
              </w:rPr>
              <w:t>Did Not Disclose</w:t>
            </w:r>
          </w:p>
        </w:tc>
      </w:tr>
      <w:tr>
        <w:trPr>
          <w:trHeight w:val="234"/>
        </w:trPr>
        <w:tc>
          <w:tcPr>
            <w:tcW w:w="4420" w:type="dxa"/>
            <w:vAlign w:val="bottom"/>
            <w:tcBorders>
              <w:left w:val="single" w:sz="8" w:color="E6E6E6"/>
              <w:bottom w:val="single" w:sz="8" w:color="auto"/>
            </w:tcBorders>
            <w:shd w:val="clear" w:color="auto" w:fill="E6E6E6"/>
          </w:tcPr>
          <w:p>
            <w:pPr>
              <w:spacing w:after="0"/>
              <w:rPr>
                <w:sz w:val="20"/>
                <w:szCs w:val="20"/>
                <w:color w:val="auto"/>
              </w:rPr>
            </w:pPr>
          </w:p>
        </w:tc>
        <w:tc>
          <w:tcPr>
            <w:tcW w:w="2500" w:type="dxa"/>
            <w:vAlign w:val="bottom"/>
            <w:tcBorders>
              <w:bottom w:val="single" w:sz="8" w:color="auto"/>
            </w:tcBorders>
            <w:shd w:val="clear" w:color="auto" w:fill="E6E6E6"/>
          </w:tcPr>
          <w:p>
            <w:pPr>
              <w:ind w:left="1280"/>
              <w:spacing w:after="0"/>
              <w:rPr>
                <w:sz w:val="20"/>
                <w:szCs w:val="20"/>
                <w:color w:val="auto"/>
              </w:rPr>
            </w:pPr>
            <w:r>
              <w:rPr>
                <w:rFonts w:ascii="Arial" w:cs="Arial" w:eastAsia="Arial" w:hAnsi="Arial"/>
                <w:sz w:val="18"/>
                <w:szCs w:val="18"/>
                <w:b w:val="1"/>
                <w:bCs w:val="1"/>
                <w:color w:val="auto"/>
              </w:rPr>
              <w:t>Female</w:t>
            </w:r>
          </w:p>
        </w:tc>
        <w:tc>
          <w:tcPr>
            <w:tcW w:w="1000" w:type="dxa"/>
            <w:vAlign w:val="bottom"/>
            <w:tcBorders>
              <w:bottom w:val="single" w:sz="8" w:color="auto"/>
            </w:tcBorders>
            <w:shd w:val="clear" w:color="auto" w:fill="E6E6E6"/>
          </w:tcPr>
          <w:p>
            <w:pPr>
              <w:ind w:left="380"/>
              <w:spacing w:after="0"/>
              <w:rPr>
                <w:sz w:val="20"/>
                <w:szCs w:val="20"/>
                <w:color w:val="auto"/>
              </w:rPr>
            </w:pPr>
            <w:r>
              <w:rPr>
                <w:rFonts w:ascii="Arial" w:cs="Arial" w:eastAsia="Arial" w:hAnsi="Arial"/>
                <w:sz w:val="18"/>
                <w:szCs w:val="18"/>
                <w:b w:val="1"/>
                <w:bCs w:val="1"/>
                <w:color w:val="auto"/>
              </w:rPr>
              <w:t>Male</w:t>
            </w:r>
          </w:p>
        </w:tc>
        <w:tc>
          <w:tcPr>
            <w:tcW w:w="1740" w:type="dxa"/>
            <w:vAlign w:val="bottom"/>
            <w:tcBorders>
              <w:bottom w:val="single" w:sz="8" w:color="auto"/>
            </w:tcBorders>
            <w:shd w:val="clear" w:color="auto" w:fill="E6E6E6"/>
          </w:tcPr>
          <w:p>
            <w:pPr>
              <w:jc w:val="center"/>
              <w:ind w:left="310"/>
              <w:spacing w:after="0"/>
              <w:rPr>
                <w:sz w:val="20"/>
                <w:szCs w:val="20"/>
                <w:color w:val="auto"/>
              </w:rPr>
            </w:pPr>
            <w:r>
              <w:rPr>
                <w:rFonts w:ascii="Arial" w:cs="Arial" w:eastAsia="Arial" w:hAnsi="Arial"/>
                <w:sz w:val="18"/>
                <w:szCs w:val="18"/>
                <w:b w:val="1"/>
                <w:bCs w:val="1"/>
                <w:color w:val="auto"/>
                <w:w w:val="92"/>
              </w:rPr>
              <w:t>Non-Binary</w:t>
            </w:r>
          </w:p>
        </w:tc>
        <w:tc>
          <w:tcPr>
            <w:tcW w:w="1580" w:type="dxa"/>
            <w:vAlign w:val="bottom"/>
            <w:tcBorders>
              <w:bottom w:val="single" w:sz="8" w:color="auto"/>
              <w:right w:val="single" w:sz="8" w:color="E6E6E6"/>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Gender</w:t>
            </w:r>
          </w:p>
        </w:tc>
      </w:tr>
      <w:tr>
        <w:trPr>
          <w:trHeight w:val="210"/>
        </w:trPr>
        <w:tc>
          <w:tcPr>
            <w:tcW w:w="4420" w:type="dxa"/>
            <w:vAlign w:val="bottom"/>
            <w:tcBorders>
              <w:left w:val="single" w:sz="8" w:color="E6E6E6"/>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Gender Identity</w:t>
            </w:r>
          </w:p>
        </w:tc>
        <w:tc>
          <w:tcPr>
            <w:tcW w:w="250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spacing w:after="0"/>
              <w:rPr>
                <w:sz w:val="18"/>
                <w:szCs w:val="18"/>
                <w:color w:val="auto"/>
              </w:rPr>
            </w:pPr>
          </w:p>
        </w:tc>
        <w:tc>
          <w:tcPr>
            <w:tcW w:w="1740" w:type="dxa"/>
            <w:vAlign w:val="bottom"/>
            <w:tcBorders>
              <w:bottom w:val="single" w:sz="8" w:color="auto"/>
            </w:tcBorders>
            <w:shd w:val="clear" w:color="auto" w:fill="E6E6E6"/>
          </w:tcPr>
          <w:p>
            <w:pPr>
              <w:spacing w:after="0"/>
              <w:rPr>
                <w:sz w:val="18"/>
                <w:szCs w:val="18"/>
                <w:color w:val="auto"/>
              </w:rPr>
            </w:pP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25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79"/>
              </w:rPr>
              <w:t>4</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3</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420" w:type="dxa"/>
            <w:vAlign w:val="bottom"/>
            <w:tcBorders>
              <w:left w:val="single" w:sz="8" w:color="E6E6E6"/>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Demographic Background</w:t>
            </w:r>
          </w:p>
        </w:tc>
        <w:tc>
          <w:tcPr>
            <w:tcW w:w="250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spacing w:after="0"/>
              <w:rPr>
                <w:sz w:val="18"/>
                <w:szCs w:val="18"/>
                <w:color w:val="auto"/>
              </w:rPr>
            </w:pPr>
          </w:p>
        </w:tc>
        <w:tc>
          <w:tcPr>
            <w:tcW w:w="1740" w:type="dxa"/>
            <w:vAlign w:val="bottom"/>
            <w:tcBorders>
              <w:bottom w:val="single" w:sz="8" w:color="auto"/>
            </w:tcBorders>
            <w:shd w:val="clear" w:color="auto" w:fill="E6E6E6"/>
          </w:tcPr>
          <w:p>
            <w:pPr>
              <w:spacing w:after="0"/>
              <w:rPr>
                <w:sz w:val="18"/>
                <w:szCs w:val="18"/>
                <w:color w:val="auto"/>
              </w:rPr>
            </w:pP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African American or Black</w:t>
            </w:r>
          </w:p>
        </w:tc>
        <w:tc>
          <w:tcPr>
            <w:tcW w:w="25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79"/>
              </w:rPr>
              <w:t>1</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Alaskan Native or Native American</w:t>
            </w:r>
          </w:p>
        </w:tc>
        <w:tc>
          <w:tcPr>
            <w:tcW w:w="25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Asian</w:t>
            </w:r>
          </w:p>
        </w:tc>
        <w:tc>
          <w:tcPr>
            <w:tcW w:w="25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Hispanic or Latinx</w:t>
            </w:r>
          </w:p>
        </w:tc>
        <w:tc>
          <w:tcPr>
            <w:tcW w:w="25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Native Hawaiian or Pacific Islander</w:t>
            </w:r>
          </w:p>
        </w:tc>
        <w:tc>
          <w:tcPr>
            <w:tcW w:w="25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White</w:t>
            </w:r>
          </w:p>
        </w:tc>
        <w:tc>
          <w:tcPr>
            <w:tcW w:w="25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79"/>
              </w:rPr>
              <w:t>3</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Two or More Races or Ethnicities</w:t>
            </w:r>
          </w:p>
        </w:tc>
        <w:tc>
          <w:tcPr>
            <w:tcW w:w="25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1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LGBTQ+</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spacing w:after="0"/>
              <w:rPr>
                <w:sz w:val="18"/>
                <w:szCs w:val="18"/>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Did Not Disclose Demographic Background</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auto"/>
            </w:tcBorders>
          </w:tcPr>
          <w:p>
            <w:pPr>
              <w:spacing w:after="0"/>
              <w:rPr>
                <w:sz w:val="18"/>
                <w:szCs w:val="18"/>
                <w:color w:val="auto"/>
              </w:rPr>
            </w:pPr>
          </w:p>
        </w:tc>
      </w:tr>
      <w:tr>
        <w:trPr>
          <w:trHeight w:val="425"/>
        </w:trPr>
        <w:tc>
          <w:tcPr>
            <w:tcW w:w="4420" w:type="dxa"/>
            <w:vAlign w:val="bottom"/>
          </w:tcPr>
          <w:p>
            <w:pPr>
              <w:spacing w:after="0"/>
              <w:rPr>
                <w:sz w:val="20"/>
                <w:szCs w:val="20"/>
                <w:color w:val="auto"/>
              </w:rPr>
            </w:pPr>
            <w:r>
              <w:rPr>
                <w:rFonts w:ascii="Arial" w:cs="Arial" w:eastAsia="Arial" w:hAnsi="Arial"/>
                <w:sz w:val="18"/>
                <w:szCs w:val="18"/>
                <w:color w:val="auto"/>
                <w:w w:val="99"/>
              </w:rPr>
              <w:t>* Did not disclose with respect to LGBTQ+ background.</w:t>
            </w: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4420" w:type="dxa"/>
            <w:vAlign w:val="bottom"/>
          </w:tcPr>
          <w:p>
            <w:pPr>
              <w:spacing w:after="0"/>
              <w:rPr>
                <w:sz w:val="24"/>
                <w:szCs w:val="24"/>
                <w:color w:val="auto"/>
              </w:rPr>
            </w:pPr>
          </w:p>
        </w:tc>
        <w:tc>
          <w:tcPr>
            <w:tcW w:w="2500" w:type="dxa"/>
            <w:vAlign w:val="bottom"/>
          </w:tcPr>
          <w:p>
            <w:pPr>
              <w:jc w:val="center"/>
              <w:ind w:right="10"/>
              <w:spacing w:after="0"/>
              <w:rPr>
                <w:sz w:val="20"/>
                <w:szCs w:val="20"/>
                <w:color w:val="auto"/>
              </w:rPr>
            </w:pPr>
            <w:r>
              <w:rPr>
                <w:rFonts w:ascii="Arial" w:cs="Arial" w:eastAsia="Arial" w:hAnsi="Arial"/>
                <w:sz w:val="18"/>
                <w:szCs w:val="18"/>
                <w:color w:val="auto"/>
                <w:w w:val="90"/>
              </w:rPr>
              <w:t>-6-</w:t>
            </w: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Director Nominee Experience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brief description of our current directors, each of whom has been nominated by Board to stand for re-election as a director at the Annual Meeting. The age indicated in each nominee’s biography is as of [•], 2022, the date of this Proxy Statement. There are no arrangements or understandings by which any of the directors or nominees for director of the Company were selected, and there are no family relationships between any of the directors, nominees or executive officers.</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 xml:space="preserve">Jon S. Saxe, J.D., LL.M. </w:t>
      </w:r>
      <w:r>
        <w:rPr>
          <w:rFonts w:ascii="Arial" w:cs="Arial" w:eastAsia="Arial" w:hAnsi="Arial"/>
          <w:sz w:val="18"/>
          <w:szCs w:val="18"/>
          <w:i w:val="1"/>
          <w:iCs w:val="1"/>
          <w:color w:val="auto"/>
        </w:rPr>
        <w:t>Chairman and Independent Director Age 86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Mr. Saxe has served as Chairman of our Board since 2000, first as Chairman of the Board of Directors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Chairman of our Board after the merger by and between the Company and VistaGen California on May 11, 2011, at which time VistaGen California became a wholly-owned subsidiary of the Company (the </w:t>
      </w:r>
      <w:r>
        <w:rPr>
          <w:rFonts w:ascii="Arial" w:cs="Arial" w:eastAsia="Arial" w:hAnsi="Arial"/>
          <w:sz w:val="16"/>
          <w:szCs w:val="16"/>
          <w:i w:val="1"/>
          <w:iCs w:val="1"/>
          <w:color w:val="auto"/>
        </w:rPr>
        <w:t>Merger</w:t>
      </w:r>
      <w:r>
        <w:rPr>
          <w:rFonts w:ascii="Arial" w:cs="Arial" w:eastAsia="Arial" w:hAnsi="Arial"/>
          <w:sz w:val="16"/>
          <w:szCs w:val="16"/>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Kyto Technology and Life Science, and also serves as a director of six additional private life science companies, Achelios, Arbor Vita Corporation, Aether, Inc., Arcuo Medical, LLC,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-2357120</wp:posOffset>
            </wp:positionV>
            <wp:extent cx="7132320" cy="171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122555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00"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 M. Cunningham, MBA</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i w:val="1"/>
          <w:iCs w:val="1"/>
          <w:color w:val="auto"/>
        </w:rPr>
        <w:t>Chief Commercial Officer and Director Age 54</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Ms. Cunningham has served as a member of our Board since January 2019 and was appointed to serve as the Company’s Chief Commercial Officer on May 1, 2021. Prior to joining the Company, Ms. Cunningham was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-1400810</wp:posOffset>
            </wp:positionV>
            <wp:extent cx="7132320" cy="1714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51435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060" w:space="720"/>
            <w:col w:w="7460"/>
          </w:cols>
          <w:pgMar w:left="320" w:top="814" w:right="339" w:bottom="1440" w:gutter="0" w:footer="0" w:header="0"/>
        </w:sect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Joanne Curley, Ph.D.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Independent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54</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Dr. Curley has served as a member of our Board of Directors since April 2021. Dr. Curley brings more than 25 years of experience in the 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-1808480</wp:posOffset>
            </wp:positionV>
            <wp:extent cx="7132320" cy="1071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71245"/>
                    </a:xfrm>
                    <a:prstGeom prst="rect">
                      <a:avLst/>
                    </a:prstGeom>
                    <a:noFill/>
                  </pic:spPr>
                </pic:pic>
              </a:graphicData>
            </a:graphic>
          </wp:anchor>
        </w:drawing>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selected Dr. Curley to serve on our Board of Directors due to her extensive experience in early product development, regulatory approval and commercialization of pharmaceutical products, giving her a unique perspective of the life cycle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125730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8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b w:val="1"/>
          <w:bCs w:val="1"/>
          <w:i w:val="1"/>
          <w:iCs w:val="1"/>
          <w:color w:val="auto"/>
        </w:rPr>
        <w:t xml:space="preserve">Margaret M. FitzPatrick, M.A. </w:t>
      </w:r>
      <w:r>
        <w:rPr>
          <w:rFonts w:ascii="Arial" w:cs="Arial" w:eastAsia="Arial" w:hAnsi="Arial"/>
          <w:sz w:val="18"/>
          <w:szCs w:val="18"/>
          <w:i w:val="1"/>
          <w:iCs w:val="1"/>
          <w:color w:val="auto"/>
        </w:rPr>
        <w:t>Independent Director Age 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Ms. FitzPatrick has served on our Board of Directors since July 2021. Ms. FitzPatrick is a globally recognized corporate affairs executive who has been honored with several prestigious awards, including the Washington Business Journal’s C-Suite Executive of the Year Class (2019), PR Week’s Top 50 Most Powerful People in PR (2015) and PR Week’s Hall of Femme (2019). Recently, she served as Chief Corporate Affairs Officer of the Exelon Corporation, a Fortune 100 diversified clean energy company, from 2016 to 2020. Prior to her time at Exelon Corporation, Ms. FitzPatrick served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such as eBay and United Airlines, among others. Ms. FitzPatrick currently serves on the board of directors of AN2 Therapeutics, Inc. (NASDAQ: ANTX), as well as the board of the Southeast Tennis and Learning Center in Washington, D.C. In 2020 and was appointed by DC Mayor Muriel Bowser to serve as a Commissioner on the DC Commission on the Arts and Humanities. Ms. FitzPatrick holds a B.A. in English and Policy Studies from Syracuse University, and an M.A. in Public Policy from The George Washington University. In 2018, she completed the Harvard Business School program for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-2484755</wp:posOffset>
            </wp:positionV>
            <wp:extent cx="7132320" cy="1714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selected Ms. FitzPatrick to serve on the Board due to her extensive experience developing and executing multiple high impact customer-focused marketing communications initiatives for some of the world’s largest and most successful companies. The Board believes Ms. FitzPatrick’s expertise in positioning companies and products through public relations, marketing and digital media campaigns will provide valuable contributions to the Company both before and after commercial launch of the Company’s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131445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4" w:right="3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120"/>
        <w:spacing w:after="0" w:line="263" w:lineRule="auto"/>
        <w:rPr>
          <w:sz w:val="20"/>
          <w:szCs w:val="20"/>
          <w:color w:val="auto"/>
        </w:rPr>
      </w:pPr>
      <w:r>
        <w:rPr>
          <w:rFonts w:ascii="Arial" w:cs="Arial" w:eastAsia="Arial" w:hAnsi="Arial"/>
          <w:sz w:val="18"/>
          <w:szCs w:val="18"/>
          <w:b w:val="1"/>
          <w:bCs w:val="1"/>
          <w:i w:val="1"/>
          <w:iCs w:val="1"/>
          <w:color w:val="auto"/>
        </w:rPr>
        <w:t xml:space="preserve">Jerry B. Gin, Ph.D., MBA </w:t>
      </w:r>
      <w:r>
        <w:rPr>
          <w:rFonts w:ascii="Arial" w:cs="Arial" w:eastAsia="Arial" w:hAnsi="Arial"/>
          <w:sz w:val="18"/>
          <w:szCs w:val="18"/>
          <w:i w:val="1"/>
          <w:iCs w:val="1"/>
          <w:color w:val="auto"/>
        </w:rPr>
        <w:t>Independent Director Age 79</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7"/>
          <w:szCs w:val="17"/>
          <w:color w:val="auto"/>
        </w:rPr>
        <w:t>Dr. Gin has served on our Board of Directors since March 2016. Dr. Gin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-2216785</wp:posOffset>
            </wp:positionV>
            <wp:extent cx="7132320" cy="171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127635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Mary L. Rotunno, J.D.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Ms. Rotunno has served as a member of our Board since July 2021. Ms. Rotunno has served as General Counsel of El Camino Health, a health 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-1939290</wp:posOffset>
            </wp:positionV>
            <wp:extent cx="7132320" cy="1714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selected Ms. Rotunno to serve on our Board of Directors due to her extensive experience as an advocate for both patients and health 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-15875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4" w:right="3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Shawn K. Singh, J.D.</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Chief Executive Officer and Director Age 59</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Mr. Singh has served as our Chief Executive Officer since August 2009, first as the Chief Executive Officer of VistaGen California, then as Chief Executive Officer of the Company after the Merger.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-2763520</wp:posOffset>
            </wp:positionV>
            <wp:extent cx="7132320" cy="1714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128270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4"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Effective April 1, 2021, our Board adopted a director compensation policy for the independent directors of our Board, as “independent” is defined by the rules of The NASDAQ Stock Market, the details of which are set forth below:</w:t>
      </w:r>
    </w:p>
    <w:p>
      <w:pPr>
        <w:spacing w:after="0" w:line="38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Schedule of Director Fees, effective 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40119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47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jc w:val="right"/>
              <w:ind w:right="660"/>
              <w:spacing w:after="0" w:line="256" w:lineRule="exact"/>
              <w:rPr>
                <w:sz w:val="20"/>
                <w:szCs w:val="20"/>
                <w:color w:val="auto"/>
              </w:rPr>
            </w:pPr>
            <w:r>
              <w:rPr>
                <w:rFonts w:ascii="Arial" w:cs="Arial" w:eastAsia="Arial" w:hAnsi="Arial"/>
                <w:sz w:val="18"/>
                <w:szCs w:val="18"/>
                <w:b w:val="1"/>
                <w:bCs w:val="1"/>
                <w:color w:val="auto"/>
              </w:rPr>
              <w:t>Cash</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r>
      <w:tr>
        <w:trPr>
          <w:trHeight w:val="191"/>
        </w:trPr>
        <w:tc>
          <w:tcPr>
            <w:tcW w:w="47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Director Annual Retainer</w:t>
            </w:r>
          </w:p>
        </w:tc>
        <w:tc>
          <w:tcPr>
            <w:tcW w:w="140" w:type="dxa"/>
            <w:vAlign w:val="bottom"/>
          </w:tcPr>
          <w:p>
            <w:pPr>
              <w:spacing w:after="0"/>
              <w:rPr>
                <w:sz w:val="16"/>
                <w:szCs w:val="16"/>
                <w:color w:val="auto"/>
              </w:rPr>
            </w:pPr>
          </w:p>
        </w:tc>
        <w:tc>
          <w:tcPr>
            <w:tcW w:w="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6"/>
                <w:szCs w:val="16"/>
                <w:color w:val="auto"/>
              </w:rPr>
            </w:pPr>
          </w:p>
        </w:tc>
      </w:tr>
      <w:tr>
        <w:trPr>
          <w:trHeight w:val="220"/>
        </w:trPr>
        <w:tc>
          <w:tcPr>
            <w:tcW w:w="478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r>
      <w:tr>
        <w:trPr>
          <w:trHeight w:val="212"/>
        </w:trPr>
        <w:tc>
          <w:tcPr>
            <w:tcW w:w="4780" w:type="dxa"/>
            <w:vAlign w:val="bottom"/>
          </w:tcPr>
          <w:p>
            <w:pPr>
              <w:spacing w:after="0"/>
              <w:rPr>
                <w:sz w:val="20"/>
                <w:szCs w:val="20"/>
                <w:color w:val="auto"/>
              </w:rPr>
            </w:pPr>
            <w:r>
              <w:rPr>
                <w:rFonts w:ascii="Arial" w:cs="Arial" w:eastAsia="Arial" w:hAnsi="Arial"/>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20"/>
        </w:trPr>
        <w:tc>
          <w:tcPr>
            <w:tcW w:w="4780" w:type="dxa"/>
            <w:vAlign w:val="bottom"/>
          </w:tcPr>
          <w:p>
            <w:pPr>
              <w:spacing w:after="0"/>
              <w:rPr>
                <w:sz w:val="20"/>
                <w:szCs w:val="20"/>
                <w:color w:val="auto"/>
              </w:rPr>
            </w:pPr>
            <w:r>
              <w:rPr>
                <w:rFonts w:ascii="Arial" w:cs="Arial" w:eastAsia="Arial" w:hAnsi="Arial"/>
                <w:sz w:val="18"/>
                <w:szCs w:val="18"/>
                <w:b w:val="1"/>
                <w:bCs w:val="1"/>
                <w:color w:val="auto"/>
              </w:rPr>
              <w:t>Compensation Committee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12"/>
        </w:trPr>
        <w:tc>
          <w:tcPr>
            <w:tcW w:w="4780" w:type="dxa"/>
            <w:vAlign w:val="bottom"/>
          </w:tcPr>
          <w:p>
            <w:pPr>
              <w:spacing w:after="0"/>
              <w:rPr>
                <w:sz w:val="20"/>
                <w:szCs w:val="20"/>
                <w:color w:val="auto"/>
              </w:rPr>
            </w:pPr>
            <w:r>
              <w:rPr>
                <w:rFonts w:ascii="Arial" w:cs="Arial" w:eastAsia="Arial" w:hAnsi="Arial"/>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20"/>
        </w:trPr>
        <w:tc>
          <w:tcPr>
            <w:tcW w:w="4780" w:type="dxa"/>
            <w:vAlign w:val="bottom"/>
          </w:tcPr>
          <w:p>
            <w:pPr>
              <w:spacing w:after="0"/>
              <w:rPr>
                <w:sz w:val="20"/>
                <w:szCs w:val="20"/>
                <w:color w:val="auto"/>
              </w:rPr>
            </w:pPr>
            <w:r>
              <w:rPr>
                <w:rFonts w:ascii="Arial" w:cs="Arial" w:eastAsia="Arial" w:hAnsi="Arial"/>
                <w:sz w:val="18"/>
                <w:szCs w:val="18"/>
                <w:b w:val="1"/>
                <w:bCs w:val="1"/>
                <w:color w:val="auto"/>
              </w:rPr>
              <w:t>Corporate Governance and Nominating Committee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463740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463740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46374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463740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463740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1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w:t>
        <w:tab/>
        <w:t>Cash fees payable in quarterly installments.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w:t>
      </w:r>
      <w:r>
        <w:rPr>
          <w:rFonts w:ascii="Arial" w:cs="Arial" w:eastAsia="Arial" w:hAnsi="Arial"/>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2494280" cy="1379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1379855"/>
                    </a:xfrm>
                    <a:prstGeom prst="rect">
                      <a:avLst/>
                    </a:prstGeom>
                    <a:noFill/>
                  </pic:spPr>
                </pic:pic>
              </a:graphicData>
            </a:graphic>
          </wp:anchor>
        </w:drawing>
      </w:r>
    </w:p>
    <w:p>
      <w:pPr>
        <w:jc w:val="both"/>
        <w:spacing w:after="0" w:line="288" w:lineRule="auto"/>
        <w:rPr>
          <w:sz w:val="20"/>
          <w:szCs w:val="20"/>
          <w:color w:val="auto"/>
        </w:rPr>
      </w:pPr>
      <w:r>
        <w:rPr>
          <w:rFonts w:ascii="Arial" w:cs="Arial" w:eastAsia="Arial" w:hAnsi="Arial"/>
          <w:sz w:val="16"/>
          <w:szCs w:val="16"/>
          <w:color w:val="auto"/>
        </w:rPr>
        <w:t>Independent directors serving on the Board will be entitled to the following equity awards: (i) a one-time grant of stock options upon appointment to the Board in an amount to be determined at the sole discretion of the Compensation Committee, and (ii) an annual grant of stock options or restricted stock to be determined at the sole discretion of the Compensation Committee.</w:t>
      </w:r>
    </w:p>
    <w:p>
      <w:pPr>
        <w:spacing w:after="0" w:line="1113" w:lineRule="exact"/>
        <w:rPr>
          <w:sz w:val="20"/>
          <w:szCs w:val="20"/>
          <w:color w:val="auto"/>
        </w:rPr>
      </w:pPr>
    </w:p>
    <w:p>
      <w:pPr>
        <w:sectPr>
          <w:pgSz w:w="11900" w:h="16838" w:orient="portrait"/>
          <w:cols w:equalWidth="0" w:num="2">
            <w:col w:w="6980" w:space="340"/>
            <w:col w:w="3920"/>
          </w:cols>
          <w:pgMar w:left="320" w:top="796" w:right="339" w:bottom="1440" w:gutter="0" w:footer="0" w:header="0"/>
          <w:type w:val="continuous"/>
        </w:sectPr>
      </w:pPr>
    </w:p>
    <w:p>
      <w:pPr>
        <w:spacing w:after="0" w:line="25" w:lineRule="exact"/>
        <w:rPr>
          <w:sz w:val="20"/>
          <w:szCs w:val="20"/>
          <w:color w:val="auto"/>
        </w:rPr>
      </w:pPr>
    </w:p>
    <w:p>
      <w:pPr>
        <w:jc w:val="both"/>
        <w:ind w:left="420" w:hanging="412"/>
        <w:spacing w:after="0" w:line="263"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awards issued pursuant to the Director Compensation Plan will be issued pursuant to the 2019 Plan, (defined below) or a successor plan, if any. Each award issued under the Director Compensation Plan will vest in equal monthly installments over a 12-month period beginning on the date of issuance.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paid our independent directors cash compensation consistent with the policy noted above during our fiscal year ended March 31, 2022.</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noted in their biographies above, Dr. Curley was appointed to our Board in April 2021 and Ms. FitzPatrick and Ms. Rotunno were appointed to the Board during July 2021. Upon appointment, each new director was granted an option to purchase 75,000 shares of our common stock under the terms of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at an exercise price equal to the market price of our common stock on their respective date of appointment. The options become exercisable ratably monthly over the 12 months following the date of grant. On May 1, 2021, Ms. Cunningham joined the Company as our Chief Commercial Officer and, accordingly, she was no longer considered an independent director under the standards established by the SEC and the rules of The NASDAQ Stock Market. Dr. Underdown retired from the Board on July 21, 2021, prior to Ms. FitzPatrick’s appointment. Dr. Curley, Ms. FitzPatrick, Ms. Rotunno, Ms. Cunningham and Mr. Underdown were each paid cash compensation for their Board and committee service for the portion of the fiscal year ended March 31, 2022 during which they were considered independent directors.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 2022, we granted to each of our five current independent directors an option to purchase 100,000 shares of our common stock at an exercise price of $1.37 per share under the terms of our 2019 Plan. Each option becomes exercisable ratably monthly over the 12 months following the date of grant and each grant expires ten years after the date of grant.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a summary of the compensation earned by our independent, non-employee directors in our fiscal year ended March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Paid in</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w:t>
            </w: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line="216" w:lineRule="exact"/>
              <w:rPr>
                <w:sz w:val="20"/>
                <w:szCs w:val="20"/>
                <w:color w:val="auto"/>
              </w:rPr>
            </w:pPr>
            <w:r>
              <w:rPr>
                <w:rFonts w:ascii="Arial" w:cs="Arial" w:eastAsia="Arial" w:hAnsi="Arial"/>
                <w:sz w:val="16"/>
                <w:szCs w:val="16"/>
                <w:b w:val="1"/>
                <w:bCs w:val="1"/>
                <w:color w:val="auto"/>
                <w:w w:val="94"/>
              </w:rPr>
              <w:t>Cash</w:t>
            </w:r>
            <w:r>
              <w:rPr>
                <w:rFonts w:ascii="Arial" w:cs="Arial" w:eastAsia="Arial" w:hAnsi="Arial"/>
                <w:sz w:val="25"/>
                <w:szCs w:val="25"/>
                <w:b w:val="1"/>
                <w:bCs w:val="1"/>
                <w:color w:val="auto"/>
                <w:w w:val="94"/>
                <w:vertAlign w:val="superscript"/>
              </w:rPr>
              <w:t>(1)</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Awards</w:t>
            </w:r>
            <w:r>
              <w:rPr>
                <w:rFonts w:ascii="Arial" w:cs="Arial" w:eastAsia="Arial" w:hAnsi="Arial"/>
                <w:sz w:val="14"/>
                <w:szCs w:val="14"/>
                <w:b w:val="1"/>
                <w:bCs w:val="1"/>
                <w:color w:val="auto"/>
                <w:w w:val="97"/>
              </w:rPr>
              <w:t>(2)(11)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09"/>
        </w:trPr>
        <w:tc>
          <w:tcPr>
            <w:tcW w:w="37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Jon S. Saxe</w:t>
            </w:r>
            <w:r>
              <w:rPr>
                <w:rFonts w:ascii="Arial" w:cs="Arial" w:eastAsia="Arial" w:hAnsi="Arial"/>
                <w:sz w:val="24"/>
                <w:szCs w:val="24"/>
                <w:color w:val="auto"/>
                <w:vertAlign w:val="superscript"/>
              </w:rPr>
              <w:t>(4)</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160,639</w:t>
            </w:r>
          </w:p>
        </w:tc>
      </w:tr>
      <w:tr>
        <w:trPr>
          <w:trHeight w:val="216"/>
        </w:trPr>
        <w:tc>
          <w:tcPr>
            <w:tcW w:w="3700" w:type="dxa"/>
            <w:vAlign w:val="bottom"/>
          </w:tcPr>
          <w:p>
            <w:pPr>
              <w:spacing w:after="0" w:line="216" w:lineRule="exact"/>
              <w:rPr>
                <w:sz w:val="20"/>
                <w:szCs w:val="20"/>
                <w:color w:val="auto"/>
              </w:rPr>
            </w:pPr>
            <w:r>
              <w:rPr>
                <w:rFonts w:ascii="Arial" w:cs="Arial" w:eastAsia="Arial" w:hAnsi="Arial"/>
                <w:sz w:val="16"/>
                <w:szCs w:val="16"/>
                <w:color w:val="auto"/>
              </w:rPr>
              <w:t>Joanne Curley</w:t>
            </w:r>
            <w:r>
              <w:rPr>
                <w:rFonts w:ascii="Arial" w:cs="Arial" w:eastAsia="Arial" w:hAnsi="Arial"/>
                <w:sz w:val="25"/>
                <w:szCs w:val="25"/>
                <w:color w:val="auto"/>
                <w:vertAlign w:val="superscript"/>
              </w:rPr>
              <w:t>(5)</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51,563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196,824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248,387</w:t>
            </w:r>
          </w:p>
        </w:tc>
      </w:tr>
      <w:tr>
        <w:trPr>
          <w:trHeight w:val="216"/>
        </w:trPr>
        <w:tc>
          <w:tcPr>
            <w:tcW w:w="3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Ann M. Cunningham</w:t>
            </w:r>
            <w:r>
              <w:rPr>
                <w:rFonts w:ascii="Arial" w:cs="Arial" w:eastAsia="Arial" w:hAnsi="Arial"/>
                <w:sz w:val="25"/>
                <w:szCs w:val="25"/>
                <w:color w:val="auto"/>
                <w:vertAlign w:val="superscript"/>
              </w:rPr>
              <w:t>(6)</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4,583</w:t>
            </w:r>
          </w:p>
        </w:tc>
      </w:tr>
      <w:tr>
        <w:trPr>
          <w:trHeight w:val="216"/>
        </w:trPr>
        <w:tc>
          <w:tcPr>
            <w:tcW w:w="3700" w:type="dxa"/>
            <w:vAlign w:val="bottom"/>
          </w:tcPr>
          <w:p>
            <w:pPr>
              <w:spacing w:after="0" w:line="216" w:lineRule="exact"/>
              <w:rPr>
                <w:sz w:val="20"/>
                <w:szCs w:val="20"/>
                <w:color w:val="auto"/>
              </w:rPr>
            </w:pPr>
            <w:r>
              <w:rPr>
                <w:rFonts w:ascii="Arial" w:cs="Arial" w:eastAsia="Arial" w:hAnsi="Arial"/>
                <w:sz w:val="16"/>
                <w:szCs w:val="16"/>
                <w:color w:val="auto"/>
              </w:rPr>
              <w:t>Margaret M. FitzPatrick</w:t>
            </w:r>
            <w:r>
              <w:rPr>
                <w:rFonts w:ascii="Arial" w:cs="Arial" w:eastAsia="Arial" w:hAnsi="Arial"/>
                <w:sz w:val="25"/>
                <w:szCs w:val="25"/>
                <w:color w:val="auto"/>
                <w:vertAlign w:val="superscript"/>
              </w:rPr>
              <w:t>(7)</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38,111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234,059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272,170</w:t>
            </w:r>
          </w:p>
        </w:tc>
      </w:tr>
      <w:tr>
        <w:trPr>
          <w:trHeight w:val="216"/>
        </w:trPr>
        <w:tc>
          <w:tcPr>
            <w:tcW w:w="3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Jerry B. Gin</w:t>
            </w:r>
            <w:r>
              <w:rPr>
                <w:rFonts w:ascii="Arial" w:cs="Arial" w:eastAsia="Arial" w:hAnsi="Arial"/>
                <w:sz w:val="25"/>
                <w:szCs w:val="25"/>
                <w:color w:val="auto"/>
                <w:vertAlign w:val="superscript"/>
              </w:rPr>
              <w:t>(8)</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71,563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160,952</w:t>
            </w:r>
          </w:p>
        </w:tc>
      </w:tr>
      <w:tr>
        <w:trPr>
          <w:trHeight w:val="216"/>
        </w:trPr>
        <w:tc>
          <w:tcPr>
            <w:tcW w:w="3700" w:type="dxa"/>
            <w:vAlign w:val="bottom"/>
          </w:tcPr>
          <w:p>
            <w:pPr>
              <w:spacing w:after="0" w:line="216" w:lineRule="exact"/>
              <w:rPr>
                <w:sz w:val="20"/>
                <w:szCs w:val="20"/>
                <w:color w:val="auto"/>
              </w:rPr>
            </w:pPr>
            <w:r>
              <w:rPr>
                <w:rFonts w:ascii="Arial" w:cs="Arial" w:eastAsia="Arial" w:hAnsi="Arial"/>
                <w:sz w:val="16"/>
                <w:szCs w:val="16"/>
                <w:color w:val="auto"/>
              </w:rPr>
              <w:t>Mary L. Rotunno</w:t>
            </w:r>
            <w:r>
              <w:rPr>
                <w:rFonts w:ascii="Arial" w:cs="Arial" w:eastAsia="Arial" w:hAnsi="Arial"/>
                <w:sz w:val="25"/>
                <w:szCs w:val="25"/>
                <w:color w:val="auto"/>
                <w:vertAlign w:val="superscript"/>
              </w:rPr>
              <w:t>(9)</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51,359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254,145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305,504</w:t>
            </w:r>
          </w:p>
        </w:tc>
      </w:tr>
      <w:tr>
        <w:trPr>
          <w:trHeight w:val="216"/>
        </w:trPr>
        <w:tc>
          <w:tcPr>
            <w:tcW w:w="3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Brian J. Underdown</w:t>
            </w:r>
            <w:r>
              <w:rPr>
                <w:rFonts w:ascii="Arial" w:cs="Arial" w:eastAsia="Arial" w:hAnsi="Arial"/>
                <w:sz w:val="25"/>
                <w:szCs w:val="25"/>
                <w:color w:val="auto"/>
                <w:vertAlign w:val="superscript"/>
              </w:rPr>
              <w:t>(10)</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23,030</w:t>
            </w:r>
          </w:p>
        </w:tc>
      </w:tr>
      <w:tr>
        <w:trPr>
          <w:trHeight w:val="432"/>
        </w:trPr>
        <w:tc>
          <w:tcPr>
            <w:tcW w:w="3700" w:type="dxa"/>
            <w:vAlign w:val="bottom"/>
          </w:tcPr>
          <w:p>
            <w:pPr>
              <w:spacing w:after="0"/>
              <w:rPr>
                <w:sz w:val="24"/>
                <w:szCs w:val="24"/>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6" w:right="339" w:bottom="1440" w:gutter="0" w:footer="0" w:header="0"/>
          <w:type w:val="continuous"/>
        </w:sectPr>
      </w:pPr>
    </w:p>
    <w:bookmarkStart w:id="16" w:name="page17"/>
    <w:bookmarkEnd w:id="16"/>
    <w:p>
      <w:pPr>
        <w:ind w:left="620" w:right="20" w:hanging="612"/>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shown represent fees earned for service on our Board, and Audit Committee, Compensation Committee and Corporate Governance and Nominating Committee during Fiscal 2022, which amounts were paid in full during Fiscal 2022.</w:t>
      </w:r>
    </w:p>
    <w:p>
      <w:pPr>
        <w:spacing w:after="0" w:line="170" w:lineRule="exact"/>
        <w:rPr>
          <w:rFonts w:ascii="Arial" w:cs="Arial" w:eastAsia="Arial" w:hAnsi="Arial"/>
          <w:sz w:val="18"/>
          <w:szCs w:val="18"/>
          <w:color w:val="auto"/>
        </w:rPr>
      </w:pPr>
    </w:p>
    <w:p>
      <w:pPr>
        <w:jc w:val="both"/>
        <w:ind w:left="620" w:hanging="612"/>
        <w:spacing w:after="0" w:line="27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amounts in the “Option Awards” column do not represent any cash payments actually received by Mr. Saxe, Dr. Curley, Ms. FitzPatrick, Dr. Gin or Ms. Rotunno with respect to any of such stock options awarded to them during Fiscal 2022. Rather, the amounts represent the aggregate grant date fair value of options to purchase shares of our common stock awarded to each of Mr. Saxe, Dr. Curley, Ms. FitzPatrick, Dr. Gin and Ms. Rotunno during Fiscal 2022,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To date, Mr. Saxe, Dr. Curley, Ms. FitzPatrick, Dr. Gin and Ms. Rotunno have not exercised any of the options granted during Fiscal 2022, and there can be no assurance that any of them will ever realize the full ASC 718 grant date fair value amounts presented in the “Option Awards” column.</w:t>
      </w:r>
    </w:p>
    <w:p>
      <w:pPr>
        <w:spacing w:after="0" w:line="177" w:lineRule="exact"/>
        <w:rPr>
          <w:sz w:val="20"/>
          <w:szCs w:val="20"/>
          <w:color w:val="auto"/>
        </w:rPr>
      </w:pPr>
    </w:p>
    <w:p>
      <w:pPr>
        <w:jc w:val="both"/>
        <w:ind w:left="620" w:hanging="612"/>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Saxe served as the Chairman of our Board, the Chairman of our Audit Committee and a member of our Compensation Committee throughout Fiscal 2022. At March 31, 2022, Mr. Saxe held: (i) 55,751 shares of our common stock; (ii) options to purchase 685,000 registered shares of our common stock, of which options to purchase 559,749 shares were exercisable; and (iii) warrants to purchase 7,500 restricted shares of our common stock, all of which are exercisable.</w:t>
      </w:r>
    </w:p>
    <w:p>
      <w:pPr>
        <w:spacing w:after="0" w:line="186" w:lineRule="exact"/>
        <w:rPr>
          <w:rFonts w:ascii="Arial" w:cs="Arial" w:eastAsia="Arial" w:hAnsi="Arial"/>
          <w:sz w:val="18"/>
          <w:szCs w:val="18"/>
          <w:color w:val="auto"/>
        </w:rPr>
      </w:pPr>
    </w:p>
    <w:p>
      <w:pPr>
        <w:jc w:val="both"/>
        <w:ind w:left="620" w:hanging="612"/>
        <w:spacing w:after="0" w:line="263"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Curley was appointed to our Board in April 2021 and has also served as a member of our Corporate Governance and Nominating Committee since her appointment. At March 31, 2022, Dr. Curley held options to purchase 175,000 registered shares of our common stock, of which 68,750 shares were exercisable.</w:t>
      </w:r>
    </w:p>
    <w:p>
      <w:pPr>
        <w:spacing w:after="0" w:line="183" w:lineRule="exact"/>
        <w:rPr>
          <w:rFonts w:ascii="Arial" w:cs="Arial" w:eastAsia="Arial" w:hAnsi="Arial"/>
          <w:sz w:val="18"/>
          <w:szCs w:val="18"/>
          <w:color w:val="auto"/>
        </w:rPr>
      </w:pPr>
    </w:p>
    <w:p>
      <w:pPr>
        <w:jc w:val="both"/>
        <w:ind w:left="620" w:hanging="612"/>
        <w:spacing w:after="0" w:line="25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Cunningham served as a member of our Board and as a member of our Corporate Governance and Nominating Committee from January 2019 through April 30, 2021. On May 1, 2021, Ms. Cunningham joined the Company as its Chief Commercial Officer and, since she was no longer considered an independent director under the standards established by the SEC and the rules of The NASDAQ Stock Market, her membership on the Corporate Governance and Nominating Committee terminated while her membership on the Board as a non-independent member continues. At March 31, 2022, Ms. Cunningham held options to purchase 750,000 registered shares of our common stock, of which 311,979 shares were exercisable.</w:t>
      </w:r>
    </w:p>
    <w:p>
      <w:pPr>
        <w:spacing w:after="0" w:line="192" w:lineRule="exact"/>
        <w:rPr>
          <w:rFonts w:ascii="Arial" w:cs="Arial" w:eastAsia="Arial" w:hAnsi="Arial"/>
          <w:sz w:val="18"/>
          <w:szCs w:val="18"/>
          <w:color w:val="auto"/>
        </w:rPr>
      </w:pPr>
    </w:p>
    <w:p>
      <w:pPr>
        <w:jc w:val="both"/>
        <w:ind w:left="620" w:hanging="612"/>
        <w:spacing w:after="0" w:line="263"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FitzPatrick was appointed to our Board in July 2021 and has also served as a member of our Corporate Governance and Nominating Committee since her appointment. At March 31, 2022, Ms. FitzPatrick held options to purchase 175,000 registered shares of our common stock, of which 50,000 shares were exercisable.</w:t>
      </w:r>
    </w:p>
    <w:p>
      <w:pPr>
        <w:spacing w:after="0" w:line="183" w:lineRule="exact"/>
        <w:rPr>
          <w:rFonts w:ascii="Arial" w:cs="Arial" w:eastAsia="Arial" w:hAnsi="Arial"/>
          <w:sz w:val="18"/>
          <w:szCs w:val="18"/>
          <w:color w:val="auto"/>
        </w:rPr>
      </w:pPr>
    </w:p>
    <w:p>
      <w:pPr>
        <w:jc w:val="both"/>
        <w:ind w:left="620" w:hanging="612"/>
        <w:spacing w:after="0" w:line="286"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Gin served as a member of our Board, as the Chairman of our Compensation Committee following Dr. Underdown’s retirement in July 2021 and as a member of our Audit Committee during Fiscal 2022. At March 31, 2022, Mr. Gin held: (i) 100,000 shares of our common stock, and (ii) options to purchase 710,000 registered shares of our common stock, of which options to purchase 584,479 shares were exercisable.</w:t>
      </w:r>
    </w:p>
    <w:p>
      <w:pPr>
        <w:spacing w:after="0" w:line="165" w:lineRule="exact"/>
        <w:rPr>
          <w:rFonts w:ascii="Arial" w:cs="Arial" w:eastAsia="Arial" w:hAnsi="Arial"/>
          <w:sz w:val="17"/>
          <w:szCs w:val="17"/>
          <w:color w:val="auto"/>
        </w:rPr>
      </w:pPr>
    </w:p>
    <w:p>
      <w:pPr>
        <w:jc w:val="both"/>
        <w:ind w:left="620" w:hanging="612"/>
        <w:spacing w:after="0" w:line="263"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Rotunno was appointed to our Board in July 2021 and has also served as a member of our Audit Committee and as Chair of the Corporate Governance and Nominating Committee since her appointment. At March 31, 2022, Ms. Rotunno held options to purchase 175,000 registered shares of our common stock, of which 50,000 shares were exercisable.</w:t>
      </w:r>
    </w:p>
    <w:p>
      <w:pPr>
        <w:spacing w:after="0" w:line="183" w:lineRule="exact"/>
        <w:rPr>
          <w:rFonts w:ascii="Arial" w:cs="Arial" w:eastAsia="Arial" w:hAnsi="Arial"/>
          <w:sz w:val="18"/>
          <w:szCs w:val="18"/>
          <w:color w:val="auto"/>
        </w:rPr>
      </w:pPr>
    </w:p>
    <w:p>
      <w:pPr>
        <w:jc w:val="both"/>
        <w:ind w:left="620" w:hanging="612"/>
        <w:spacing w:after="0" w:line="291"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Underdown served as a member of our Board, as the Chairman of our Compensation Committee and as a member of our Audit Committee and Corporate Governance and Nominating Committee until his retirement from the Board on July 21, 2021. At March 31, 2022, Mr. Underdown held:</w:t>
      </w:r>
    </w:p>
    <w:p>
      <w:pPr>
        <w:ind w:left="620" w:right="20" w:firstLine="9"/>
        <w:spacing w:after="0" w:line="260" w:lineRule="auto"/>
        <w:tabs>
          <w:tab w:leader="none" w:pos="852"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options to purchase 485,000 registered shares of our common stock, of which options to purchase 459,479 shares were exercisable; and (ii) warrants to purchase 7,500 restricted shares of our common stock, all of which are exercisable.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ind w:left="620" w:hanging="612"/>
        <w:spacing w:after="0" w:line="342"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our independent Board members during Fiscal 2022 and the weighted average assumptions used in the Black Scholes Option Pricing Model to determine the grant date fair values of the respective awards.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Grant</w:t>
            </w: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Grant</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Grant</w:t>
            </w:r>
          </w:p>
        </w:tc>
        <w:tc>
          <w:tcPr>
            <w:tcW w:w="140" w:type="dxa"/>
            <w:vAlign w:val="bottom"/>
          </w:tcPr>
          <w:p>
            <w:pPr>
              <w:spacing w:after="0"/>
              <w:rPr>
                <w:sz w:val="18"/>
                <w:szCs w:val="18"/>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Grant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4/23/2021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7/6/2021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7/21/2021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3/1/2022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426"/>
        </w:trPr>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Option Shares Granted</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Mr. Saxe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Dr. Curley</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Ms. FitzPatrick</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Dr. Gin</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Ms. Rotunno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Option Award Compensation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Mr. Saxe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89,389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89,389</w:t>
            </w: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 Curley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107,435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89,389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196,824</w:t>
            </w: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Ms. FitzPatrick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144,670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89,389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234,059</w:t>
            </w: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 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89,389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Ms. Rotunno</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164,756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89,389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254,145</w:t>
            </w: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b w:val="1"/>
                <w:bCs w:val="1"/>
                <w:color w:val="auto"/>
              </w:rPr>
              <w:t>Option Award Assumptions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Grant date market price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Expected term (years)</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Arial" w:cs="Arial" w:eastAsia="Arial" w:hAnsi="Arial"/>
                <w:sz w:val="18"/>
                <w:szCs w:val="18"/>
                <w:color w:val="auto"/>
              </w:rPr>
              <w:t>Fair Value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Aggregate option shares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-3154045</wp:posOffset>
            </wp:positionV>
            <wp:extent cx="402590" cy="3154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2590" cy="31546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Board met virtually three times and acted by unanimous written consent six times during our fiscal year ended March 31, 2022. Our Audit Committee met virtually four times. Our Compensation Committee met virtually two times and acted by unanimous written consent nine times with respect to executive compensation matters and grants of equity securities, including to new employees. Our Corporate Governance and Nominating Committee requested action by the entire Board with respect to appointment of new Board members and re-election of members of our Board, Board committee assignments and other resolutions presented to our stockholders at our September 2021 Annual Meeting of Stockholders (the </w:t>
      </w:r>
      <w:r>
        <w:rPr>
          <w:rFonts w:ascii="Arial" w:cs="Arial" w:eastAsia="Arial" w:hAnsi="Arial"/>
          <w:sz w:val="18"/>
          <w:szCs w:val="18"/>
          <w:i w:val="1"/>
          <w:iCs w:val="1"/>
          <w:color w:val="auto"/>
        </w:rPr>
        <w:t>2021 Annual Meeting</w:t>
      </w:r>
      <w:r>
        <w:rPr>
          <w:rFonts w:ascii="Arial" w:cs="Arial" w:eastAsia="Arial" w:hAnsi="Arial"/>
          <w:sz w:val="18"/>
          <w:szCs w:val="18"/>
          <w:color w:val="auto"/>
        </w:rPr>
        <w:t>). Each director serving during our fiscal year ended March 31, 2022 attended all of the meetings of the Board and the committees of the Board upon which such director served that were held during the fiscal year.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Due to the continuing COVID-19 pandemic, we held our 2021 Annual Meeting in an on-line virtual format. Each of our directors attended our 2021 Annual Meeting virtually.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Bylaws provide that the authorized number of directors of the Company shall be not less than one nor more than seven, with the exact number of directors currently fixed at seven. Subject to approval of the Bylaw Amendment at the Annual Meeting, the exact number may be amended only by the vote or written consent of a majority of the outstanding shares of our voting stock. Our Board currently consists of seven members and, accordingly, there are no vacancies on our Board. All actions of the Board require the approval of a majority of the directors in attendance at a meeting at which a quorum is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ind w:firstLine="648"/>
        <w:spacing w:after="0" w:line="291"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w:t>
      </w:r>
    </w:p>
    <w:p>
      <w:pPr>
        <w:jc w:val="both"/>
        <w:ind w:firstLine="8"/>
        <w:spacing w:after="0" w:line="288"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6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Curley, Ms. FitzPatrick, Mr.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has established an Audit Committee, a Compensation Committee and a Corporate Governance and Nominating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currently serving on each committee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Audit Committee</w:t>
            </w: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Committee</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Corporate Governance and</w:t>
            </w:r>
          </w:p>
        </w:tc>
      </w:tr>
      <w:tr>
        <w:trPr>
          <w:trHeight w:val="234"/>
        </w:trPr>
        <w:tc>
          <w:tcPr>
            <w:tcW w:w="38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Nominating Committee</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Jon S. Saxe, J.D., LL.M.</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Member</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Joanne Curley, Ph.D.</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90"/>
              </w:rPr>
              <w:t>Member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Margaret M. FitzPatrick, M.A.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Member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Jerry B. Gin, Ph.D.</w:t>
            </w:r>
          </w:p>
        </w:tc>
        <w:tc>
          <w:tcPr>
            <w:tcW w:w="2080" w:type="dxa"/>
            <w:vAlign w:val="bottom"/>
          </w:tcPr>
          <w:p>
            <w:pPr>
              <w:jc w:val="center"/>
              <w:spacing w:after="0"/>
              <w:rPr>
                <w:sz w:val="20"/>
                <w:szCs w:val="20"/>
                <w:color w:val="auto"/>
              </w:rPr>
            </w:pPr>
            <w:r>
              <w:rPr>
                <w:rFonts w:ascii="Arial" w:cs="Arial" w:eastAsia="Arial" w:hAnsi="Arial"/>
                <w:sz w:val="18"/>
                <w:szCs w:val="18"/>
                <w:i w:val="1"/>
                <w:iCs w:val="1"/>
                <w:color w:val="auto"/>
                <w:w w:val="90"/>
              </w:rPr>
              <w:t>Member</w:t>
            </w: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i w:val="1"/>
                <w:iCs w:val="1"/>
                <w:color w:val="auto"/>
                <w:w w:val="97"/>
              </w:rPr>
              <w:t>Chair</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Mary L. Rotunno, J.D.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Member</w:t>
            </w: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Members serve on these committees until their resignation or until otherwise determined by our Board. Since April 1, 2017, only our independent directors serve as members of these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our fiscal year ended March 31, 2022, the Audit Committee of our Board consisted of Mr. Saxe, who serves as the committee chairman, Dr. Gin and Ms. Rotunno. Mr. Saxe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our Audit Committee is primarily responsible for, among other things, the following:</w:t>
      </w:r>
    </w:p>
    <w:p>
      <w:pPr>
        <w:spacing w:after="0" w:line="18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During our fiscal year ended March 31, 2022, the Compensation Committee of our Board was composed of Dr. Gin, who served as the committee chairman and Mr. Saxe.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84" w:lineRule="exact"/>
        <w:rPr>
          <w:sz w:val="20"/>
          <w:szCs w:val="20"/>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During our fiscal year ended March 31, 2022, the Corporate Governance and Nominating Committee of our Board was composed of Ms. Rotunno, who served as the committee chairman, Dr. Curley and Ms. FitzPatrick. Ms. Cunningham’s prior membership on the committee terminated upon her acceptance of employment by the Company as Chief Commercial Officer effective May 1, 2021, when she was no longer considered an independent director under the standards established by the SEC and the rules of The NASDAQ Stock Market. Our Corporate Governance and Nominating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Corporate Governance and Nominating Committee is primarily responsible for, among other things, the following:</w:t>
      </w:r>
    </w:p>
    <w:p>
      <w:pPr>
        <w:spacing w:after="0" w:line="19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of our Board currently consists of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operation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corporate responsibility is fundamental to our mission and we are committed to holding ourselves to high ethical standards. Beyond our quest to develop innovative therapeutic solutions that combat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affecting many lives and to improve healthcare outcomes, we strive to have a positive impact on our employees, our local communities, our stockholders, the health care ecosystem and society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Leadership</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late-clinical stage company that is passionate about transforming mental health care, we believe creating an environment that allows our team to collectively thrive and achieve its full potential begins with our Board of Directors, which consists of directors with diverse and dynamic backgrounds in pharmaceutical development, commercialization, and corporate governance. Applying The NASDAQ Stock Market’s continued listing standards for director independence, five of our seven directors are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Arial" w:cs="Arial" w:eastAsia="Arial" w:hAnsi="Arial"/>
          <w:sz w:val="16"/>
          <w:szCs w:val="16"/>
          <w:i w:val="1"/>
          <w:iCs w:val="1"/>
          <w:color w:val="auto"/>
        </w:rPr>
        <w:t>ESG</w:t>
      </w:r>
      <w:r>
        <w:rPr>
          <w:rFonts w:ascii="Arial" w:cs="Arial" w:eastAsia="Arial" w:hAnsi="Arial"/>
          <w:sz w:val="16"/>
          <w:szCs w:val="16"/>
          <w:color w:val="auto"/>
        </w:rPr>
        <w:t xml:space="preserve">) strategic roadmap and framework that will guide our operations, so as to ensure that we are operating in a manner that is consistent with our mission of transforming mental health care – </w:t>
      </w:r>
      <w:r>
        <w:rPr>
          <w:rFonts w:ascii="Arial" w:cs="Arial" w:eastAsia="Arial" w:hAnsi="Arial"/>
          <w:sz w:val="16"/>
          <w:szCs w:val="16"/>
          <w:i w:val="1"/>
          <w:iCs w:val="1"/>
          <w:color w:val="auto"/>
        </w:rPr>
        <w:t>One Mind at a Time</w:t>
      </w:r>
      <w:r>
        <w:rPr>
          <w:rFonts w:ascii="Arial" w:cs="Arial" w:eastAsia="Arial" w:hAnsi="Arial"/>
          <w:sz w:val="16"/>
          <w:szCs w:val="16"/>
          <w:color w:val="auto"/>
        </w:rPr>
        <w: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Core Values and Ethics</w:t>
      </w:r>
    </w:p>
    <w:p>
      <w:pPr>
        <w:spacing w:after="0" w:line="225" w:lineRule="exact"/>
        <w:rPr>
          <w:sz w:val="20"/>
          <w:szCs w:val="20"/>
          <w:color w:val="auto"/>
        </w:rPr>
      </w:pPr>
    </w:p>
    <w:p>
      <w:pPr>
        <w:jc w:val="both"/>
        <w:ind w:left="20" w:firstLine="630"/>
        <w:spacing w:after="0" w:line="275" w:lineRule="auto"/>
        <w:rPr>
          <w:sz w:val="20"/>
          <w:szCs w:val="20"/>
          <w:color w:val="auto"/>
        </w:rPr>
      </w:pPr>
      <w:r>
        <w:rPr>
          <w:rFonts w:ascii="Arial" w:cs="Arial" w:eastAsia="Arial" w:hAnsi="Arial"/>
          <w:sz w:val="17"/>
          <w:szCs w:val="17"/>
          <w:color w:val="auto"/>
        </w:rPr>
        <w:t xml:space="preserve">We are committed to driving improvement and innovation in the care of patients suffering from anxiety, depression and other CNS disorders. In this pursuit, our core values of integrity, compassion, teamwork, and excellence while on our journey to change the way we approach mental health care guide our internal processes and define our mission to radically improve mental health and well-being worldwide. In addition, all of our directors, officers and employees are responsible for upholding these values as set forth in our Code of Business Conduct and Ethics, which forms the foundation of our policies and practices. Our Code of Business Conduct and Ethics is available on our website at </w:t>
      </w:r>
      <w:r>
        <w:rPr>
          <w:rFonts w:ascii="Arial" w:cs="Arial" w:eastAsia="Arial" w:hAnsi="Arial"/>
          <w:sz w:val="17"/>
          <w:szCs w:val="17"/>
          <w:u w:val="single" w:color="auto"/>
          <w:color w:val="auto"/>
        </w:rPr>
        <w:t>www.vistagen.com</w:t>
      </w:r>
      <w:r>
        <w:rPr>
          <w:rFonts w:ascii="Arial" w:cs="Arial" w:eastAsia="Arial" w:hAnsi="Arial"/>
          <w:sz w:val="17"/>
          <w:szCs w:val="17"/>
          <w:color w:val="auto"/>
        </w:rPr>
        <w: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Environmental Commitment</w:t>
      </w:r>
    </w:p>
    <w:p>
      <w:pPr>
        <w:spacing w:after="0" w:line="225" w:lineRule="exact"/>
        <w:rPr>
          <w:sz w:val="20"/>
          <w:szCs w:val="20"/>
          <w:color w:val="auto"/>
        </w:rPr>
      </w:pPr>
    </w:p>
    <w:p>
      <w:pPr>
        <w:jc w:val="both"/>
        <w:ind w:left="20" w:firstLine="630"/>
        <w:spacing w:after="0" w:line="259" w:lineRule="auto"/>
        <w:rPr>
          <w:sz w:val="20"/>
          <w:szCs w:val="20"/>
          <w:color w:val="auto"/>
        </w:rPr>
      </w:pPr>
      <w:r>
        <w:rPr>
          <w:rFonts w:ascii="Arial" w:cs="Arial" w:eastAsia="Arial" w:hAnsi="Arial"/>
          <w:sz w:val="18"/>
          <w:szCs w:val="18"/>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578"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NON-BINDING ADVISORY VOTE TO APPROVE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are providing our stockholders with the opportunity to approve, on a non-binding advisory basis, the compensation of our Named Executive Officers as disclosed in this Proxy Statement in accordance with the SEC’s rules. This Say-on-Pay proposal is required by the Dodd-Frank Wall Street Reform and Consumer Protection Act of 2010 (the </w:t>
      </w:r>
      <w:r>
        <w:rPr>
          <w:rFonts w:ascii="Arial" w:cs="Arial" w:eastAsia="Arial" w:hAnsi="Arial"/>
          <w:sz w:val="18"/>
          <w:szCs w:val="18"/>
          <w:i w:val="1"/>
          <w:iCs w:val="1"/>
          <w:color w:val="auto"/>
        </w:rPr>
        <w:t>Dodd-Frank Act</w:t>
      </w:r>
      <w:r>
        <w:rPr>
          <w:rFonts w:ascii="Arial" w:cs="Arial" w:eastAsia="Arial" w:hAnsi="Arial"/>
          <w:sz w:val="18"/>
          <w:szCs w:val="18"/>
          <w:color w:val="auto"/>
        </w:rPr>
        <w:t>), which added Section 14A to the Exchange Act.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executive compensation program is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beginning on page </w:t>
      </w:r>
      <w:r>
        <w:rPr>
          <w:rFonts w:ascii="Arial" w:cs="Arial" w:eastAsia="Arial" w:hAnsi="Arial"/>
          <w:sz w:val="16"/>
          <w:szCs w:val="16"/>
          <w:u w:val="single" w:color="auto"/>
          <w:color w:val="0000EE"/>
        </w:rPr>
        <w:t>20</w:t>
      </w:r>
      <w:r>
        <w:rPr>
          <w:rFonts w:ascii="Arial" w:cs="Arial" w:eastAsia="Arial" w:hAnsi="Arial"/>
          <w:sz w:val="16"/>
          <w:szCs w:val="16"/>
          <w:color w:val="auto"/>
        </w:rPr>
        <w:t xml:space="preserve"> below describes, in detail, our executive compensation programs and the decisions made by our Board’s Compensation Committee with respect to the fiscal years ended March 31, 2022 and 2021. Although we have no formal policy for a specific allocation between current and long-term compensation, or cash and non-cash compensation, when possible and appropriate considering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an advisory vote, the outcome of this proposal is not binding. The outcome of this Say-on-Pay proposal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the Compensation Committee values the opinions expressed by our stockholders in their vote on this proposal and will consider the outcome of the vote when making future compensation decisions for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FOLLOWING ADVISORY RESOLUTION:</w:t>
      </w:r>
    </w:p>
    <w:p>
      <w:pPr>
        <w:spacing w:after="0" w:line="225" w:lineRule="exact"/>
        <w:rPr>
          <w:sz w:val="20"/>
          <w:szCs w:val="20"/>
          <w:color w:val="auto"/>
        </w:rPr>
      </w:pPr>
    </w:p>
    <w:p>
      <w:pPr>
        <w:ind w:left="660"/>
        <w:spacing w:after="0" w:line="312"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compensation paid to the Company’s Named Executive Officers, as disclosed in the Company’s proxy statement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pursuant to Item 402 of Regulation S-K, including the compensation tables and narrative discussion, is hereby approved.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this advisory, non-binding matter, the affirmative vote of at least a majority of the votes cast at the Annual Meeting is required to approve this Proposal No. 2. Abstentions and broker non-votes will have no effect on this Proposal No. 2.</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non-binding advisory resolution above, approving of the compensation paid to the Company</w:t>
      </w:r>
      <w:r>
        <w:rPr>
          <w:rFonts w:ascii="Arial" w:cs="Arial" w:eastAsia="Arial" w:hAnsi="Arial"/>
          <w:sz w:val="18"/>
          <w:szCs w:val="18"/>
          <w:color w:val="auto"/>
        </w:rPr>
        <w:t>’</w:t>
      </w:r>
      <w:r>
        <w:rPr>
          <w:rFonts w:ascii="Arial" w:cs="Arial" w:eastAsia="Arial" w:hAnsi="Arial"/>
          <w:sz w:val="18"/>
          <w:szCs w:val="18"/>
          <w:b w:val="1"/>
          <w:bCs w:val="1"/>
          <w:color w:val="auto"/>
        </w:rPr>
        <w:t>s Named Executive Officers, as disclosed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ADVISORY VOTE ON THE FREQUENCY OF FUTURE NON-BINDING EXECUTIVE COMPENSATION ADVISORY VOTES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7"/>
          <w:szCs w:val="17"/>
          <w:color w:val="auto"/>
        </w:rPr>
        <w:t>In Proposal No. 2, we are providing our stockholders the opportunity to approve, on an advisory, non-binding basis, the compensation of our Named Executive Officers. In this Proposal No. 3, we are asking our stockholders to cast a non-binding advisory vote regarding the frequency of future executive compensation advisory votes. Stockholders may vote for a frequency of every one, two, or three years, or may abstain.</w:t>
      </w:r>
    </w:p>
    <w:p>
      <w:pPr>
        <w:spacing w:after="0" w:line="165" w:lineRule="exact"/>
        <w:rPr>
          <w:sz w:val="20"/>
          <w:szCs w:val="20"/>
          <w:color w:val="auto"/>
        </w:rPr>
      </w:pPr>
    </w:p>
    <w:p>
      <w:pPr>
        <w:jc w:val="both"/>
        <w:ind w:firstLine="594"/>
        <w:spacing w:after="0" w:line="301" w:lineRule="auto"/>
        <w:rPr>
          <w:sz w:val="20"/>
          <w:szCs w:val="20"/>
          <w:color w:val="auto"/>
        </w:rPr>
      </w:pPr>
      <w:r>
        <w:rPr>
          <w:rFonts w:ascii="Arial" w:cs="Arial" w:eastAsia="Arial" w:hAnsi="Arial"/>
          <w:sz w:val="16"/>
          <w:szCs w:val="16"/>
          <w:color w:val="auto"/>
        </w:rPr>
        <w:t>The Board will take into consideration the outcome of this vote in determining the frequency of future Say-on-Pay proposals. However, because this vote is advisory and non-binding, the Board may decide that it is in the best interests of our stockholders and the Company to hold the required Say-on-Pay vote more or less frequently, but no less frequently than once every three years, as required by the Dodd-Frank Act. In the future, we will propose an advisory vote on the frequency of the Say-on-Pay Vote at least once every six calendar years as required by the Dodd-Frank Act.</w:t>
      </w:r>
    </w:p>
    <w:p>
      <w:pPr>
        <w:spacing w:after="0" w:line="157"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After careful consideration, the Board believes that a Say-on-Pay vote should be held every three years, and therefore our Board recommends that you vote for a frequency of EVERY THREE YEARS for future Say-on-Pay proposals. The proxy card provides stockholders with the opportunity to choose among four options (holding the vote once every year, every two years or every three years, or abstaining) and, therefore, stockholders will not be voting to approve or disapprove the recommendation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this non-binding matter, a stockholder may vote to set the frequency of the Say-on-Pay votes to occur every year, every two years, or every three years, or the stockholder may vote to abstain. The choice among those four choices that receives the highest number of votes will be deemed the choice of the stockholders. Abstentions and broker non-votes will have no effect on the Say-on-Pay vote.</w:t>
      </w:r>
    </w:p>
    <w:p>
      <w:pPr>
        <w:spacing w:after="0" w:line="180"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 xml:space="preserve">The Board recommends that stockholders vote to hold advisory Say-on-Pay votes on executive compensation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EVERY THREE YEARS</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59</w:t>
            </w:r>
          </w:p>
        </w:tc>
        <w:tc>
          <w:tcPr>
            <w:tcW w:w="6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Mark A. Smith, M.D., Ph.D.</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66</w:t>
            </w: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Ann M. Cunningham, MBA</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54</w:t>
            </w:r>
          </w:p>
        </w:tc>
        <w:tc>
          <w:tcPr>
            <w:tcW w:w="6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Commercial Officer and Director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Jerrold D. Dotson, CPA</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69</w:t>
            </w: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Reid G. Adler, J.D.</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68</w:t>
            </w:r>
          </w:p>
        </w:tc>
        <w:tc>
          <w:tcPr>
            <w:tcW w:w="6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6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Mark A. Smith, M.D., Ph.D. </w:t>
      </w:r>
      <w:r>
        <w:rPr>
          <w:rFonts w:ascii="Arial" w:cs="Arial" w:eastAsia="Arial" w:hAnsi="Arial"/>
          <w:sz w:val="17"/>
          <w:szCs w:val="17"/>
          <w:color w:val="auto"/>
        </w:rPr>
        <w:t>has served as our Chief Medical Officer since June 2016. Dr. Smith served as the Clinical Lead for Neuropsychiatry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Please see Ms. Cunningham’s biography on page 6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Jerrold D. Dotson, CPA </w:t>
      </w:r>
      <w:r>
        <w:rPr>
          <w:rFonts w:ascii="Arial" w:cs="Arial" w:eastAsia="Arial" w:hAnsi="Arial"/>
          <w:sz w:val="18"/>
          <w:szCs w:val="18"/>
          <w:color w:val="auto"/>
        </w:rPr>
        <w:t>has served as our Chief Financial Officer since September 2011, as our Corporate Secretary since October 2013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Reid G. Adler, J.D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appointed as our Chief Legal Officer on May 2, 2022. Prior to joining the Company, Mr. Adler was in private law practice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2011 to 2022, during which time he founded Capital Technology Law Group in 2019 and served as co-managing partner. While in private practice, Mr. Adler represented the Company with respect to certain technology transaction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NIH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Compensation Objectives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if any,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March 31, 2022,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2022 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2022 (</w:t>
      </w:r>
      <w:r>
        <w:rPr>
          <w:rFonts w:ascii="Arial" w:cs="Arial" w:eastAsia="Arial" w:hAnsi="Arial"/>
          <w:sz w:val="18"/>
          <w:szCs w:val="18"/>
          <w:i w:val="1"/>
          <w:iCs w:val="1"/>
          <w:color w:val="auto"/>
        </w:rPr>
        <w:t>Fiscal 2022</w:t>
      </w:r>
      <w:r>
        <w:rPr>
          <w:rFonts w:ascii="Arial" w:cs="Arial" w:eastAsia="Arial" w:hAnsi="Arial"/>
          <w:sz w:val="18"/>
          <w:szCs w:val="18"/>
          <w:color w:val="auto"/>
        </w:rPr>
        <w:t>) and 2021 (</w:t>
      </w:r>
      <w:r>
        <w:rPr>
          <w:rFonts w:ascii="Arial" w:cs="Arial" w:eastAsia="Arial" w:hAnsi="Arial"/>
          <w:sz w:val="18"/>
          <w:szCs w:val="18"/>
          <w:i w:val="1"/>
          <w:iCs w:val="1"/>
          <w:color w:val="auto"/>
        </w:rPr>
        <w:t>Fiscal 2021</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21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7"/>
              </w:rPr>
              <w:t>All Other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00"/>
              <w:spacing w:after="0" w:line="181"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0"/>
                <w:szCs w:val="20"/>
                <w:b w:val="1"/>
                <w:bCs w:val="1"/>
                <w:color w:val="auto"/>
                <w:vertAlign w:val="superscript"/>
              </w:rPr>
              <w:t>(2)(8)</w:t>
            </w:r>
          </w:p>
        </w:tc>
        <w:tc>
          <w:tcPr>
            <w:tcW w:w="212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Fiscal</w:t>
            </w:r>
          </w:p>
        </w:tc>
        <w:tc>
          <w:tcPr>
            <w:tcW w:w="16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Salary</w:t>
            </w:r>
          </w:p>
        </w:tc>
        <w:tc>
          <w:tcPr>
            <w:tcW w:w="1260" w:type="dxa"/>
            <w:vAlign w:val="bottom"/>
            <w:gridSpan w:val="2"/>
          </w:tcPr>
          <w:p>
            <w:pPr>
              <w:jc w:val="center"/>
              <w:ind w:right="200"/>
              <w:spacing w:after="0" w:line="211" w:lineRule="exact"/>
              <w:rPr>
                <w:sz w:val="20"/>
                <w:szCs w:val="20"/>
                <w:color w:val="auto"/>
              </w:rPr>
            </w:pPr>
            <w:r>
              <w:rPr>
                <w:rFonts w:ascii="Arial" w:cs="Arial" w:eastAsia="Arial" w:hAnsi="Arial"/>
                <w:sz w:val="15"/>
                <w:szCs w:val="15"/>
                <w:b w:val="1"/>
                <w:bCs w:val="1"/>
                <w:color w:val="auto"/>
                <w:w w:val="99"/>
              </w:rPr>
              <w:t>Bonus</w:t>
            </w:r>
            <w:r>
              <w:rPr>
                <w:rFonts w:ascii="Arial" w:cs="Arial" w:eastAsia="Arial" w:hAnsi="Arial"/>
                <w:sz w:val="24"/>
                <w:szCs w:val="24"/>
                <w:b w:val="1"/>
                <w:bCs w:val="1"/>
                <w:color w:val="auto"/>
                <w:w w:val="99"/>
                <w:vertAlign w:val="superscript"/>
              </w:rPr>
              <w:t>(1)</w:t>
            </w:r>
          </w:p>
        </w:tc>
        <w:tc>
          <w:tcPr>
            <w:tcW w:w="1080" w:type="dxa"/>
            <w:vAlign w:val="bottom"/>
          </w:tcPr>
          <w:p>
            <w:pPr>
              <w:jc w:val="right"/>
              <w:ind w:right="373"/>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spacing w:after="0"/>
              <w:rPr>
                <w:sz w:val="18"/>
                <w:szCs w:val="18"/>
                <w:color w:val="auto"/>
              </w:rPr>
            </w:pPr>
          </w:p>
        </w:tc>
        <w:tc>
          <w:tcPr>
            <w:tcW w:w="2120" w:type="dxa"/>
            <w:vAlign w:val="bottom"/>
            <w:gridSpan w:val="2"/>
          </w:tcPr>
          <w:p>
            <w:pPr>
              <w:jc w:val="center"/>
              <w:ind w:right="200"/>
              <w:spacing w:after="0" w:line="21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4"/>
                <w:szCs w:val="24"/>
                <w:b w:val="1"/>
                <w:bCs w:val="1"/>
                <w:color w:val="auto"/>
                <w:vertAlign w:val="superscript"/>
              </w:rPr>
              <w:t>(10)</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80" w:type="dxa"/>
            <w:vAlign w:val="bottom"/>
          </w:tcPr>
          <w:p>
            <w:pPr>
              <w:jc w:val="right"/>
              <w:ind w:right="35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Shawn K. Singh</w:t>
            </w:r>
            <w:r>
              <w:rPr>
                <w:rFonts w:ascii="Arial" w:cs="Arial" w:eastAsia="Arial" w:hAnsi="Arial"/>
                <w:sz w:val="25"/>
                <w:szCs w:val="25"/>
                <w:color w:val="auto"/>
                <w:vertAlign w:val="superscript"/>
              </w:rPr>
              <w:t>(3)</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562,500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269,960</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1,182,460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511,000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333,660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439,618</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1,284,278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Arial" w:cs="Arial" w:eastAsia="Arial" w:hAnsi="Arial"/>
                <w:sz w:val="16"/>
                <w:szCs w:val="16"/>
                <w:color w:val="auto"/>
              </w:rPr>
              <w:t>Mark A. Smith, M.D., Ph.D.</w:t>
            </w:r>
            <w:r>
              <w:rPr>
                <w:rFonts w:ascii="Arial" w:cs="Arial" w:eastAsia="Arial" w:hAnsi="Arial"/>
                <w:sz w:val="25"/>
                <w:szCs w:val="25"/>
                <w:color w:val="auto"/>
                <w:vertAlign w:val="superscript"/>
              </w:rPr>
              <w:t>(4)</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448,750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210,000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134,613</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793,363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422,638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125,055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219,445</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767,138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Ann M. Cunningham</w:t>
            </w:r>
            <w:r>
              <w:rPr>
                <w:rFonts w:ascii="Arial" w:cs="Arial" w:eastAsia="Arial" w:hAnsi="Arial"/>
                <w:sz w:val="25"/>
                <w:szCs w:val="25"/>
                <w:color w:val="auto"/>
                <w:vertAlign w:val="superscript"/>
              </w:rPr>
              <w:t>(5)</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395,833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668,827</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1,204,660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i w:val="1"/>
                <w:iCs w:val="1"/>
                <w:color w:val="auto"/>
              </w:rPr>
              <w:t>Chief Commercial Officer</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Arial" w:cs="Arial" w:eastAsia="Arial" w:hAnsi="Arial"/>
                <w:sz w:val="16"/>
                <w:szCs w:val="16"/>
                <w:color w:val="auto"/>
              </w:rPr>
              <w:t>Jerrold D. Dotson</w:t>
            </w:r>
            <w:r>
              <w:rPr>
                <w:rFonts w:ascii="Arial" w:cs="Arial" w:eastAsia="Arial" w:hAnsi="Arial"/>
                <w:sz w:val="25"/>
                <w:szCs w:val="25"/>
                <w:color w:val="auto"/>
                <w:vertAlign w:val="superscript"/>
              </w:rPr>
              <w:t>(6)</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402,500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134,613</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712,113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374,375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110,250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219,399</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704,024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i w:val="1"/>
                <w:iCs w:val="1"/>
                <w:color w:val="auto"/>
              </w:rPr>
              <w:t>Officer and Secretary</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Arial" w:cs="Arial" w:eastAsia="Arial" w:hAnsi="Arial"/>
                <w:sz w:val="16"/>
                <w:szCs w:val="16"/>
                <w:color w:val="auto"/>
              </w:rPr>
              <w:t>Reid G. Adler</w:t>
            </w:r>
            <w:r>
              <w:rPr>
                <w:rFonts w:ascii="Arial" w:cs="Arial" w:eastAsia="Arial" w:hAnsi="Arial"/>
                <w:sz w:val="25"/>
                <w:szCs w:val="25"/>
                <w:color w:val="auto"/>
                <w:vertAlign w:val="superscript"/>
              </w:rPr>
              <w:t>(7)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Legal Officer</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80" w:hanging="472"/>
        <w:spacing w:after="0" w:line="301"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reported in the Bonus column for Fiscal 2022 reflect bonuses awarded by the Compensation Committee that were earned during calendar year 2021 by each NEO for attainment of performance-based objectives during that period and paid in February 2022. Amounts reported in the Bonus column for Fiscal 2021 reflect bonuses awarded by the Compensation Committee and earned during the period from April 1, 2019 through December 31, 2020 by each NEO for attainment of performance-based objectives during that period and paid in December 2020.</w:t>
      </w:r>
    </w:p>
    <w:p>
      <w:pPr>
        <w:spacing w:after="0" w:line="157" w:lineRule="exact"/>
        <w:rPr>
          <w:rFonts w:ascii="Arial" w:cs="Arial" w:eastAsia="Arial" w:hAnsi="Arial"/>
          <w:sz w:val="16"/>
          <w:szCs w:val="16"/>
          <w:color w:val="auto"/>
        </w:rPr>
      </w:pPr>
    </w:p>
    <w:p>
      <w:pPr>
        <w:jc w:val="both"/>
        <w:ind w:left="480" w:hanging="472"/>
        <w:spacing w:after="0" w:line="272"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payments actually received by the NEOs with respect to any of such options to purchase shares of our common stock awarded to them during the periods presented. With the exception of Mr. Dotson, who in June 2021 exercised certain vested options granted during Fiscal 2021, none of the NEOs have exercised any of such options to purchase common stock granted during Fiscal 2022 or Fiscal 2021, and there can be no assurance that any of them will ever realize any of the ASC 718 grant date fair value amounts presented in the Option Awards column.</w:t>
      </w:r>
    </w:p>
    <w:p>
      <w:pPr>
        <w:spacing w:after="0" w:line="177" w:lineRule="exact"/>
        <w:rPr>
          <w:rFonts w:ascii="Arial" w:cs="Arial" w:eastAsia="Arial" w:hAnsi="Arial"/>
          <w:sz w:val="17"/>
          <w:szCs w:val="17"/>
          <w:color w:val="auto"/>
        </w:rPr>
      </w:pPr>
    </w:p>
    <w:p>
      <w:pPr>
        <w:jc w:val="both"/>
        <w:ind w:left="480" w:hanging="472"/>
        <w:spacing w:after="0" w:line="25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Singh became Chief Executive Officer of VistaGen Therapeutics, Inc. (a California corporation) (</w:t>
      </w:r>
      <w:r>
        <w:rPr>
          <w:rFonts w:ascii="Arial" w:cs="Arial" w:eastAsia="Arial" w:hAnsi="Arial"/>
          <w:sz w:val="18"/>
          <w:szCs w:val="18"/>
          <w:i w:val="1"/>
          <w:iCs w:val="1"/>
          <w:color w:val="auto"/>
        </w:rPr>
        <w:t>VistaGen California</w:t>
      </w:r>
      <w:r>
        <w:rPr>
          <w:rFonts w:ascii="Arial" w:cs="Arial" w:eastAsia="Arial" w:hAnsi="Arial"/>
          <w:sz w:val="18"/>
          <w:szCs w:val="18"/>
          <w:color w:val="auto"/>
        </w:rPr>
        <w:t>) on August 20, 2009 and our Chief Executive Officer in May 2011. Pursuant to his January 2010 employment agreement, as amended in June 2016, Mr. Singh’s annual base cash salary, was contractually set at $395,000. The Compensation Committee has since adjusted Mr. Singh’s base annual salary to $550,000 effective in January 2021 and to $600,000 effective in January 2022. Pursuant to his employment agreement, Mr. Singh is eligible to receive an annual cash incentive bonus of up to fifty percent (50%) of his base cash salary.</w:t>
      </w:r>
    </w:p>
    <w:p>
      <w:pPr>
        <w:spacing w:after="0" w:line="187" w:lineRule="exact"/>
        <w:rPr>
          <w:rFonts w:ascii="Arial" w:cs="Arial" w:eastAsia="Arial" w:hAnsi="Arial"/>
          <w:sz w:val="18"/>
          <w:szCs w:val="18"/>
          <w:color w:val="auto"/>
        </w:rPr>
      </w:pPr>
    </w:p>
    <w:p>
      <w:pPr>
        <w:ind w:left="480" w:hanging="472"/>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Smith has served as our Chief Medical Officer since June 2016. During Fiscal 2021, Dr. Smith’s annual base cash salary was $440,000. The Compensation Committee adjusted Dr. Smith’s base annual salary to $475,000 effective in January 2022.</w:t>
      </w:r>
    </w:p>
    <w:p>
      <w:pPr>
        <w:spacing w:after="0" w:line="170" w:lineRule="exact"/>
        <w:rPr>
          <w:rFonts w:ascii="Arial" w:cs="Arial" w:eastAsia="Arial" w:hAnsi="Arial"/>
          <w:sz w:val="18"/>
          <w:szCs w:val="18"/>
          <w:color w:val="auto"/>
        </w:rPr>
      </w:pPr>
    </w:p>
    <w:p>
      <w:pPr>
        <w:jc w:val="both"/>
        <w:ind w:left="480" w:hanging="472"/>
        <w:spacing w:after="0" w:line="279"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Ms. Cunningham has served as our Chief Commercial Officer since May 2021. Her initial base cash salary upon her employment with the Company was $425,000. The Compensation Committee adjusted Ms. Cunningham’s base annual salary to $450,000 effective in January 2022. Cash compensation received by Ms. Cunningham during Fiscal 2022 as an independent director pursuant to her Board and Committee service prior to her employment by the Company is excluded from this table and is reflected in the Director Compensation table.</w:t>
      </w:r>
    </w:p>
    <w:p>
      <w:pPr>
        <w:spacing w:after="0" w:line="171" w:lineRule="exact"/>
        <w:rPr>
          <w:rFonts w:ascii="Arial" w:cs="Arial" w:eastAsia="Arial" w:hAnsi="Arial"/>
          <w:sz w:val="17"/>
          <w:szCs w:val="17"/>
          <w:color w:val="auto"/>
        </w:rPr>
      </w:pPr>
    </w:p>
    <w:p>
      <w:pPr>
        <w:ind w:left="480" w:hanging="472"/>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Dotson has served as our Chief Financial Officer since September 2011. During Fiscal 2021, Mr. Dotson’s annual base cash salary was $395,000. The Compensation Committee adjusted Mr. Dotson’s base annual salary to $425,000 effective in January 2022.</w:t>
      </w:r>
    </w:p>
    <w:p>
      <w:pPr>
        <w:spacing w:after="0" w:line="170" w:lineRule="exact"/>
        <w:rPr>
          <w:rFonts w:ascii="Arial" w:cs="Arial" w:eastAsia="Arial" w:hAnsi="Arial"/>
          <w:sz w:val="18"/>
          <w:szCs w:val="18"/>
          <w:color w:val="auto"/>
        </w:rPr>
      </w:pPr>
    </w:p>
    <w:p>
      <w:pPr>
        <w:jc w:val="both"/>
        <w:ind w:left="480" w:hanging="472"/>
        <w:spacing w:after="0" w:line="263"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Adler was appointed as the Company’s Chief Legal Officer in May 2022; accordingly no employee compensation or stock option grants are reported for him for either Fiscal 2022 or Fiscal 2021. Upon his employment with the Company, Mr. Adler’s annual base cash salary was set at $375,000.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during Fiscal 2022. Rather, the table below provides information regarding the option awards we granted to the NEOs during Fiscal 2022 and the weighted average assumptions used in the Black Scholes Option Pricing Model to determine the grant date fair values of the respective awards.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Option Award 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Fiscal Year Ended March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5/1/2021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Dr. Smith</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134,613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134,613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Ms. Cunningham</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668,827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Mr. Dotson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134,613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134,613</w:t>
            </w:r>
          </w:p>
        </w:tc>
      </w:tr>
      <w:tr>
        <w:trPr>
          <w:trHeight w:val="399"/>
        </w:trPr>
        <w:tc>
          <w:tcPr>
            <w:tcW w:w="5940" w:type="dxa"/>
            <w:vAlign w:val="bottom"/>
          </w:tcPr>
          <w:p>
            <w:pPr>
              <w:spacing w:after="0"/>
              <w:rPr>
                <w:sz w:val="20"/>
                <w:szCs w:val="20"/>
                <w:color w:val="auto"/>
              </w:rPr>
            </w:pPr>
            <w:r>
              <w:rPr>
                <w:rFonts w:ascii="Arial" w:cs="Arial" w:eastAsia="Arial" w:hAnsi="Arial"/>
                <w:sz w:val="18"/>
                <w:szCs w:val="18"/>
                <w:b w:val="1"/>
                <w:bCs w:val="1"/>
                <w:color w:val="auto"/>
              </w:rPr>
              <w:t>Option Shares Granted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Fiscal Year Ended March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5/1/2021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Dr. Smith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Ms. Cunningham</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Mr. Dotson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bl>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 xml:space="preserve">Option Award Assumptions </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Option Grant</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Option Grant</w:t>
            </w:r>
          </w:p>
        </w:tc>
      </w:tr>
      <w:tr>
        <w:trPr>
          <w:trHeight w:val="234"/>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 Ended March 31, 2021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5/1/2021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3/1/2022</w:t>
            </w:r>
          </w:p>
        </w:tc>
        <w:tc>
          <w:tcPr>
            <w:tcW w:w="160" w:type="dxa"/>
            <w:vAlign w:val="bottom"/>
          </w:tcPr>
          <w:p>
            <w:pPr>
              <w:spacing w:after="0"/>
              <w:rPr>
                <w:sz w:val="20"/>
                <w:szCs w:val="20"/>
                <w:color w:val="auto"/>
              </w:rPr>
            </w:pPr>
          </w:p>
        </w:tc>
      </w:tr>
      <w:tr>
        <w:trPr>
          <w:trHeight w:val="210"/>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Volatility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82.83%</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79.09%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Dividend 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Fair value per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bl>
    <w:p>
      <w:pPr>
        <w:spacing w:after="0" w:line="202" w:lineRule="exact"/>
        <w:rPr>
          <w:sz w:val="20"/>
          <w:szCs w:val="20"/>
          <w:color w:val="auto"/>
        </w:rPr>
      </w:pPr>
    </w:p>
    <w:p>
      <w:pPr>
        <w:jc w:val="both"/>
        <w:ind w:left="420" w:hanging="412"/>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during the period presented. Rather, the table below provides information regarding the option awards we granted to the NEOs during Fiscal 2022 and the assumptions used in the Black Scholes Option Pricing Model to determine the grant date fair values of the respective awards.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4/23/2020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12/30/2020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359,214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439,618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Dr. Smith</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40,188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179,257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219,445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Dotson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179,222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219,399</w:t>
            </w:r>
          </w:p>
        </w:tc>
      </w:tr>
      <w:tr>
        <w:trPr>
          <w:trHeight w:val="414"/>
        </w:trPr>
        <w:tc>
          <w:tcPr>
            <w:tcW w:w="5940" w:type="dxa"/>
            <w:vAlign w:val="bottom"/>
          </w:tcPr>
          <w:p>
            <w:pPr>
              <w:spacing w:after="0"/>
              <w:rPr>
                <w:sz w:val="20"/>
                <w:szCs w:val="20"/>
                <w:color w:val="auto"/>
              </w:rPr>
            </w:pPr>
            <w:r>
              <w:rPr>
                <w:rFonts w:ascii="Arial" w:cs="Arial" w:eastAsia="Arial" w:hAnsi="Arial"/>
                <w:sz w:val="18"/>
                <w:szCs w:val="18"/>
                <w:b w:val="1"/>
                <w:bCs w:val="1"/>
                <w:color w:val="auto"/>
              </w:rPr>
              <w:t>Option Shares Granted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Option Grant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4/23/2020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12/30/2020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Dr. Smith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Mr. Dotson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 xml:space="preserve">Option Award Assumptions </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Option Grant</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Option Grant</w:t>
            </w:r>
          </w:p>
        </w:tc>
      </w:tr>
      <w:tr>
        <w:trPr>
          <w:trHeight w:val="234"/>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 Ended March 31, 2021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4/23/2020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12/30/2020</w:t>
            </w:r>
          </w:p>
        </w:tc>
        <w:tc>
          <w:tcPr>
            <w:tcW w:w="160" w:type="dxa"/>
            <w:vAlign w:val="bottom"/>
          </w:tcPr>
          <w:p>
            <w:pPr>
              <w:spacing w:after="0"/>
              <w:rPr>
                <w:sz w:val="20"/>
                <w:szCs w:val="20"/>
                <w:color w:val="auto"/>
              </w:rPr>
            </w:pPr>
          </w:p>
        </w:tc>
      </w:tr>
      <w:tr>
        <w:trPr>
          <w:trHeight w:val="210"/>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Volatility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83.89%</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84.27%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Dividend 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Fair value per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r>
    </w:tbl>
    <w:p>
      <w:pPr>
        <w:spacing w:after="0" w:line="202" w:lineRule="exact"/>
        <w:rPr>
          <w:sz w:val="20"/>
          <w:szCs w:val="20"/>
          <w:color w:val="auto"/>
        </w:rPr>
      </w:pPr>
    </w:p>
    <w:p>
      <w:pPr>
        <w:ind w:left="520" w:right="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NEO is entitled to receive, nor has any NEO received, any perquisites or other personal benefits that, in the aggregate, are worth over $50,000 or over 10% of her or his base salary.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281"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2022, four six-month option periods have been completed under the 2019 ESPP. The table below indicates the number of shares purchased by each NEO and the per share purchase price for each option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4"/>
              </w:rPr>
              <w:t>Purchase Period Ended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13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June 30,</w:t>
            </w: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Per share purchase price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0.4480</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1.6575</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purchased by: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Mr. Singh</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Ms. Cunningham</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Mr. Dotson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Mr. Adler</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the conclusion of the option period under the 2019 ESPP that ended on June 30, 2022, each of Mr. Singh, Dr. Smith and Mr. Dotson acquired 5,000 shares at a per share purchase price of $0.7480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Outstanding Warrants and Options at March 31, 2022</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NEOs as of March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Stock Options and Warrants at March 31, 2022</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Number of Securities</w:t>
            </w: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Underlying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Unexercised 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Unexercised Options</w:t>
            </w:r>
          </w:p>
        </w:tc>
        <w:tc>
          <w:tcPr>
            <w:tcW w:w="5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and Warrants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and Warrants</w:t>
            </w:r>
          </w:p>
        </w:tc>
        <w:tc>
          <w:tcPr>
            <w:tcW w:w="5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 Exercisable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 Unexercisable</w:t>
            </w:r>
          </w:p>
        </w:tc>
        <w:tc>
          <w:tcPr>
            <w:tcW w:w="5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3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3/3/2023</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(1)</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(1)</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4/26/2027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2/2/2028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78,334</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(2)</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1,666</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(2)</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148,750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(4)</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21,250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(4)</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(5)</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290,624</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9,375</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215,625</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(7)</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84,375</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(8)</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280" w:type="dxa"/>
            <w:vAlign w:val="bottom"/>
            <w:gridSpan w:val="2"/>
          </w:tcPr>
          <w:p>
            <w:pPr>
              <w:ind w:left="2660"/>
              <w:spacing w:after="0"/>
              <w:rPr>
                <w:sz w:val="20"/>
                <w:szCs w:val="20"/>
                <w:color w:val="auto"/>
              </w:rPr>
            </w:pPr>
            <w:r>
              <w:rPr>
                <w:rFonts w:ascii="Arial" w:cs="Arial" w:eastAsia="Arial" w:hAnsi="Arial"/>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2,300,334</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341,666</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Smith</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8/5/2028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143,750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(3)</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(3)</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5/23/2029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(5)</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145,313</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4,687</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107,813</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(7)</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42,187</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(8)</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280" w:type="dxa"/>
            <w:vAlign w:val="bottom"/>
            <w:gridSpan w:val="2"/>
          </w:tcPr>
          <w:p>
            <w:pPr>
              <w:ind w:left="2620"/>
              <w:spacing w:after="0"/>
              <w:rPr>
                <w:sz w:val="20"/>
                <w:szCs w:val="20"/>
                <w:color w:val="auto"/>
              </w:rPr>
            </w:pPr>
            <w:r>
              <w:rPr>
                <w:rFonts w:ascii="Arial" w:cs="Arial" w:eastAsia="Arial" w:hAnsi="Arial"/>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1,319,376</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165,624</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M. Cunningham</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47,917</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(3)</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2,083</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(5)</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10/21/2029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72,656</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(6)</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2,344</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(6)</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0.398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4/23/2030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53,906</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(7)</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21,094</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(9)</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300,000</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5/1/2031</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(8)</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280" w:type="dxa"/>
            <w:vAlign w:val="bottom"/>
            <w:gridSpan w:val="2"/>
          </w:tcPr>
          <w:p>
            <w:pPr>
              <w:ind w:left="2660"/>
              <w:spacing w:after="0"/>
              <w:rPr>
                <w:sz w:val="20"/>
                <w:szCs w:val="20"/>
                <w:color w:val="auto"/>
              </w:rPr>
            </w:pPr>
            <w:r>
              <w:rPr>
                <w:rFonts w:ascii="Arial" w:cs="Arial" w:eastAsia="Arial" w:hAnsi="Arial"/>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311,979</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438,021</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5,001</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10/30/2022</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8/5/2028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9,375</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(3)</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(3)</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5/23/2029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(5)</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135,489</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4,687</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107,813</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(7)</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42,187</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(8)</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280" w:type="dxa"/>
            <w:vAlign w:val="bottom"/>
            <w:gridSpan w:val="2"/>
          </w:tcPr>
          <w:p>
            <w:pPr>
              <w:ind w:left="2660"/>
              <w:spacing w:after="0"/>
              <w:rPr>
                <w:sz w:val="20"/>
                <w:szCs w:val="20"/>
                <w:color w:val="auto"/>
              </w:rPr>
            </w:pPr>
            <w:r>
              <w:rPr>
                <w:rFonts w:ascii="Arial" w:cs="Arial" w:eastAsia="Arial" w:hAnsi="Arial"/>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1,080,178</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165,624</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Reid G. Adler</w:t>
            </w:r>
            <w:r>
              <w:rPr>
                <w:rFonts w:ascii="Arial" w:cs="Arial" w:eastAsia="Arial" w:hAnsi="Arial"/>
                <w:sz w:val="25"/>
                <w:szCs w:val="25"/>
                <w:color w:val="auto"/>
                <w:vertAlign w:val="superscript"/>
              </w:rPr>
              <w:t>(10)</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6/6/2023</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(5)</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7"/>
              </w:rPr>
              <w:t>(5)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10/21/2029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24,219</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(6)</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781</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(6)</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0.398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4/23/2030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(11)</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jc w:val="center"/>
              <w:ind w:right="25"/>
              <w:spacing w:after="0"/>
              <w:rPr>
                <w:sz w:val="20"/>
                <w:szCs w:val="20"/>
                <w:color w:val="auto"/>
              </w:rPr>
            </w:pPr>
            <w:r>
              <w:rPr>
                <w:rFonts w:ascii="Arial" w:cs="Arial" w:eastAsia="Arial" w:hAnsi="Arial"/>
                <w:sz w:val="15"/>
                <w:szCs w:val="15"/>
                <w:color w:val="auto"/>
                <w:w w:val="89"/>
              </w:rPr>
              <w:t>(11)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7/16/2031</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320" w:type="dxa"/>
            <w:vAlign w:val="bottom"/>
          </w:tcPr>
          <w:p>
            <w:pPr>
              <w:jc w:val="center"/>
              <w:spacing w:after="0"/>
              <w:rPr>
                <w:sz w:val="20"/>
                <w:szCs w:val="20"/>
                <w:color w:val="auto"/>
              </w:rPr>
            </w:pPr>
            <w:r>
              <w:rPr>
                <w:rFonts w:ascii="Arial" w:cs="Arial" w:eastAsia="Arial" w:hAnsi="Arial"/>
                <w:sz w:val="15"/>
                <w:szCs w:val="15"/>
                <w:color w:val="auto"/>
                <w:w w:val="87"/>
              </w:rPr>
              <w:t>(8)</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37,500</w:t>
            </w:r>
          </w:p>
        </w:tc>
        <w:tc>
          <w:tcPr>
            <w:tcW w:w="500" w:type="dxa"/>
            <w:vAlign w:val="bottom"/>
          </w:tcPr>
          <w:p>
            <w:pPr>
              <w:jc w:val="center"/>
              <w:ind w:right="25"/>
              <w:spacing w:after="0"/>
              <w:rPr>
                <w:sz w:val="20"/>
                <w:szCs w:val="20"/>
                <w:color w:val="auto"/>
              </w:rPr>
            </w:pPr>
            <w:r>
              <w:rPr>
                <w:rFonts w:ascii="Arial" w:cs="Arial" w:eastAsia="Arial" w:hAnsi="Arial"/>
                <w:sz w:val="15"/>
                <w:szCs w:val="15"/>
                <w:color w:val="auto"/>
                <w:w w:val="87"/>
              </w:rPr>
              <w:t>(8)</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3/1/2032</w:t>
            </w:r>
          </w:p>
        </w:tc>
        <w:tc>
          <w:tcPr>
            <w:tcW w:w="10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gridSpan w:val="2"/>
            <w:shd w:val="clear" w:color="auto" w:fill="CCEEFF"/>
          </w:tcPr>
          <w:p>
            <w:pPr>
              <w:ind w:left="2660"/>
              <w:spacing w:after="0"/>
              <w:rPr>
                <w:sz w:val="20"/>
                <w:szCs w:val="20"/>
                <w:color w:val="auto"/>
              </w:rPr>
            </w:pPr>
            <w:r>
              <w:rPr>
                <w:rFonts w:ascii="Arial" w:cs="Arial" w:eastAsia="Arial" w:hAnsi="Arial"/>
                <w:sz w:val="18"/>
                <w:szCs w:val="18"/>
                <w:i w:val="1"/>
                <w:iCs w:val="1"/>
                <w:color w:val="auto"/>
              </w:rPr>
              <w:t>Total:</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184,219</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63,281</w:t>
            </w: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580"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jc w:val="both"/>
        <w:ind w:left="620" w:hanging="612"/>
        <w:spacing w:after="0" w:line="259"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became fully exercisable. The exercise price of the option was reduced to $1.50 per share on August 29, 2018.</w:t>
      </w:r>
    </w:p>
    <w:p>
      <w:pPr>
        <w:spacing w:after="0" w:line="186" w:lineRule="exact"/>
        <w:rPr>
          <w:rFonts w:ascii="Arial" w:cs="Arial" w:eastAsia="Arial" w:hAnsi="Arial"/>
          <w:sz w:val="18"/>
          <w:szCs w:val="18"/>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63"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May 23, 2022, when all shares granted will be fully exercisable.</w:t>
      </w:r>
    </w:p>
    <w:p>
      <w:pPr>
        <w:spacing w:after="0" w:line="183" w:lineRule="exact"/>
        <w:rPr>
          <w:rFonts w:ascii="Arial" w:cs="Arial" w:eastAsia="Arial" w:hAnsi="Arial"/>
          <w:sz w:val="18"/>
          <w:szCs w:val="18"/>
          <w:color w:val="auto"/>
        </w:rPr>
      </w:pPr>
    </w:p>
    <w:p>
      <w:pPr>
        <w:jc w:val="both"/>
        <w:ind w:left="620" w:right="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$0.398 per share granted on April 23, 2020 when the market price of our common stock was $0.398 per share. The option became exercisable for 25% of the shares granted immediately upon grant, with the remaining shares becoming exercisable ratably monthly through April 23, 2022,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$1.77 per share granted on December 30, 2020 when the market price of our common stock was $1.77 per share. The option became exercisable for 25% of the shares granted immediately upon grant, with the remaining shares becoming exercisable ratably monthly through December 30, 2022,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8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an option to purchase shares of our common stock at $1.37 per share granted on March 1, 2022 when the market price of our common stock was $1.37 per share. The option became exercisable for 25% of the shares granted immediately upon grant, with the remaining shares becoming exercisable ratably monthly through March 1, 2024, when all shares granted will be fully exercisable.</w:t>
      </w:r>
    </w:p>
    <w:p>
      <w:pPr>
        <w:spacing w:after="0" w:line="165" w:lineRule="exact"/>
        <w:rPr>
          <w:rFonts w:ascii="Arial" w:cs="Arial" w:eastAsia="Arial" w:hAnsi="Arial"/>
          <w:sz w:val="17"/>
          <w:szCs w:val="17"/>
          <w:color w:val="auto"/>
        </w:rPr>
      </w:pPr>
    </w:p>
    <w:p>
      <w:pPr>
        <w:jc w:val="both"/>
        <w:ind w:left="620" w:hanging="612"/>
        <w:spacing w:after="0" w:line="259"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$2.53 per share granted to Ms. Cunningham upon commencement of her employment by the Company on May 1, 2021 when the market price of our common stock was $2.53 per share. The option becomes exercisable for 25% of the shares granted on the first anniversary of the grant date, with the remaining 75% of the shares becoming exercisable ratably monthly through May 1, 2025, when all shares granted will be fully exercisable.</w:t>
      </w:r>
    </w:p>
    <w:p>
      <w:pPr>
        <w:spacing w:after="0" w:line="186" w:lineRule="exact"/>
        <w:rPr>
          <w:rFonts w:ascii="Arial" w:cs="Arial" w:eastAsia="Arial" w:hAnsi="Arial"/>
          <w:sz w:val="18"/>
          <w:szCs w:val="18"/>
          <w:color w:val="auto"/>
        </w:rPr>
      </w:pPr>
    </w:p>
    <w:p>
      <w:pPr>
        <w:jc w:val="both"/>
        <w:ind w:left="620" w:hanging="612"/>
        <w:spacing w:after="0" w:line="255"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options to purchase shares of our common stock reflected in this table were awarded to Mr. Adler for services to the Company as a legal advisor prior to his employment by the Company effective May 1, 2022. On May 2, 2022, when the market price of our common stock was $1.28 per share, in conjunction with the commencement of his employment by the Company, Mr. Adler was granted an option to purchase 200,000 shares of our common stock at an exercise price of $1.28 per share. The option becomes exercisable for 25% of the shares granted on the first anniversary of the grant date, with the remaining 75% of the shares becoming exercisable ratably monthly through May 2, 2026, when all shares granted will be fully exercisable</w:t>
      </w:r>
    </w:p>
    <w:p>
      <w:pPr>
        <w:spacing w:after="0" w:line="192" w:lineRule="exact"/>
        <w:rPr>
          <w:rFonts w:ascii="Arial" w:cs="Arial" w:eastAsia="Arial" w:hAnsi="Arial"/>
          <w:sz w:val="18"/>
          <w:szCs w:val="18"/>
          <w:color w:val="auto"/>
        </w:rPr>
      </w:pPr>
    </w:p>
    <w:p>
      <w:pPr>
        <w:jc w:val="both"/>
        <w:ind w:left="620" w:hanging="612"/>
        <w:spacing w:after="0" w:line="263"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$2.74 per share granted on July 16, 2021 when the market price of our common stock was $2.74 per share. The option became exercisable for 25% of the shares granted immediately upon grant, with the remaining shares becoming exercisable ratably monthly through July 16, 2023, when all shares granted will be fully exercisable.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only have an employment agreement with Mr. Singh,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Mr. Singh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to $498,000 effective in April 2019, to $550,000 effective in January 2021 and to $600,000 effective in January 2022. Under his agreement, Mr. Singh is eligible to receive an annual incentive cash bonus of up to 50% of his base salary. The Compensation Committee awarded Mr. Singh a cash bonus of $350,000 in February 2022 for attainment of performance-based objectives during calendar 2021 and $333,660 in December 2020 for attainment of performance-based objectives during the period from April 1, 2019 through December 31, 2020. The award of his incentive bonus, if any,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spacing w:after="0" w:line="18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reduction in his responsibility; or</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reduction in his base salary except for reductions that are comparable to reductions generally applicable to similarly situated executives of Vistagen.</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Furthermore, pursuant to his employment agreement and his stock option award agreements, 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Mr. Singh’s employment agreement,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Mr. Singh’s employment agreement, the estimated amount that could be paid by us assuming that a change of control occurred on the last business day of our current fiscal year, is $600,000 for Mr. Singh, excluding any pro-rated portion of an annual or periodic bonus and the imputed value of accelerated vesting of stock options, if 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RATIFICATION OF THE APPOINTMENT OF WITHUMSMITH+BROWN, PC TO SERVE AS THE COMPANY'S INDEPENDENT REGISTERED PUBLIC ACCOUNTING FIRM FOR THE CURRENT FISCAL YEAR</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recommendation of the Audit Committee of the Board, the Board appointed OUM &amp; Co. LLP (</w:t>
      </w:r>
      <w:r>
        <w:rPr>
          <w:rFonts w:ascii="Arial" w:cs="Arial" w:eastAsia="Arial" w:hAnsi="Arial"/>
          <w:sz w:val="17"/>
          <w:szCs w:val="17"/>
          <w:i w:val="1"/>
          <w:iCs w:val="1"/>
          <w:color w:val="auto"/>
        </w:rPr>
        <w:t>OUM</w:t>
      </w:r>
      <w:r>
        <w:rPr>
          <w:rFonts w:ascii="Arial" w:cs="Arial" w:eastAsia="Arial" w:hAnsi="Arial"/>
          <w:sz w:val="17"/>
          <w:szCs w:val="17"/>
          <w:color w:val="auto"/>
        </w:rPr>
        <w:t>) as its independent registered public accounting firm for its fiscal year ended March 31, 2022. Subsequently, on July 15, 2021, WithumSmith+Brown, PC, an independent registered public accounting firm (</w:t>
      </w:r>
      <w:r>
        <w:rPr>
          <w:rFonts w:ascii="Arial" w:cs="Arial" w:eastAsia="Arial" w:hAnsi="Arial"/>
          <w:sz w:val="17"/>
          <w:szCs w:val="17"/>
          <w:i w:val="1"/>
          <w:iCs w:val="1"/>
          <w:color w:val="auto"/>
        </w:rPr>
        <w:t>Withum</w:t>
      </w:r>
      <w:r>
        <w:rPr>
          <w:rFonts w:ascii="Arial" w:cs="Arial" w:eastAsia="Arial" w:hAnsi="Arial"/>
          <w:sz w:val="17"/>
          <w:szCs w:val="17"/>
          <w:color w:val="auto"/>
        </w:rPr>
        <w:t>), acquired certain assets of OUM. As a result, OUM resigned as the Company’s independent registered public accounting firm and, concurrent with such resignation and the approval of our Audit Committee, we consented to the engagement of Withum. Our stockholders previously ratified the appointment of Withum at the 2021 annual meeting of stockholders held on September 17, 2021.</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recommendation of the Audit Committee, our Board appointed Withum as our independent registered public accounting firm for the current fiscal year ending March 32, 2023 and hereby recommends that the stockholders ratify such appointment.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terminate the appointment of Withum as the Company’s independent registered public accounting firm without the approval of the Company’s stockholders whenever the Board deems such termination necessary or appropriate.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Representatives of Withum will be present at the Annual Meeting or available by telephone and will have an opportunity to make a statement if they so desire and to respond to appropriate questions from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above, Withum served as our independent registered public accounting firm for our fiscal year ended March 31, 2022 and OUM served as our independent registered public accounting firm for our fiscal year ended March 31, 2021. Information provided below includes fees for professional services provided to us by Withum and OUM for the respective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520"/>
              <w:spacing w:after="0"/>
              <w:rPr>
                <w:sz w:val="20"/>
                <w:szCs w:val="20"/>
                <w:color w:val="auto"/>
              </w:rPr>
            </w:pPr>
            <w:r>
              <w:rPr>
                <w:rFonts w:ascii="Arial" w:cs="Arial" w:eastAsia="Arial" w:hAnsi="Arial"/>
                <w:sz w:val="18"/>
                <w:szCs w:val="18"/>
                <w:b w:val="1"/>
                <w:bCs w:val="1"/>
                <w:color w:val="auto"/>
              </w:rPr>
              <w:t>Fiscal Years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2022 and 2021, and for services normally provided by Withum or OUM in connection with routine statutory and regulatory filings or engagements.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8"/>
          <w:szCs w:val="18"/>
          <w:i w:val="1"/>
          <w:iCs w:val="1"/>
          <w:color w:val="auto"/>
        </w:rPr>
        <w:t>Audit Fees</w:t>
      </w:r>
      <w:r>
        <w:rPr>
          <w:rFonts w:ascii="Arial" w:cs="Arial" w:eastAsia="Arial" w:hAnsi="Arial"/>
          <w:sz w:val="18"/>
          <w:szCs w:val="18"/>
          <w:color w:val="auto"/>
        </w:rPr>
        <w:t>.” During our fiscal years ended March 31, 2022 and 2021, Withum and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2022 and 2021, no such fees were billed by either Withum or OUM.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Ratification of the selection of Withum as the Company’s independent registered public accounting firm for our fiscal year ending March 31, 2023 requires the affirmative vote of a majority of the votes cast, either present or represented by proxy. Abstentions and broker non-votes will have no effect on the ratification of Withum as the Company’s independent registered public accounting firm for our fiscal year ending March 31, 2023. Unless otherwise instructed on the proxy or unless authority to vote is withheld, shares represented by executed proxies will be voted “FOR” the ratification of Withum as the Company’s independent registered public accounting firm for our fiscal year ending March 31, 2023.</w:t>
      </w:r>
    </w:p>
    <w:p>
      <w:pPr>
        <w:spacing w:after="0" w:line="172"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ratification of the selection of Withum as our independent registered public accounting firm for our fiscal year ending March 31, 2023.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19"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has reviewed and discussed with management and WithumSmith+Brown (</w:t>
      </w:r>
      <w:r>
        <w:rPr>
          <w:rFonts w:ascii="Arial" w:cs="Arial" w:eastAsia="Arial" w:hAnsi="Arial"/>
          <w:sz w:val="18"/>
          <w:szCs w:val="18"/>
          <w:i w:val="1"/>
          <w:iCs w:val="1"/>
          <w:color w:val="auto"/>
        </w:rPr>
        <w:t>Withum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2022. The Audit Committee also discussed with Withum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2022.</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MEMBERS OF THE AUDIT COMMITTEE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Mary L. Rotunno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20, 2022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ind w:left="640"/>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AUTHORIZATION TO IMPLEMENT A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Background</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Board is recommending that our stockholders approve a potential amendment to our Restated and Amended Articles of Incorporation, as amended (our </w:t>
      </w:r>
      <w:r>
        <w:rPr>
          <w:rFonts w:ascii="Arial" w:cs="Arial" w:eastAsia="Arial" w:hAnsi="Arial"/>
          <w:sz w:val="16"/>
          <w:szCs w:val="16"/>
          <w:i w:val="1"/>
          <w:iCs w:val="1"/>
          <w:color w:val="auto"/>
        </w:rPr>
        <w:t>Charter</w:t>
      </w:r>
      <w:r>
        <w:rPr>
          <w:rFonts w:ascii="Arial" w:cs="Arial" w:eastAsia="Arial" w:hAnsi="Arial"/>
          <w:sz w:val="16"/>
          <w:szCs w:val="16"/>
          <w:color w:val="auto"/>
        </w:rPr>
        <w:t xml:space="preserve">) in substantially the form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enable our Board to implement a reverse stock split of our outstanding shares of common stock at a reverse stock split ratio of between 1-for-2 and 1-for-30, as determined by the Board in its sole discretion, should the Board determine that to be advisable and in the best interests of the Company, at any time prior to the one-year anniversary of this Annual Meeting (the </w:t>
      </w:r>
      <w:r>
        <w:rPr>
          <w:rFonts w:ascii="Arial" w:cs="Arial" w:eastAsia="Arial" w:hAnsi="Arial"/>
          <w:sz w:val="16"/>
          <w:szCs w:val="16"/>
          <w:i w:val="1"/>
          <w:iCs w:val="1"/>
          <w:color w:val="auto"/>
        </w:rPr>
        <w:t>Reverse</w:t>
      </w:r>
      <w:r>
        <w:rPr>
          <w:rFonts w:ascii="Arial" w:cs="Arial" w:eastAsia="Arial" w:hAnsi="Arial"/>
          <w:sz w:val="16"/>
          <w:szCs w:val="16"/>
          <w:color w:val="auto"/>
        </w:rPr>
        <w:t xml:space="preserve"> </w:t>
      </w:r>
      <w:r>
        <w:rPr>
          <w:rFonts w:ascii="Arial" w:cs="Arial" w:eastAsia="Arial" w:hAnsi="Arial"/>
          <w:sz w:val="16"/>
          <w:szCs w:val="16"/>
          <w:i w:val="1"/>
          <w:iCs w:val="1"/>
          <w:color w:val="auto"/>
        </w:rPr>
        <w:t>Split</w:t>
      </w:r>
      <w:r>
        <w:rPr>
          <w:rFonts w:ascii="Arial" w:cs="Arial" w:eastAsia="Arial" w:hAnsi="Arial"/>
          <w:sz w:val="16"/>
          <w:szCs w:val="16"/>
          <w:color w:val="auto"/>
        </w:rPr>
        <w:t>). If the stockholders approve and adopt the potential amendment to our Charter to authorize the Reverse Split, and if our Board decides to implement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it, the Reverse Split will become effective on the date of the filing of the potential amendment with the Secretary of State of the State of Nevada. However, even if stockholders approve this Proposal No. 5 at the Annual Meeting, the Board will have discretion to delay or not to implement the Reverse Split at all.</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implemented, the Reverse Split will be realized simultaneously for all outstanding shares of common stock and the ratio determined by our Board will be the same for all outstanding shares of common stock. The Reverse Split will affect all holders of shares of our common stock uniformly and each stockholder will hold the same percentage of our common stock outstanding immediately following the Reverse Split as that stockholder held immediately prior to the Reverse Split, except for adjustments that may result from the treatment of fractional shares as described below. The proposed amendment will not reduce the number of authorized shares of common stock (which will remain at 325,000,000) or preferred stock (which will remain at 10,000,000) or change the par values of our common or preferred stock (which will both remain at $0.001 per share).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is currently quoted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we may be delisted from NASDAQ.</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minimum closing bid price requirement set forth in NASDAQ Listing Rule 5550(a)(2) is $1.00. Our common stock has traded below $1.00 since July 22, 2022, and the last reported closing price of our common stock on August 19, 2022 was $0.2150. Although we have not yet received a notice from NASDAQ that we are not in compliance with the $1.00 per share minimum closing bid price Continued Listing requirement, we expect we will receive such a notice in the near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Reverse Stock Split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Board’s primary objective in seeking authority to implement a Reverse Split is to have the ability to raise the per share trading price of our common stock to help us ensure we maintain the listing of our common stock on NASDAQ.</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Delisting from NASDAQ may adversely affect our ability to raise additional financing through the public or private sale of equity securities, may significantly affect the ability of investors to trade our securities and may negatively affect the value and liquidity of our common stock. Delisting also could have other negative results, including the potential loss of employee confidence, the loss of institutional investors or interest in business development opportunities.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delisted from NASDAQ and we are not able to list our common stock on another exchange, our common stock could be quoted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OTC Bulletin Board or in the “pink sheets.” As a result, we could face significant adverse consequences including, among others:</w:t>
      </w:r>
    </w:p>
    <w:p>
      <w:pPr>
        <w:spacing w:after="0" w:line="21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amount of news and little or no analyst coverage for us;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no longer qualify for exemptions from state securities registration requirements, which may require us to comply with applicable state securities laws;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Record Date, we were not in compliance with the NASDAQ minimum bid price requirement. Our Board believes that the proposed Reverse Split is a potentially effective means, if necessary, for us to regain or maintain compliance with the listing rules of NASDAQ and to avoid, or at least mitigate, the likely adverse consequences of our common stock being delisted from the NASDAQ by producing the immediate effect of increasing the bid price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Increase the Market Price of our Common Stock to a Level More Appealing for Investors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also believe that the Reverse Split could enhance the appeal of our common stock to the financial community, including institutional investors, and to the general investing public. We believe that a number of institutional investors and investment funds are reluctant to invest in lower-priced securities and that brokerage firms may be reluctant to recommend lower-priced securities to their clients, which may be due in part to a perception that lower-priced securities are less promising as investments, are less liquid in the event that an investor wishes to sell its shares, or are less likely to be followed by institutional securities research firms and therefore more likely to have less third-party analysis of the Company available to investors. We believe that the reduction in the number of issued and outstanding shares of our common stock caused by the Reverse Split, together with the anticipated increased stock price immediately following and resulting from the Reverse Split, may encourage interest and trading in our common stock and thus possibly promote greater liquidity for our stockholders, thereby resulting in a broader market for the common stock than that which currently exists.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cannot assure you that all or any of the anticipated beneficial effects on the trading market for our common stock will occur. Our Board cannot predict with certainty what effect the Reverse Split will have on the market price of our common stock, particularly over the longer term. Some investors may view a reverse stock split negatively, which could result in a decrease in our market capitalization. Additionally, any improvement in liquidity due to increased institutional or brokerage interest or lower trading commissions may be offset by the lower number of outstanding shares. Further, we cannot provide you with any assurance that our shares will continue to qualify for listing on NASDAQ. As a result, the trading liquidity of our common stock may not improve. In addition, investors might consider the increased proportion of unissued authorized shares to issued shares to have an anti-takeover effect under certain circumstances, since the proportion allows for dilutive issuances.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Ratio</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ratio of the Reverse Split, if approved and implemented, will be a ratio of between 1-for-2 and 1-for-30 as determined by the Board in its sole discretion, prior to the one-year anniversary of this Annual Meeting or October 14, 2023. Even if approved, the Board will have discretion to delay or not to implement the Reverse Split at all.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determining the Reverse Split ratio, our Board will consider numerous factors, including: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historical and projected performance of our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other related conditions prevailing in our industry and in the marketplace;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projected impact of the selected Reverse Split ratio on trading liquidity in our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capitalization (including the number of shares of our common stock issued and outstanding);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prevailing trading price for our common stock and the volume level thereof;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devaluation of our market capitalization as a result of a Reverse Split.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purpose of asking for authorization to amend our Charter to implement the Reverse Split at a ratio to be determined by the Board, as opposed to a ratio fixed in advance, is to give our Board the flexibility to consider then-current market conditions and changes in price of our common stock and to respond to other developments that may be deemed relevant when determining the appropriate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reverse stock split refers to a reduction in the number of outstanding shares of a class of a corporation’s capital stock, which may be accomplished, as in this case, by reclassifying and combining all of our outstanding shares of common stock into a proportionately smaller number of shares. For example, if our Board decides to implement a 1-for-5 reverse stock split of our common stock, then a stockholder holding 10,000 shares of our common stock before the Reverse Split would instead hold 2,000 shares of our common stock immediately after the Reverse Split. The Reverse Split will affect all of our stockholders uniformly and will not affect any stockholder’s percentage ownership interests in our company or proportionate voting power, except for minor adjustments due to the additional net share fraction that will need to be issued as a result of the treatment of fractional shares. No fractional shares will be issued in connection with the Reverse Split. Instead, we will issue one full share of the post-Reverse Split common stock to any stockholder who would have been entitled to receive a fractional share as a result of the process.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principal effect of the Reverse Split will be that (i) the number of shares of common stock issued and outstanding will be reduced from 206,836,345 shares as of August 16, 2022 to a number of shares between and including one-half to one-thirtieth of that amount, as the case may be, based on the ratio for the Reverse Split as determined by our Board, and (ii) all outstanding options and warrants entitling the holders thereof to purchase shares of common stock will enable such holders to purchase, upon exercise of their options or warrants, as applicable, between and including one-half to one-thirtieth of the number of shares of common stock which such holders would have been able to purchase upon exercise of their options or warrants, as applicable, immediately preceding the Reverse Split at an exercise price equal to between and including two to thirty times the exercise price specified before the Reverse Split, resulting in essentially the same exercise price available pre-Reverse Split.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648"/>
        <w:spacing w:after="0" w:line="263" w:lineRule="auto"/>
        <w:rPr>
          <w:sz w:val="20"/>
          <w:szCs w:val="20"/>
          <w:color w:val="auto"/>
        </w:rPr>
      </w:pPr>
      <w:r>
        <w:rPr>
          <w:rFonts w:ascii="Arial" w:cs="Arial" w:eastAsia="Arial" w:hAnsi="Arial"/>
          <w:sz w:val="18"/>
          <w:szCs w:val="18"/>
          <w:color w:val="auto"/>
        </w:rPr>
        <w:t>The following table, which is for illustrative purposes only, illustrates the effects of the Reverse Split at certain exchange ratios within the foregoing range, without giving effect to any adjustments for fractional shares of our outstanding common stock, on our outstanding shares of common stock and authorized shares of capital stock as of August 16,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color w:val="auto"/>
              </w:rPr>
              <w:t>Before</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After Reverse Split</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Common</w:t>
            </w:r>
          </w:p>
        </w:tc>
        <w:tc>
          <w:tcPr>
            <w:tcW w:w="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1"/>
              </w:rPr>
              <w:t>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Reverse Split</w:t>
            </w:r>
          </w:p>
        </w:tc>
        <w:tc>
          <w:tcPr>
            <w:tcW w:w="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1-for-2</w:t>
            </w: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1-for-3</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1-for-5</w:t>
            </w:r>
          </w:p>
        </w:tc>
        <w:tc>
          <w:tcPr>
            <w:tcW w:w="10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1-for-10</w:t>
            </w: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1-for-15</w:t>
            </w: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1-for-20</w:t>
            </w: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1-for-25</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1-for-30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3"/>
              </w:rPr>
              <w:t>325,000,000</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Authorized</w:t>
            </w: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98"/>
              </w:rPr>
              <w:t>and Outstanding</w:t>
            </w:r>
          </w:p>
        </w:tc>
        <w:tc>
          <w:tcPr>
            <w:tcW w:w="5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206,836,345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103,418,173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68,945,448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41,367,269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20,683,635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13,789,090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10,341,817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8,273,454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8"/>
              </w:rPr>
              <w:t>Underlying Options and</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Warrants</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29,111,185</w:t>
            </w:r>
          </w:p>
        </w:tc>
        <w:tc>
          <w:tcPr>
            <w:tcW w:w="1020" w:type="dxa"/>
            <w:vAlign w:val="bottom"/>
          </w:tcPr>
          <w:p>
            <w:pPr>
              <w:jc w:val="right"/>
              <w:spacing w:after="0"/>
              <w:rPr>
                <w:sz w:val="20"/>
                <w:szCs w:val="20"/>
                <w:color w:val="auto"/>
              </w:rPr>
            </w:pPr>
            <w:r>
              <w:rPr>
                <w:rFonts w:ascii="Arial" w:cs="Arial" w:eastAsia="Arial" w:hAnsi="Arial"/>
                <w:sz w:val="18"/>
                <w:szCs w:val="18"/>
                <w:color w:val="auto"/>
              </w:rPr>
              <w:t>14,555,593</w:t>
            </w:r>
          </w:p>
        </w:tc>
        <w:tc>
          <w:tcPr>
            <w:tcW w:w="1040" w:type="dxa"/>
            <w:vAlign w:val="bottom"/>
          </w:tcPr>
          <w:p>
            <w:pPr>
              <w:jc w:val="right"/>
              <w:spacing w:after="0"/>
              <w:rPr>
                <w:sz w:val="20"/>
                <w:szCs w:val="20"/>
                <w:color w:val="auto"/>
              </w:rPr>
            </w:pPr>
            <w:r>
              <w:rPr>
                <w:rFonts w:ascii="Arial" w:cs="Arial" w:eastAsia="Arial" w:hAnsi="Arial"/>
                <w:sz w:val="18"/>
                <w:szCs w:val="18"/>
                <w:color w:val="auto"/>
              </w:rPr>
              <w:t>9,703,728</w:t>
            </w:r>
          </w:p>
        </w:tc>
        <w:tc>
          <w:tcPr>
            <w:tcW w:w="1020" w:type="dxa"/>
            <w:vAlign w:val="bottom"/>
          </w:tcPr>
          <w:p>
            <w:pPr>
              <w:jc w:val="right"/>
              <w:spacing w:after="0"/>
              <w:rPr>
                <w:sz w:val="20"/>
                <w:szCs w:val="20"/>
                <w:color w:val="auto"/>
              </w:rPr>
            </w:pPr>
            <w:r>
              <w:rPr>
                <w:rFonts w:ascii="Arial" w:cs="Arial" w:eastAsia="Arial" w:hAnsi="Arial"/>
                <w:sz w:val="18"/>
                <w:szCs w:val="18"/>
                <w:color w:val="auto"/>
              </w:rPr>
              <w:t>5,822,237</w:t>
            </w:r>
          </w:p>
        </w:tc>
        <w:tc>
          <w:tcPr>
            <w:tcW w:w="1060" w:type="dxa"/>
            <w:vAlign w:val="bottom"/>
          </w:tcPr>
          <w:p>
            <w:pPr>
              <w:jc w:val="right"/>
              <w:spacing w:after="0"/>
              <w:rPr>
                <w:sz w:val="20"/>
                <w:szCs w:val="20"/>
                <w:color w:val="auto"/>
              </w:rPr>
            </w:pPr>
            <w:r>
              <w:rPr>
                <w:rFonts w:ascii="Arial" w:cs="Arial" w:eastAsia="Arial" w:hAnsi="Arial"/>
                <w:sz w:val="18"/>
                <w:szCs w:val="18"/>
                <w:color w:val="auto"/>
              </w:rPr>
              <w:t>2,911,119</w:t>
            </w:r>
          </w:p>
        </w:tc>
        <w:tc>
          <w:tcPr>
            <w:tcW w:w="1040" w:type="dxa"/>
            <w:vAlign w:val="bottom"/>
          </w:tcPr>
          <w:p>
            <w:pPr>
              <w:jc w:val="right"/>
              <w:spacing w:after="0"/>
              <w:rPr>
                <w:sz w:val="20"/>
                <w:szCs w:val="20"/>
                <w:color w:val="auto"/>
              </w:rPr>
            </w:pPr>
            <w:r>
              <w:rPr>
                <w:rFonts w:ascii="Arial" w:cs="Arial" w:eastAsia="Arial" w:hAnsi="Arial"/>
                <w:sz w:val="18"/>
                <w:szCs w:val="18"/>
                <w:color w:val="auto"/>
              </w:rPr>
              <w:t>1,940,746</w:t>
            </w:r>
          </w:p>
        </w:tc>
        <w:tc>
          <w:tcPr>
            <w:tcW w:w="1060" w:type="dxa"/>
            <w:vAlign w:val="bottom"/>
          </w:tcPr>
          <w:p>
            <w:pPr>
              <w:jc w:val="right"/>
              <w:spacing w:after="0"/>
              <w:rPr>
                <w:sz w:val="20"/>
                <w:szCs w:val="20"/>
                <w:color w:val="auto"/>
              </w:rPr>
            </w:pPr>
            <w:r>
              <w:rPr>
                <w:rFonts w:ascii="Arial" w:cs="Arial" w:eastAsia="Arial" w:hAnsi="Arial"/>
                <w:sz w:val="18"/>
                <w:szCs w:val="18"/>
                <w:color w:val="auto"/>
              </w:rPr>
              <w:t>1,455,559</w:t>
            </w:r>
          </w:p>
        </w:tc>
        <w:tc>
          <w:tcPr>
            <w:tcW w:w="1040" w:type="dxa"/>
            <w:vAlign w:val="bottom"/>
          </w:tcPr>
          <w:p>
            <w:pPr>
              <w:jc w:val="right"/>
              <w:spacing w:after="0"/>
              <w:rPr>
                <w:sz w:val="20"/>
                <w:szCs w:val="20"/>
                <w:color w:val="auto"/>
              </w:rPr>
            </w:pPr>
            <w:r>
              <w:rPr>
                <w:rFonts w:ascii="Arial" w:cs="Arial" w:eastAsia="Arial" w:hAnsi="Arial"/>
                <w:sz w:val="18"/>
                <w:szCs w:val="18"/>
                <w:color w:val="auto"/>
              </w:rPr>
              <w:t>1,164,447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971,373</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Available</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Grant Under 2019</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and 2019 ESPP</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7,478,493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3,739,247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authorized and</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line="230" w:lineRule="exact"/>
              <w:rPr>
                <w:sz w:val="20"/>
                <w:szCs w:val="20"/>
                <w:color w:val="auto"/>
              </w:rPr>
            </w:pPr>
            <w:r>
              <w:rPr>
                <w:rFonts w:ascii="Arial" w:cs="Arial" w:eastAsia="Arial" w:hAnsi="Arial"/>
                <w:sz w:val="16"/>
                <w:szCs w:val="16"/>
                <w:color w:val="auto"/>
              </w:rPr>
              <w:t>unreserved</w:t>
            </w:r>
            <w:r>
              <w:rPr>
                <w:rFonts w:ascii="Arial" w:cs="Arial" w:eastAsia="Arial" w:hAnsi="Arial"/>
                <w:sz w:val="26"/>
                <w:szCs w:val="26"/>
                <w:color w:val="auto"/>
                <w:vertAlign w:val="superscript"/>
              </w:rPr>
              <w:t>(1)</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81,573,977</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203,286,989</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243,857,992</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276,314,795</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300,657,398</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308,771,598</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312,828,699</w:t>
            </w: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315,262,959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316,885,799</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Per Share Bid Price</w:t>
            </w:r>
            <w:r>
              <w:rPr>
                <w:rFonts w:ascii="Arial" w:cs="Arial" w:eastAsia="Arial" w:hAnsi="Arial"/>
                <w:sz w:val="25"/>
                <w:szCs w:val="25"/>
                <w:color w:val="auto"/>
                <w:vertAlign w:val="superscript"/>
              </w:rPr>
              <w:t>(2)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includes shares that may be issued in connection with at-the-market offering program with Jefferies LLC.</w:t>
      </w:r>
    </w:p>
    <w:p>
      <w:pPr>
        <w:spacing w:after="0" w:line="225" w:lineRule="exact"/>
        <w:rPr>
          <w:rFonts w:ascii="Arial" w:cs="Arial" w:eastAsia="Arial" w:hAnsi="Arial"/>
          <w:sz w:val="18"/>
          <w:szCs w:val="18"/>
          <w:color w:val="auto"/>
        </w:rPr>
      </w:pPr>
    </w:p>
    <w:p>
      <w:pPr>
        <w:ind w:left="620" w:hanging="612"/>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than the per share bid price before the Reverse Split, which price is the last reported bis price on August 16, 2022, as reported on The NASDAQ Capital Market, all per share bid prices are only estimates.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Amending our Charter to implement the Reverse Split will not change the terms of our common stock. The shares of new common stock will have the same voting rights and rights to dividends and distributions and will be identical in all other respects to the common stock now authorized. The common stock issued pursuant to the Reverse Split will remain fully paid and non-assessable. The Reverse Split is not intended as, and will not have the effect of, a “going private transaction” covered by Rule 13e-3 under the Exchange Act. In the event our stockholders approve this Proposal No. 5 at the Annual Meeting and our Board implements the Reverse Split, we will continue to be subject to the periodic reporting requirements of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Reverse Split will not affect the par value of our common stock. As a result, on the effective date of the Reverse Split, the par value on our balance sheet attributable to the common stock will be reduced to between and including one-half to one-thirtieth of its present amount, as the case may be based on the ratio for the Reverse Split as determined by our Board, and the additional paid-in capital account will be credited with the amount by which the par value is reduced. The per share net loss and net book value of our common stock will be retroactively increased for each period because there will be fewer shares of our common stock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Authorized but Unissued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Reverse Split will have the effect of significantly increasing the number of our authorized but unissued shares of common stock. The number of authorized shares of our common stock will not be decreased and will remain at 325,000,000. Because the number of outstanding shares will be reduced as a result of the Reverse Split, the number of authorized shares available for issuance will be increased. See the table above under the caption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of the Reverse Stock Split </w:t>
      </w:r>
      <w:r>
        <w:rPr>
          <w:rFonts w:ascii="Arial" w:cs="Arial" w:eastAsia="Arial" w:hAnsi="Arial"/>
          <w:sz w:val="18"/>
          <w:szCs w:val="18"/>
          <w:color w:val="auto"/>
        </w:rPr>
        <w:t>that shows the number of unreserved shares of common stock that would be available for issuance at various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Split ratios.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believes that we will need to raise additional capital to advance development of our product candidates and advance other aspects of our business plan. In addition, we may issue shares to acquire other companies or assets or engage in business combination transactions. As of the date of this Proxy Statement, we have no specific plans, arrangements or understandings, whether written or oral, with respect to the increase in shares available for issuance as a result of the Reverse Split.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Potential Anti-Takeover and Dilutive Effects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purpose of the Reverse Split is not to establish any barriers to a change of control or acquisition of the Company. However, because the number of authorized shares of common stock will remain at 325,000,000, this Proposal No. 5, if adopted and implemented, will result in a relative increase in the number of authorized but unissued shares of our common stock as compared to the outstanding shares of our common stock and could, under certain circumstances, have an anti-takeover effect. Shares of common stock that are authorized but unissued provide our Board with flexibility to effect, among other transactions, public or private financings, mergers, acquisitions, stock dividends, stock splits and the granting of equity incentive awards. However, these authorized but unissued shares may also be used by our Board, consistent with and subject to its fiduciary duties, to deter future attempts to gain control of us or make such actions more expensive and less desirable. Assuming stockholders approve this Proposal No. 5 at the Annual Meeting, our Board will continue to have authority to issue additional shares from time to time without delay or further action by the stockholders except as may be required by applicable law or the NASDAQ listing standards, assuming we remain listed on NASDAQ. Our Board is not aware of any attempt to take control of our business and has not considered the Reverse Split as a tool to be utilized as a type of anti-takeover device. We currently have no plans, proposals or arrangements to issue any shares of common stock that would become newly available for issuance as a result of the Reverse Split.</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we do issue additional shares of our common stock, the issuance could have a dilutive effect on earnings per share and the book or market value of the outstanding common stock, depending on the circumstances, and would likely dilute a stockholder’s percentage voting power. Holders of common stock are not entitled to preemptive rights or other protections against dilution. Our Board intends to take these factors into account before authorizing any new issuance of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Associated with the Reverse Split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Before voting on this Proposal No. 5, you should consider the following risks associated with the implementation of the Reverse Split:</w:t>
      </w:r>
    </w:p>
    <w:p>
      <w:pPr>
        <w:spacing w:after="0" w:line="225" w:lineRule="exact"/>
        <w:rPr>
          <w:sz w:val="20"/>
          <w:szCs w:val="20"/>
          <w:color w:val="auto"/>
        </w:rPr>
      </w:pPr>
    </w:p>
    <w:p>
      <w:pPr>
        <w:jc w:val="both"/>
        <w:ind w:left="980" w:hanging="324"/>
        <w:spacing w:after="0" w:line="270"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Although we expect that the Reverse Split will result in an increase in the market price of our common stock, we cannot assure you that the Reverse Split, if implemented, will increase the market price of our common stock in proportion to the reduction in the number of shares of common stock outstanding or result in a permanent increase in the market price. The effect the Reverse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Accordingly, the total market capitalization of our common stock after the proposed Reverse Split may be lower than the total market capitalization before the proposed Reverse Split and, in the future, the market price of our common stock following the Reverse Split may not exceed or remain higher than the market price prior to the proposed Reverse Split.</w:t>
      </w:r>
    </w:p>
    <w:p>
      <w:pPr>
        <w:spacing w:after="0" w:line="180"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stockholders do not approve of this Proposal No. 5 at the Annual Meeting and we remain out of compliance with the $1.00 minimum bid price required for continued listing on NASDAQ, our Board, acting alone in accordance with Section 78.207 of the Nevada Revised Statutes, may instead implement a reverse stock split of both our issued and outstanding shares of common stock and the shares of common stock authorized for issuance pursuant to our Charter. Although such action may allow us to maintain the listing of our common stock on NASDAQ, our ability to raise capital to fund our planned operations and/or issue shares of common stock in connection with a strategic partnership or acquisition will be limited.</w:t>
      </w:r>
    </w:p>
    <w:p>
      <w:pPr>
        <w:spacing w:after="0" w:line="19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Reverse Split may result in some stockholders owning “odd lots” of less than 100 shares of our common stock on a post-split basis. These odd lots may be more difficult to sell, or require greater transaction costs per share to sell, than shares in “round lots” of even multiples of 100 shares.</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While our Board believes that a higher stock price may help generate investor interest, 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liquidity of our common stock may be harmed by the Reverse Split, if implemented, given the reduced number of shares of common stock that would be outstanding after the proposed Reverse Split, particularly if the price of our commons stock does not increase as a result of the proposed Reverse Split.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Procedure for Implementing the Reverse Split and Exchange of Stock Certificates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Reverse Split is approved by our stockholders, the Reverse Split would become effective at such time prior to the one-year anniversary of this Annual Meeting as deemed by our Board to be in the best interests of the Company and its stockholders and we file the amendment to our Charter with the Secretary of State of the State of Nevada. Even if the Reverse Split is approved by our stockholders, our Board has discretion not to carry out or to delay in carrying out the Reverse Split. Upon the filing of the amendment to our Charter, all the old common stock will be converted into new common stock as set forth in the amendment.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soon as practicable after the effective time of the Reverse Split, stockholders will be notified that the Reverse Split has been implemented. If you hold shares of common stock in a book-entry form, you will receive a transmittal letter from Computershare, our transfer agent, as soon as practicable after the effective date of the Reverse Split with instructions on how to exchange your shares. After you submit your completed transmittal letter, a transaction statement will be sent to your address of record as soon as practicable after the effective date of the Reverse Split indicating the number of post-Reverse Split shares of common stock you hold.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Some stockholders hold their shares of common stock in certificate form or a combination of certificate and book-entry form. Computershare will act as exchange agent for purposes of implementing the exchange of stock certificates, if applicable. If you are a stockholder holding pre-split shares in certificate form, you will receive a transmittal letter from Computershare as soon as practicable after the effective time of the Reverse Split. The transmittal letter will be accompanied by instructions specifying how you can exchange your certificate representing the pre-split shares of our common stock for a statement of holding. When you submit your certificate representing the pre-split shares of our common stock, your post-split shares of our common stock will be held electronically in book-entry form in the Direct Registration System. This means that, instead of receiving a new stock certificate, you will receive a statement of holding that indicates the number of post-split shares you own in book-entry form. We will no longer issue physical stock certificates unless you make a specific request for a share certificate representing your post-split ownership interest.</w:t>
      </w:r>
    </w:p>
    <w:p>
      <w:pPr>
        <w:spacing w:after="0" w:line="17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Stockholders should not destroy any stock certificate(s) and</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should not submit any certificate(s) until requested to do so.</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Beginning on the effective date of the Reverse Split, each certificate representing pre-split shares will be deemed for all corporate purposes to evidence ownership of post-split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fractional shares will be issued in connection with the Reverse Split. Instead, we will issue one full share of the post-Reverse Split common stock to any stockholder who would have been entitled to receive a fractional share as a result of the process. Each common stockholder will hold the same percentage of the outstanding common stock immediately following the Reverse Split as that stockholder did immediately prior to the Reverse Split, except for minor adjustment due to the additional net share fraction that will need to be issued as a result of the treatment of fractional shares.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w:t>
      </w:r>
      <w:r>
        <w:rPr>
          <w:rFonts w:ascii="Arial" w:cs="Arial" w:eastAsia="Arial" w:hAnsi="Arial"/>
          <w:sz w:val="18"/>
          <w:szCs w:val="18"/>
          <w:color w:val="auto"/>
        </w:rPr>
        <w:t>’</w:t>
      </w:r>
      <w:r>
        <w:rPr>
          <w:rFonts w:ascii="Arial" w:cs="Arial" w:eastAsia="Arial" w:hAnsi="Arial"/>
          <w:sz w:val="18"/>
          <w:szCs w:val="18"/>
          <w:b w:val="1"/>
          <w:bCs w:val="1"/>
          <w:color w:val="auto"/>
        </w:rPr>
        <w:t>s Rights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Chapter 78 of the Nevada Revised Statutes, our stockholders are not entitled to dissenter’s rights with respect to the Reverse Split or the corresponding amendment to our Charter to implement the Reverse Split and we will not independently provide our stockholders with any such right.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Reverse Split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is a summary of certain material U.S. federal income tax consequences of the Reverse Split to the holders of our common stock. It addresses only stockholders who hold our common stock as capital assets. It does not purport to be complete, does not address all aspects of U.S. federal income taxation that may be relevant to holders in light of their particular circumstances, does not address U.S. federal estate or gift taxes, the alternative minimum tax or the Medicare tax on investment income and does not address stockholders subject to special rules, including without limitation financial institutions, tax-exempt organizations, insurance companies, dealers in securities, foreign stockholders, stockholders who hold their pre- Reverse Split shares as part of a straddle, hedge or conversion transaction, and stockholders who acquired their pre- Reverse Split shares pursuant to the exercise of employee stock options or otherwise as compensation. In addition, this summary does not consider or discuss the tax treatment of partnerships or other pass-through entities or persons that hold our shares through such entities.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48"/>
        <w:spacing w:after="0" w:line="257" w:lineRule="auto"/>
        <w:rPr>
          <w:sz w:val="20"/>
          <w:szCs w:val="20"/>
          <w:color w:val="auto"/>
        </w:rPr>
      </w:pPr>
      <w:r>
        <w:rPr>
          <w:rFonts w:ascii="Arial" w:cs="Arial" w:eastAsia="Arial" w:hAnsi="Arial"/>
          <w:sz w:val="18"/>
          <w:szCs w:val="18"/>
          <w:color w:val="auto"/>
        </w:rPr>
        <w:t xml:space="preserve">This summary is based on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regulations, rulings, and decisions in effect on the date hereof, all of which are subject to change (possibly with retroactive effect) and to differing interpretations. It does not address tax considerations under state, local, foreign and other laws. This summary is for general information purposes only, and the tax treatment of a stockholder may vary depending upon the particular facts and circumstances of such stockholder. Each stockholder is urged to consult with such stockholder’s own tax advisor with respect to the tax consequences of the Reverse Split.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Reverse Split is intended to constitute a “recapitalization” within the meaning of Section 368(a)(1)(E) of the Code for U.S. federal income tax purposes. Assuming that such treatment is correct, the Reverse Split generally will not result in the recognition of gain or loss for U.S. federal income tax purposes, except potentially with respect to any additional fractions of a share of our common stock received as a result of the rounding up of any fractional shares that otherwise would be issued, as discussed below. Subject to the following discussion regarding a stockholder’s receipt of a whole share of our common stock in lieu of a fractional share, the adjusted basis of the new shares of common stock will be the same as the adjusted basis of the common stock exchanged for such new shares. The holding period of the new, post- Reverse Split shares of the common stock resulting from implementation of the Reverse Split will include the stockholder’s respective holding periods for the pre- Reverse Split shares. Stockholders who acquired their shares of our common stock on different dates or at different prices should consult their tax advisors regarding the allocation of the tax basis of such shares. Additional information about the effects of the Reverse Split on the basis of holders of our common stock will be included in Internal Revenue Service Form 8937, Report of Organizational Actions Affecting Basis of Securities, which we will be made available to our stockholders if the Reverse Split is implemented.</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described above in “Fractional Shares,” no fractional shares of our common stock will be issued as a result of the Reverse Split. Instead, we will issue one (1) full share of the post- Reverse Split common stock to any stockholder who would have been entitled to receive a fractional share as a result of the process. The U.S. federal income tax consequences of the receipt of such additional fraction of a share of our common stock are not clear. A stockholder who receives one (1) whole share of our common stock in lieu of a fractional share may recognize income or gain in an amount not to exceed the excess of the fair market value of such share over the fair market value of the fractional share to which such stockholder was otherwise entitled. We are not making any representation as to whether the receipt of one (1) whole share in lieu of a fractional share will result in income or gain to any stockholder, and stockholders are urged to consult their own tax advisors as to the possible tax consequences of receiving a whole share in lieu of a fractional share in the Reverse Split.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sought, and will not seek, any ruling from the Internal Revenue Service or an opinion of tax counsel with respect to the matters discussed herein. The foregoing views are not binding on the Internal Revenue Service or the courts, and there can be no assurance that the Internal Revenue Service or the courts will accept the positions expressed above. The state and local tax consequences of a reverse stock split may vary significantly as to each holder of our common stock, depending upon the state in which such holder resides or does business. Accordingly, each stockholder should consult with his or her own tax advisor with respect to all of the potential tax consequences to him or her of the Reverse Split.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approval of this Proposal No. 5 requires the affirmative vote of a majority of our outstanding shares of common stock entitled to vote as of the Record Date. Broker non-votes and abstentions will be counted as votes against this Proposal No. 5.</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our Restated and Amended Articles of Incorporation, as amended, to authorize our Board, if necessary, to implement a reverse stock split of our outstanding shares of common stock at a reverse stock split ratio of between 1-for-2 and 1-for-30, as determined by the Board of Directors in its sole discretion, prior to the one-year anniversary of this Annual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OUR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Bylaw Provision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Currently, Article III, Section 3.1 of our Second Amended and Restated Bylaws (our </w:t>
      </w:r>
      <w:r>
        <w:rPr>
          <w:rFonts w:ascii="Arial" w:cs="Arial" w:eastAsia="Arial" w:hAnsi="Arial"/>
          <w:sz w:val="16"/>
          <w:szCs w:val="16"/>
          <w:i w:val="1"/>
          <w:iCs w:val="1"/>
          <w:color w:val="auto"/>
        </w:rPr>
        <w:t>Bylaws</w:t>
      </w:r>
      <w:r>
        <w:rPr>
          <w:rFonts w:ascii="Arial" w:cs="Arial" w:eastAsia="Arial" w:hAnsi="Arial"/>
          <w:sz w:val="16"/>
          <w:szCs w:val="16"/>
          <w:color w:val="auto"/>
        </w:rPr>
        <w:t>) states that the number of directors serving on our Board must be no less than one (1) and no more than seven (7), with the exact number set at seven (7). Section 3.1 also states that the exact number of directors may only be amended by the vote or written consent of a majority of the outstanding shares of the Company’s voting stock. In addition, Article XII, Section 12.1 of our Bylaws re-states the requirement to obtain stockholder approval to change the Company’s fixed number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Bylaw Amendment and Background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the recommendation of our Corporate Governance and Nominating Committee, on August 17, 2022, our Board approved, subject to approval by our stockholders at the Annual Meeting, an amendment to Sections 3.1 and 12.1 of our Bylaws in substantially the form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(the </w:t>
      </w:r>
      <w:r>
        <w:rPr>
          <w:rFonts w:ascii="Arial" w:cs="Arial" w:eastAsia="Arial" w:hAnsi="Arial"/>
          <w:sz w:val="18"/>
          <w:szCs w:val="18"/>
          <w:i w:val="1"/>
          <w:iCs w:val="1"/>
          <w:color w:val="auto"/>
        </w:rPr>
        <w:t>Bylaw Amendment</w:t>
      </w:r>
      <w:r>
        <w:rPr>
          <w:rFonts w:ascii="Arial" w:cs="Arial" w:eastAsia="Arial" w:hAnsi="Arial"/>
          <w:sz w:val="18"/>
          <w:szCs w:val="18"/>
          <w:color w:val="auto"/>
        </w:rPr>
        <w:t>) to allow our Board in its sole discretion to determine the number of authorized directors. The Bylaw Amendment was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among other things, provide room for expansion. If this Proposal No. 6 is approved at the Annual Meeting, Article III, Section 3.1 will be amended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3.1. Number, Tenure and Qualification.</w:t>
      </w:r>
    </w:p>
    <w:p>
      <w:pPr>
        <w:spacing w:after="0" w:line="229" w:lineRule="exact"/>
        <w:rPr>
          <w:sz w:val="20"/>
          <w:szCs w:val="20"/>
          <w:color w:val="auto"/>
        </w:rPr>
      </w:pPr>
    </w:p>
    <w:p>
      <w:pPr>
        <w:ind w:left="1400" w:hanging="744"/>
        <w:spacing w:after="0" w:line="275" w:lineRule="auto"/>
        <w:tabs>
          <w:tab w:leader="none" w:pos="1166"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authorized number of directors of the Corporation shall be not less than one (1), with the exact number to be determined from time to time by resolution of the Board of Directors or by the vote or written consent of holders of a majority of the Corporation’s outstanding voting securities. </w:t>
      </w:r>
      <w:r>
        <w:rPr>
          <w:rFonts w:ascii="Arial" w:cs="Arial" w:eastAsia="Arial" w:hAnsi="Arial"/>
          <w:sz w:val="17"/>
          <w:szCs w:val="17"/>
          <w:color w:val="auto"/>
          <w:strike w:val="1"/>
        </w:rPr>
        <w:t>nor more than seven (7), with the exact number of directors fixed at seven (7). The exact number may be amended</w:t>
      </w:r>
      <w:r>
        <w:rPr>
          <w:rFonts w:ascii="Arial" w:cs="Arial" w:eastAsia="Arial" w:hAnsi="Arial"/>
          <w:sz w:val="17"/>
          <w:szCs w:val="17"/>
          <w:color w:val="auto"/>
        </w:rPr>
        <w:t xml:space="preserve"> </w:t>
      </w:r>
      <w:r>
        <w:rPr>
          <w:rFonts w:ascii="Arial" w:cs="Arial" w:eastAsia="Arial" w:hAnsi="Arial"/>
          <w:sz w:val="17"/>
          <w:szCs w:val="17"/>
          <w:color w:val="auto"/>
          <w:strike w:val="1"/>
        </w:rPr>
        <w:t>only by the vote or written consent of a majority of the outstanding shares of the Corporation</w:t>
      </w:r>
      <w:r>
        <w:rPr>
          <w:rFonts w:ascii="Arial" w:cs="Arial" w:eastAsia="Arial" w:hAnsi="Arial"/>
          <w:sz w:val="17"/>
          <w:szCs w:val="17"/>
          <w:color w:val="auto"/>
        </w:rPr>
        <w:t>’</w:t>
      </w:r>
      <w:r>
        <w:rPr>
          <w:rFonts w:ascii="Arial" w:cs="Arial" w:eastAsia="Arial" w:hAnsi="Arial"/>
          <w:sz w:val="17"/>
          <w:szCs w:val="17"/>
          <w:color w:val="auto"/>
          <w:strike w:val="1"/>
        </w:rPr>
        <w:t>s voting stock;</w:t>
      </w:r>
      <w:r>
        <w:rPr>
          <w:rFonts w:ascii="Arial" w:cs="Arial" w:eastAsia="Arial" w:hAnsi="Arial"/>
          <w:sz w:val="17"/>
          <w:szCs w:val="17"/>
          <w:color w:val="auto"/>
        </w:rPr>
        <w:t xml:space="preserve"> </w:t>
      </w:r>
      <w:r>
        <w:rPr>
          <w:rFonts w:ascii="Arial" w:cs="Arial" w:eastAsia="Arial" w:hAnsi="Arial"/>
          <w:sz w:val="17"/>
          <w:szCs w:val="17"/>
          <w:i w:val="1"/>
          <w:iCs w:val="1"/>
          <w:color w:val="auto"/>
          <w:strike w:val="1"/>
        </w:rPr>
        <w:t>provided</w:t>
      </w:r>
      <w:r>
        <w:rPr>
          <w:rFonts w:ascii="Arial" w:cs="Arial" w:eastAsia="Arial" w:hAnsi="Arial"/>
          <w:sz w:val="17"/>
          <w:szCs w:val="17"/>
          <w:color w:val="auto"/>
          <w:strike w:val="1"/>
        </w:rPr>
        <w:t>,</w:t>
      </w:r>
      <w:r>
        <w:rPr>
          <w:rFonts w:ascii="Arial" w:cs="Arial" w:eastAsia="Arial" w:hAnsi="Arial"/>
          <w:sz w:val="17"/>
          <w:szCs w:val="17"/>
          <w:color w:val="auto"/>
        </w:rPr>
        <w:t xml:space="preserve"> </w:t>
      </w:r>
      <w:r>
        <w:rPr>
          <w:rFonts w:ascii="Arial" w:cs="Arial" w:eastAsia="Arial" w:hAnsi="Arial"/>
          <w:sz w:val="17"/>
          <w:szCs w:val="17"/>
          <w:i w:val="1"/>
          <w:iCs w:val="1"/>
          <w:color w:val="auto"/>
          <w:strike w:val="1"/>
        </w:rPr>
        <w:t>however</w:t>
      </w:r>
      <w:r>
        <w:rPr>
          <w:rFonts w:ascii="Arial" w:cs="Arial" w:eastAsia="Arial" w:hAnsi="Arial"/>
          <w:sz w:val="17"/>
          <w:szCs w:val="17"/>
          <w:color w:val="auto"/>
          <w:strike w:val="1"/>
        </w:rPr>
        <w:t>, that no</w:t>
      </w:r>
      <w:r>
        <w:rPr>
          <w:rFonts w:ascii="Arial" w:cs="Arial" w:eastAsia="Arial" w:hAnsi="Arial"/>
          <w:sz w:val="17"/>
          <w:szCs w:val="17"/>
          <w:color w:val="auto"/>
        </w:rPr>
        <w:t xml:space="preserve"> No decrease in the number of directors shall shorten the term of any incumbent directors.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Article XII, Section 12.1 of the Bylaws will be amended as follows:</w:t>
      </w:r>
    </w:p>
    <w:p>
      <w:pPr>
        <w:spacing w:after="0" w:line="221" w:lineRule="exact"/>
        <w:rPr>
          <w:sz w:val="20"/>
          <w:szCs w:val="20"/>
          <w:color w:val="auto"/>
        </w:rPr>
      </w:pPr>
    </w:p>
    <w:p>
      <w:pPr>
        <w:jc w:val="both"/>
        <w:ind w:left="900"/>
        <w:spacing w:after="0" w:line="261" w:lineRule="auto"/>
        <w:rPr>
          <w:sz w:val="20"/>
          <w:szCs w:val="20"/>
          <w:color w:val="auto"/>
        </w:rPr>
      </w:pPr>
      <w:r>
        <w:rPr>
          <w:rFonts w:ascii="Arial" w:cs="Arial" w:eastAsia="Arial" w:hAnsi="Arial"/>
          <w:sz w:val="18"/>
          <w:szCs w:val="18"/>
          <w:b w:val="1"/>
          <w:bCs w:val="1"/>
          <w:color w:val="auto"/>
        </w:rPr>
        <w:t xml:space="preserve">12.1. Amendments. </w:t>
      </w:r>
      <w:r>
        <w:rPr>
          <w:rFonts w:ascii="Arial" w:cs="Arial" w:eastAsia="Arial" w:hAnsi="Arial"/>
          <w:sz w:val="18"/>
          <w:szCs w:val="18"/>
          <w:color w:val="auto"/>
        </w:rPr>
        <w:t>The Board of Directors shall have the power to adopt, amend, amend and restate, or repeal these Bylaws, in part or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full extent, unless otherwise prohibited by the Corporation’s Articles of Incorporation or the Nevada Revised Statutes. </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strike w:val="1"/>
        </w:rPr>
        <w:t>that, in accordance with Section 3.1, approval by a majority of the outstanding shares of the Corporation</w:t>
      </w:r>
      <w:r>
        <w:rPr>
          <w:rFonts w:ascii="Arial" w:cs="Arial" w:eastAsia="Arial" w:hAnsi="Arial"/>
          <w:sz w:val="18"/>
          <w:szCs w:val="18"/>
          <w:color w:val="auto"/>
        </w:rPr>
        <w:t>’</w:t>
      </w:r>
      <w:r>
        <w:rPr>
          <w:rFonts w:ascii="Arial" w:cs="Arial" w:eastAsia="Arial" w:hAnsi="Arial"/>
          <w:sz w:val="18"/>
          <w:szCs w:val="18"/>
          <w:color w:val="auto"/>
          <w:strike w:val="1"/>
        </w:rPr>
        <w:t>s voting stock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strike w:val="1"/>
        </w:rPr>
        <w:t>change the Corporation</w:t>
      </w:r>
      <w:r>
        <w:rPr>
          <w:rFonts w:ascii="Arial" w:cs="Arial" w:eastAsia="Arial" w:hAnsi="Arial"/>
          <w:sz w:val="18"/>
          <w:szCs w:val="18"/>
          <w:color w:val="auto"/>
        </w:rPr>
        <w:t>’</w:t>
      </w:r>
      <w:r>
        <w:rPr>
          <w:rFonts w:ascii="Arial" w:cs="Arial" w:eastAsia="Arial" w:hAnsi="Arial"/>
          <w:sz w:val="18"/>
          <w:szCs w:val="18"/>
          <w:color w:val="auto"/>
          <w:strike w:val="1"/>
        </w:rPr>
        <w:t>s fixed number of directors.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believes that the flexibility provided by the proposed Bylaw Amendment will better enable us to quickly and efficiently accommodate our needs of our Board in the future, particularly as it relates to diversity of background, represented communities and skillsets of our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our Bylaws, the approval of the Bylaw Amendment described in this Proposal No. 6 requires the affirmative vote of a majority of our outstanding shares of common stock entitled to vote as of the Record Date. Broker non-votes and abstentions will be counted as votes against this Proposal No. 6.</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Bylaw Amendment to allow our Board in its sole discretion to determine the number of authorized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ind w:left="5180" w:right="360" w:hanging="4177"/>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August 16, 2022 for:</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(5%) of shares of our common stock;</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percentage ownership is based on 206,836,345 shares of common stock outstanding at August 16,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August 16, 2022.</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796"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and address of beneficial owner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Percent</w:t>
            </w: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r>
      <w:tr>
        <w:trPr>
          <w:trHeight w:val="234"/>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beneficially owned</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7"/>
                <w:szCs w:val="17"/>
                <w:b w:val="1"/>
                <w:bCs w:val="1"/>
                <w:color w:val="auto"/>
                <w:w w:val="89"/>
              </w:rPr>
              <w:t>owned</w:t>
            </w:r>
            <w:r>
              <w:rPr>
                <w:rFonts w:ascii="Arial" w:cs="Arial" w:eastAsia="Arial" w:hAnsi="Arial"/>
                <w:sz w:val="27"/>
                <w:szCs w:val="27"/>
                <w:b w:val="1"/>
                <w:bCs w:val="1"/>
                <w:color w:val="auto"/>
                <w:w w:val="89"/>
                <w:vertAlign w:val="superscript"/>
              </w:rPr>
              <w:t>(1)</w:t>
            </w:r>
          </w:p>
        </w:tc>
      </w:tr>
    </w:tbl>
    <w:p>
      <w:pPr>
        <w:spacing w:after="0" w:line="207" w:lineRule="exact"/>
        <w:rPr>
          <w:sz w:val="20"/>
          <w:szCs w:val="20"/>
          <w:color w:val="auto"/>
        </w:rPr>
      </w:pPr>
    </w:p>
    <w:p>
      <w:pPr>
        <w:sectPr>
          <w:pgSz w:w="11900" w:h="16838" w:orient="portrait"/>
          <w:cols w:equalWidth="0" w:num="2">
            <w:col w:w="6720" w:space="720"/>
            <w:col w:w="380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60" w:type="dxa"/>
            <w:vAlign w:val="bottom"/>
            <w:shd w:val="clear" w:color="auto" w:fill="CCEEFF"/>
          </w:tcPr>
          <w:p>
            <w:pPr>
              <w:spacing w:after="0" w:line="225" w:lineRule="exact"/>
              <w:rPr>
                <w:sz w:val="20"/>
                <w:szCs w:val="20"/>
                <w:color w:val="auto"/>
              </w:rPr>
            </w:pPr>
            <w:r>
              <w:rPr>
                <w:rFonts w:ascii="Arial" w:cs="Arial" w:eastAsia="Arial" w:hAnsi="Arial"/>
                <w:sz w:val="16"/>
                <w:szCs w:val="16"/>
                <w:color w:val="auto"/>
              </w:rPr>
              <w:t>Shawn K. Singh, J.D.</w:t>
            </w:r>
            <w:r>
              <w:rPr>
                <w:rFonts w:ascii="Arial" w:cs="Arial" w:eastAsia="Arial" w:hAnsi="Arial"/>
                <w:sz w:val="26"/>
                <w:szCs w:val="26"/>
                <w:color w:val="auto"/>
                <w:vertAlign w:val="superscript"/>
              </w:rPr>
              <w:t>(2)</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2,534,732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Mark A. Smith, M.D., Ph.D.</w:t>
            </w:r>
            <w:r>
              <w:rPr>
                <w:rFonts w:ascii="Arial" w:cs="Arial" w:eastAsia="Arial" w:hAnsi="Arial"/>
                <w:sz w:val="25"/>
                <w:szCs w:val="25"/>
                <w:color w:val="auto"/>
                <w:vertAlign w:val="superscript"/>
              </w:rPr>
              <w:t>(3)</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1,411,166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Ann M. Cunningham, MBA</w:t>
            </w:r>
            <w:r>
              <w:rPr>
                <w:rFonts w:ascii="Arial" w:cs="Arial" w:eastAsia="Arial" w:hAnsi="Arial"/>
                <w:sz w:val="25"/>
                <w:szCs w:val="25"/>
                <w:color w:val="auto"/>
                <w:vertAlign w:val="superscript"/>
              </w:rPr>
              <w:t>(4)</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469,532</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Jerrold D. Dotson</w:t>
            </w:r>
            <w:r>
              <w:rPr>
                <w:rFonts w:ascii="Arial" w:cs="Arial" w:eastAsia="Arial" w:hAnsi="Arial"/>
                <w:sz w:val="25"/>
                <w:szCs w:val="25"/>
                <w:color w:val="auto"/>
                <w:vertAlign w:val="superscript"/>
              </w:rPr>
              <w:t>(5)</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1,252,790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Reid G. Adler, J.D.(6)</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239,942</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Jon S. Saxe, J.D., LL.M.</w:t>
            </w:r>
            <w:r>
              <w:rPr>
                <w:rFonts w:ascii="Arial" w:cs="Arial" w:eastAsia="Arial" w:hAnsi="Arial"/>
                <w:sz w:val="25"/>
                <w:szCs w:val="25"/>
                <w:color w:val="auto"/>
                <w:vertAlign w:val="superscript"/>
              </w:rPr>
              <w:t>(7)</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699,553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Joanne Curley, Ph.D.</w:t>
            </w:r>
            <w:r>
              <w:rPr>
                <w:rFonts w:ascii="Arial" w:cs="Arial" w:eastAsia="Arial" w:hAnsi="Arial"/>
                <w:sz w:val="25"/>
                <w:szCs w:val="25"/>
                <w:color w:val="auto"/>
                <w:vertAlign w:val="superscript"/>
              </w:rPr>
              <w:t>(8)</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133,333</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Margaret M. FitzPatrick, M.A.</w:t>
            </w:r>
            <w:r>
              <w:rPr>
                <w:rFonts w:ascii="Arial" w:cs="Arial" w:eastAsia="Arial" w:hAnsi="Arial"/>
                <w:sz w:val="25"/>
                <w:szCs w:val="25"/>
                <w:color w:val="auto"/>
                <w:vertAlign w:val="superscript"/>
              </w:rPr>
              <w:t>(9)</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133,333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Jerry B. Gin, Ph.D., MBA</w:t>
            </w:r>
            <w:r>
              <w:rPr>
                <w:rFonts w:ascii="Arial" w:cs="Arial" w:eastAsia="Arial" w:hAnsi="Arial"/>
                <w:sz w:val="25"/>
                <w:szCs w:val="25"/>
                <w:color w:val="auto"/>
                <w:vertAlign w:val="superscript"/>
              </w:rPr>
              <w:t>(10)</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861,302</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Mary L. Rotunno, J.D.</w:t>
            </w:r>
            <w:r>
              <w:rPr>
                <w:rFonts w:ascii="Arial" w:cs="Arial" w:eastAsia="Arial" w:hAnsi="Arial"/>
                <w:sz w:val="25"/>
                <w:szCs w:val="25"/>
                <w:color w:val="auto"/>
                <w:vertAlign w:val="superscript"/>
              </w:rPr>
              <w:t>(11)</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133,333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b w:val="1"/>
                <w:bCs w:val="1"/>
                <w:color w:val="auto"/>
              </w:rPr>
              <w:t>All executive officers and directors as a group (10 persons)</w:t>
            </w:r>
            <w:r>
              <w:rPr>
                <w:rFonts w:ascii="Arial" w:cs="Arial" w:eastAsia="Arial" w:hAnsi="Arial"/>
                <w:sz w:val="25"/>
                <w:szCs w:val="25"/>
                <w:b w:val="1"/>
                <w:bCs w:val="1"/>
                <w:color w:val="auto"/>
                <w:vertAlign w:val="superscript"/>
              </w:rPr>
              <w:t>(12)</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7,469,017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Acuta Capital Partners, LLC</w:t>
            </w:r>
            <w:r>
              <w:rPr>
                <w:rFonts w:ascii="Arial" w:cs="Arial" w:eastAsia="Arial" w:hAnsi="Arial"/>
                <w:sz w:val="25"/>
                <w:szCs w:val="25"/>
                <w:color w:val="auto"/>
                <w:vertAlign w:val="superscript"/>
              </w:rPr>
              <w:t>(13)</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11,736,283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5"/>
                <w:szCs w:val="25"/>
                <w:color w:val="auto"/>
                <w:vertAlign w:val="superscript"/>
              </w:rPr>
              <w:t>(14)</w:t>
            </w:r>
          </w:p>
        </w:tc>
        <w:tc>
          <w:tcPr>
            <w:tcW w:w="3360" w:type="dxa"/>
            <w:vAlign w:val="bottom"/>
          </w:tcPr>
          <w:p>
            <w:pPr>
              <w:jc w:val="right"/>
              <w:ind w:right="550"/>
              <w:spacing w:after="0"/>
              <w:rPr>
                <w:sz w:val="20"/>
                <w:szCs w:val="20"/>
                <w:color w:val="auto"/>
              </w:rPr>
            </w:pPr>
            <w:r>
              <w:rPr>
                <w:rFonts w:ascii="Arial" w:cs="Arial" w:eastAsia="Arial" w:hAnsi="Arial"/>
                <w:sz w:val="18"/>
                <w:szCs w:val="18"/>
                <w:color w:val="auto"/>
              </w:rPr>
              <w:t>11,894,193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Commodore Capital LP</w:t>
            </w:r>
            <w:r>
              <w:rPr>
                <w:rFonts w:ascii="Arial" w:cs="Arial" w:eastAsia="Arial" w:hAnsi="Arial"/>
                <w:sz w:val="25"/>
                <w:szCs w:val="25"/>
                <w:color w:val="auto"/>
                <w:vertAlign w:val="superscript"/>
              </w:rPr>
              <w:t>(15)</w:t>
            </w:r>
          </w:p>
        </w:tc>
        <w:tc>
          <w:tcPr>
            <w:tcW w:w="3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10,455,910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25"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206,836,345 shares of common stock issued and outstanding as of August 16, 2022.</w:t>
      </w:r>
    </w:p>
    <w:p>
      <w:pPr>
        <w:spacing w:after="0" w:line="225"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2,282,500 shares of common stock and warrants to purchase 72,000 restricted shares of common stock exercisable within 60 days of August 16, 2022.</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1,391,251 shares of common stock exercisable within 60 days of August 16, 2022.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469,532 shares of common stock exercisable within 60 days of August 16, 2022.</w:t>
      </w:r>
    </w:p>
    <w:p>
      <w:pPr>
        <w:spacing w:after="0" w:line="225"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1,142,679 shares of common stock, including options to purchase 626 shares of common stock held by Mr. Dotson’s wife, and warrants to purchase 10,000 restricted shares of common stock exercisable within 60 days of August 16,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42" w:name="page43"/>
    <w:bookmarkEnd w:id="42"/>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205,315 shares of common stock exercisable within 60 days of August 16, 2022.</w:t>
      </w:r>
    </w:p>
    <w:p>
      <w:pPr>
        <w:spacing w:after="0" w:line="225"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636,302 shares of common stock and warrants to purchase 7,500 restricted shares of common stock exercisable within 60 days of August 16, 2022.</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133,333 shares of common stock exercisable within 60 days of August 16, 2022.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133,333 shares of common stock exercisable within 60 days of August 16, 2022.</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100,000 shares of common stock held by Dr. Gin’s wife. Also includes options to purchase 661,302 shares of common stock exercisable within 60 days of August 16, 2022</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133,333 shares of common stock exercisable within 60 days of August 16, 2022</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100,000 restricted shares of common stock held by Dr. Gin's wife. Also includes options to purchase 7,188,878 shares of common stock and warrants to purchase 89,500 restricted shares of common stock exercisable within 60 days of August 16, 2022.</w:t>
      </w:r>
    </w:p>
    <w:p>
      <w:pPr>
        <w:spacing w:after="0" w:line="17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information contained in a Schedule 13G/A filed by Acuta Capital Partners, LLC (</w:t>
      </w:r>
      <w:r>
        <w:rPr>
          <w:rFonts w:ascii="Arial" w:cs="Arial" w:eastAsia="Arial" w:hAnsi="Arial"/>
          <w:sz w:val="18"/>
          <w:szCs w:val="18"/>
          <w:i w:val="1"/>
          <w:iCs w:val="1"/>
          <w:color w:val="auto"/>
        </w:rPr>
        <w:t>Acuta</w:t>
      </w:r>
      <w:r>
        <w:rPr>
          <w:rFonts w:ascii="Arial" w:cs="Arial" w:eastAsia="Arial" w:hAnsi="Arial"/>
          <w:sz w:val="18"/>
          <w:szCs w:val="18"/>
          <w:color w:val="auto"/>
        </w:rPr>
        <w:t>) on February 15, 2022. Anupam Dalal is the Chief Investment Officer and Manfred Yu is the Manager of Acuta.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86"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information contained in a Schedule 13G/A filed by BlackRock Inc. (</w:t>
      </w:r>
      <w:r>
        <w:rPr>
          <w:rFonts w:ascii="Arial" w:cs="Arial" w:eastAsia="Arial" w:hAnsi="Arial"/>
          <w:sz w:val="18"/>
          <w:szCs w:val="18"/>
          <w:i w:val="1"/>
          <w:iCs w:val="1"/>
          <w:color w:val="auto"/>
        </w:rPr>
        <w:t>BlackRock</w:t>
      </w:r>
      <w:r>
        <w:rPr>
          <w:rFonts w:ascii="Arial" w:cs="Arial" w:eastAsia="Arial" w:hAnsi="Arial"/>
          <w:sz w:val="18"/>
          <w:szCs w:val="18"/>
          <w:color w:val="auto"/>
        </w:rPr>
        <w:t>) on February 4, 2022. BlackRock Inc. has sole investment authority over all of the shares held by BlackRock Inc and its affiliated entities. The primary business address of BlackRock is 55 East 52nd Street, New York, NY 10055.</w:t>
      </w:r>
    </w:p>
    <w:p>
      <w:pPr>
        <w:spacing w:after="0" w:line="183"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upon information contained in a Schedule 13G filed by Commodore Capital LP, a Delaware limited partnership (</w:t>
      </w:r>
      <w:r>
        <w:rPr>
          <w:rFonts w:ascii="Arial" w:cs="Arial" w:eastAsia="Arial" w:hAnsi="Arial"/>
          <w:sz w:val="17"/>
          <w:szCs w:val="17"/>
          <w:i w:val="1"/>
          <w:iCs w:val="1"/>
          <w:color w:val="auto"/>
        </w:rPr>
        <w:t>Commodore</w:t>
      </w:r>
      <w:r>
        <w:rPr>
          <w:rFonts w:ascii="Arial" w:cs="Arial" w:eastAsia="Arial" w:hAnsi="Arial"/>
          <w:sz w:val="17"/>
          <w:szCs w:val="17"/>
          <w:color w:val="auto"/>
        </w:rPr>
        <w:t>) and Commodore Capital Master LP, a Cayman Islands exempted limited partnership (</w:t>
      </w:r>
      <w:r>
        <w:rPr>
          <w:rFonts w:ascii="Arial" w:cs="Arial" w:eastAsia="Arial" w:hAnsi="Arial"/>
          <w:sz w:val="17"/>
          <w:szCs w:val="17"/>
          <w:i w:val="1"/>
          <w:iCs w:val="1"/>
          <w:color w:val="auto"/>
        </w:rPr>
        <w:t>Commodore Master</w:t>
      </w:r>
      <w:r>
        <w:rPr>
          <w:rFonts w:ascii="Arial" w:cs="Arial" w:eastAsia="Arial" w:hAnsi="Arial"/>
          <w:sz w:val="17"/>
          <w:szCs w:val="17"/>
          <w:color w:val="auto"/>
        </w:rPr>
        <w:t>) on April 4, 2022. Commodore is the investment manager to Commodore Master. As of April 4, 2022, Commodore may be deemed to beneficially own an aggregate of 10,455,910 shares of our common stock. Commodore, as the investment manager to Commodore Master, may also be deemed to beneficially own these securities. Michael Kramarz and Robert Egen Atkinson are the managing partners of Commodore and exercise investment discretion with respect to these securities. The address for Commodore and Commodore Master is 767 Fifth Avenue, Floor 12, New York, NY 10153.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 of August 16, 2022, options to purchase a total of 19,785,327 registered shares of our common stock were outstanding at a weighted average exercise price of $1.45 per share, of which options to purchase 14,629,631 shares of our common stock were vested and exercisable at a weighted average exercise price of $1.37 per share and options to purchase 5,155,696 shares were unvested and not exercisable at a weighted average exercise price of $1.66 per share. These options were issued under our Amended and Restated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and under our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as described below. At August 16, 2022, an additional 6,668,829 shares remained available for future equity grants under our 2019 Plan, and no new awards are available for grant under our 2016 Plan.</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summarizes awards outstanding under the 2016 Plan and the 2019 Plan, as well as shares available for issuance under the 2019 Plan and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as of March 31, 2022. The following information does not reflect issuances or exercises under the 2016 Plan, 2019 Plan or the 2019 ESPP subsequent to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Weighted-average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 of</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outstanding</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warrants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options, warrants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 column</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and rights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t>
            </w: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09"/>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2019 Plan and 2016 Plan</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19,386,389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7,288,157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2019 ESPP</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884,664</w:t>
            </w: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19,386,389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8,172,821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7.4 million shares remained outstanding at March 31, 2022.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Below is a summary of the terms and conditions of the 2019 Plan. Unless otherwise indicated, all capitalized terms shall have the same meaning as defined in the 2019 Plan.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5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Awards and Eligible Participants</w:t>
            </w:r>
          </w:p>
        </w:tc>
        <w:tc>
          <w:tcPr>
            <w:tcW w:w="7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89"/>
              </w:rPr>
              <w:t>The 2019 Plan is designed to secure and retain the services of our employees, non-employee directors and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consultants, to provide incentives for such persons to exert maximum efforts for the success of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Company and our affiliates, and to provide a means by which such persons may be given an opportunity to</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benefit from increases in the value of our common stock. The 2019 Plan is also designed to align</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employees’ interests with stockholder interests.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2019 Plan provides for the grant of stock options, stock appreciation rights (</w:t>
            </w:r>
            <w:r>
              <w:rPr>
                <w:rFonts w:ascii="Arial" w:cs="Arial" w:eastAsia="Arial" w:hAnsi="Arial"/>
                <w:sz w:val="18"/>
                <w:szCs w:val="18"/>
                <w:i w:val="1"/>
                <w:iCs w:val="1"/>
                <w:color w:val="auto"/>
                <w:w w:val="93"/>
              </w:rPr>
              <w:t>SARs</w:t>
            </w:r>
            <w:r>
              <w:rPr>
                <w:rFonts w:ascii="Arial" w:cs="Arial" w:eastAsia="Arial" w:hAnsi="Arial"/>
                <w:sz w:val="18"/>
                <w:szCs w:val="18"/>
                <w:color w:val="auto"/>
                <w:w w:val="93"/>
              </w:rPr>
              <w:t>), restricted stock,</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restricted stock units, and other stock-based awards, and performance awards, collectively referred to as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“Awards”. Awards may be granted under the 2019 Plan to officers, employees and consultants of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Company and our subsidiaries and to our non-employee directors. Incentive stock options may be granted</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only to employees of the Company or one of our subsidiaries.</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8"/>
        </w:trPr>
        <w:tc>
          <w:tcPr>
            <w:tcW w:w="35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b w:val="1"/>
                <w:bCs w:val="1"/>
                <w:color w:val="auto"/>
              </w:rPr>
              <w:t>Plan Administration</w:t>
            </w:r>
          </w:p>
        </w:tc>
        <w:tc>
          <w:tcPr>
            <w:tcW w:w="772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9"/>
              </w:rPr>
              <w:t>The 2019 Plan is administered by the Compensation Committee of the Board. The Compensation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Committee, in its discretion, selects the individuals to whom awards may be granted, the time or times at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which such awards are granted, and the terms of such awards. The Compensation Committee may delegate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its authority to the extent permitted by applicable law.</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The Compensation Committee sets stock option exercise prices and terms, except that stock options must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be granted with an exercise price not less than 100% of the fair market value of the common stock on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date of grant. The Compensation Committee may grant either incentive stock options, which must comply</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with Section 422 of the Code, or nonqualified stock options. At the time of grant, the Compensation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Committee determines the terms and conditions of stock options, including the quantity, exercise price,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vesting periods, term (which cannot exceed ten years) and other conditions on exercise.</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Compensation Committee may grant SARs as a right in tandem with the number of shares underlying</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stock options granted under the 2019 Plan or as a freestanding award. Upon exercise, SARs entitle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holder to receive payment per share in stock or cash, or in a combination of stock and cash, equal to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excess of the share’s fair market value on the date of exercise over the grant price of the SAR.</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The Compensation Committee may also grant awards of restricted stock, which are shares of common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stock subject to specified restrictions, and restricted stock units, which represent the right to receive shares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of the common stock in the future. These awards may be made subject to repurchase, forfeiture or vesting</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restrictions at the Compensation Committee’s discretion. The restrictions may be based on continuous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service with the Company or the attainment of specified performance goals, as determined by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Compensation Committee. Stock units may be paid in stock or cash or a combination of stock and cash, as</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determined by the Compensation Committee.</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The Compensation Committee may condition the grant, exercise, vesting, or settlement of any award 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such performance conditions as it may specify. We refer to these awards as “performance awards.”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Compensation Committee may select such business criteria or other performance measures as it may deem</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appropriate in establishing any performance conditions. At March 31, 2022, the Compensation Committee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has not granted any performance awards.</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8"/>
        </w:trPr>
        <w:tc>
          <w:tcPr>
            <w:tcW w:w="35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b w:val="1"/>
                <w:bCs w:val="1"/>
                <w:color w:val="auto"/>
              </w:rPr>
              <w:t>Authorized Shares</w:t>
            </w:r>
          </w:p>
        </w:tc>
        <w:tc>
          <w:tcPr>
            <w:tcW w:w="772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4"/>
              </w:rPr>
              <w:t>A total of 7.5 million shares of common stock was initially authorized for issuance under the 2019 Plan,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which number of shares increased to 18.0 million authorized shares following stockholder approval at our</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2021 annual meeting of stockholders.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In the event any award under the 2019 Plan is canceled, terminates, expires or lapses for any reason prior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to the issuance of shares or if shares are issued under the 2019 Plan and thereafter are forfeited to us,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shares subject to such awards and the forfeited shares will again be available for grant under the 2019 Plan.</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8"/>
        </w:trPr>
        <w:tc>
          <w:tcPr>
            <w:tcW w:w="35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b w:val="1"/>
                <w:bCs w:val="1"/>
                <w:color w:val="auto"/>
              </w:rPr>
              <w:t>Vesting</w:t>
            </w:r>
          </w:p>
        </w:tc>
        <w:tc>
          <w:tcPr>
            <w:tcW w:w="772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0"/>
              </w:rPr>
              <w:t>No more than 25% of any equity-based awards granted under the 2019 Plan may vest on the grant date of</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such award. The Board believes this provision provides the Company the necessary flexibility to issue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Awards that will both attract new talent, particularly as the Company advances its late-stage clinical</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development and commercialization plans for its drug candidates and provide incentives sufficient to</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retain the Company’s existing employees and directors.</w:t>
            </w:r>
          </w:p>
        </w:tc>
      </w:tr>
      <w:tr>
        <w:trPr>
          <w:trHeight w:val="418"/>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This requirement does not apply to (i) substitute awards resulting from acquisitions or (ii) shares delivered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 lieu of fully vested cash awards. In addition, the minimum vesting requirement does not apply to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Compensation Committee’s discretion to provide for accelerated exercisability or vesting of any award,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including in cases of retirement, death, disability or a change in control, in the terms of the award or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otherwise. Awards are not transferable other than by will or the laws of descent and distribution, except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that in certain instances transfers may be made to or for the benefit of designated family members of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participant for no consideration.</w:t>
            </w:r>
          </w:p>
        </w:tc>
      </w:tr>
      <w:tr>
        <w:trPr>
          <w:trHeight w:val="213"/>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r>
      <w:tr>
        <w:trPr>
          <w:trHeight w:val="429"/>
        </w:trPr>
        <w:tc>
          <w:tcPr>
            <w:tcW w:w="3540" w:type="dxa"/>
            <w:vAlign w:val="bottom"/>
          </w:tcPr>
          <w:p>
            <w:pPr>
              <w:spacing w:after="0"/>
              <w:rPr>
                <w:sz w:val="24"/>
                <w:szCs w:val="24"/>
                <w:color w:val="auto"/>
              </w:rPr>
            </w:pPr>
          </w:p>
        </w:tc>
        <w:tc>
          <w:tcPr>
            <w:tcW w:w="7720" w:type="dxa"/>
            <w:vAlign w:val="bottom"/>
          </w:tcPr>
          <w:p>
            <w:pPr>
              <w:jc w:val="right"/>
              <w:ind w:right="5390"/>
              <w:spacing w:after="0"/>
              <w:rPr>
                <w:sz w:val="20"/>
                <w:szCs w:val="20"/>
                <w:color w:val="auto"/>
              </w:rPr>
            </w:pPr>
            <w:r>
              <w:rPr>
                <w:rFonts w:ascii="Arial" w:cs="Arial" w:eastAsia="Arial" w:hAnsi="Arial"/>
                <w:sz w:val="18"/>
                <w:szCs w:val="18"/>
                <w:color w:val="auto"/>
              </w:rPr>
              <w:t>-40-</w:t>
            </w:r>
          </w:p>
        </w:tc>
      </w:tr>
      <w:tr>
        <w:trPr>
          <w:trHeight w:val="115"/>
        </w:trPr>
        <w:tc>
          <w:tcPr>
            <w:tcW w:w="354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00" w:right="339"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Our Board approved the Vistagen Therapeutics, Inc. 2019 Employee Stock Purchase Plan (the </w:t>
      </w:r>
      <w:r>
        <w:rPr>
          <w:rFonts w:ascii="Arial" w:cs="Arial" w:eastAsia="Arial" w:hAnsi="Arial"/>
          <w:sz w:val="17"/>
          <w:szCs w:val="17"/>
          <w:i w:val="1"/>
          <w:iCs w:val="1"/>
          <w:color w:val="auto"/>
        </w:rPr>
        <w:t>2019 ESPP</w:t>
      </w:r>
      <w:r>
        <w:rPr>
          <w:rFonts w:ascii="Arial" w:cs="Arial" w:eastAsia="Arial" w:hAnsi="Arial"/>
          <w:sz w:val="17"/>
          <w:szCs w:val="17"/>
          <w:color w:val="auto"/>
        </w:rPr>
        <w:t>) on June 13, 2019. Our stockholders approved the 2019 ESPP at our annual meeting on September 5, 2019. The principal terms of our 2019 ESPP are summarized below.</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the first day of each option period (the </w:t>
      </w:r>
      <w:r>
        <w:rPr>
          <w:rFonts w:ascii="Arial" w:cs="Arial" w:eastAsia="Arial" w:hAnsi="Arial"/>
          <w:sz w:val="18"/>
          <w:szCs w:val="18"/>
          <w:i w:val="1"/>
          <w:iCs w:val="1"/>
          <w:color w:val="auto"/>
        </w:rPr>
        <w:t>Grant Date</w:t>
      </w:r>
      <w:r>
        <w:rPr>
          <w:rFonts w:ascii="Arial" w:cs="Arial" w:eastAsia="Arial" w:hAnsi="Arial"/>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participant’s payroll deductions under the 2019 ESPP will be credited to a liability account in his or her name under the 2019 ESPP. The aggregate liability for participant payroll deductions at March 31, 2022 and 2021 was $66,200 and $18,600, respectively, which amounts are included in accrued expenses in the accompanying Consolidated Balance Sheet at those dates.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Each option granted under the 2019 ESPP will automatically be exercised on the last day of the respective option period (referred to as the </w:t>
      </w:r>
      <w:r>
        <w:rPr>
          <w:rFonts w:ascii="Arial" w:cs="Arial" w:eastAsia="Arial" w:hAnsi="Arial"/>
          <w:sz w:val="17"/>
          <w:szCs w:val="17"/>
          <w:i w:val="1"/>
          <w:iCs w:val="1"/>
          <w:color w:val="auto"/>
        </w:rPr>
        <w:t>Exercise Date</w:t>
      </w:r>
      <w:r>
        <w:rPr>
          <w:rFonts w:ascii="Arial" w:cs="Arial" w:eastAsia="Arial" w:hAnsi="Arial"/>
          <w:sz w:val="17"/>
          <w:szCs w:val="17"/>
          <w:color w:val="auto"/>
        </w:rPr>
        <w:t>). The number of shares acquired by a participant upon exercise of his or her option will be determined by dividing the participant’s 2019</w:t>
      </w:r>
      <w:r>
        <w:rPr>
          <w:rFonts w:ascii="Arial" w:cs="Arial" w:eastAsia="Arial" w:hAnsi="Arial"/>
          <w:sz w:val="17"/>
          <w:szCs w:val="17"/>
          <w:i w:val="1"/>
          <w:iCs w:val="1"/>
          <w:color w:val="auto"/>
        </w:rPr>
        <w:t xml:space="preserve"> </w:t>
      </w:r>
      <w:r>
        <w:rPr>
          <w:rFonts w:ascii="Arial" w:cs="Arial" w:eastAsia="Arial" w:hAnsi="Arial"/>
          <w:sz w:val="17"/>
          <w:szCs w:val="17"/>
          <w:color w:val="auto"/>
        </w:rPr>
        <w:t>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5" w:lineRule="exact"/>
        <w:rPr>
          <w:sz w:val="20"/>
          <w:szCs w:val="20"/>
          <w:color w:val="auto"/>
        </w:rPr>
      </w:pPr>
    </w:p>
    <w:p>
      <w:pPr>
        <w:ind w:left="980" w:right="20" w:hanging="324"/>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2022, employees purchased an aggregate of 57,211 shares of our common stock under the 2019 ESPP and we received proceeds of $99,400. During Fiscal 2021, employees purchased an aggregate of 58,125 shares of our common stock and we received proceeds of $26,200.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material terms of all related party transactions that took place during Fiscal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2022, we entered into a consulting agreement with Dr. Joanne Curley, an independent member of our Board, to assist us in developing a phase-appropriate research and development human resources staffing plan to support our development of PH94B, PH10 and AV-101. We recorded expense of $6,800 during the quarter ended December 31, 2021 related to this agreement. There was no accounts payable balance or accrued expense related to this agreement at March 31,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2022, we entered into a consulting agreement with Ms. Margret M. FitzPatrick, another of the independent members of our Board, to provide corporate development and public relations advisory services. We recorded expense of $45,000 during the quarter ended March 31, 2022 related to this agreement, of which $15,000 was included in accounts payable at that date.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2021, we engaged a consulting firm headed by Ms. Ann M. Cunningham, a then-independent member of our Board, to provide various market research studies, competitive analyses, and commercial advisory projects for certain of our CNS pipeline candidates pursuant to which we recorded research and development expense of $193,000. In May 2021, Ms. Cunningham ceased to be independent upon acceptance of a position as our Chief Commercial Officer while remaining a member of our Board. We did not engage in business with the related consulting firm during Fiscal 2022 prior to or subsequent to the acceptance of employment by Ms. Cunningham. There was no accounts payable or accrued expenses related to the consulting agreement at March 31, 2022 or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Services Consultant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appointment of Mr. Reid Adler as the Company’s Chief Legal Officer on May 2, 2022, we engaged the law firm of which Mr. Adler was a partner to provide various legal services and advice over a number of years. During our fiscal years ended March 31, 2021 and 2022 and from April 1, 2022 until Mr. Adler’s appointment, the Company paid to Capital Technology Law Group fees of $169,000, $210,000, and $18,000, respectively, for various legal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2023 Annual Meeting</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Stockholder proposals that are intended to be presented by stockholders at the Company’s 2023 Annual Meeting of Stockholders must be received by the Secretary of the Company between July 16, 2023 and August 15, 2023 so that they may be included, if appropriate, in the Company’s proxy statement and form of proxy relating to that meeting. A stockholder proposal not included in the Company’s proxy statement for the 2021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2023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Notice, mailed to stockholders on or about [•], 2022, contains instructions on how to access the Company’s Annual Report on SEC Form 10-K for our fiscal year ended March 31, 2022. The Annual Report, which includes audited financial statements, does not form any part of the material for the solicitation of proxies.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as amended (the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78.390 of the Nevada Revised Statutes and shall become effective immediately upon filing this Certificate of Amendment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Article V of the Articles of Incorporation is hereby amended in its entirety and replaced with the following: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Three Hundred Twenty-Five Million (325,000,000),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the Effective Time every [*] (the “</w:t>
      </w:r>
      <w:r>
        <w:rPr>
          <w:rFonts w:ascii="Arial" w:cs="Arial" w:eastAsia="Arial" w:hAnsi="Arial"/>
          <w:sz w:val="16"/>
          <w:szCs w:val="16"/>
          <w:i w:val="1"/>
          <w:iCs w:val="1"/>
          <w:color w:val="auto"/>
        </w:rPr>
        <w:t>Reverse Split Factor</w:t>
      </w:r>
      <w:r>
        <w:rPr>
          <w:rFonts w:ascii="Arial" w:cs="Arial" w:eastAsia="Arial" w:hAnsi="Arial"/>
          <w:sz w:val="16"/>
          <w:szCs w:val="16"/>
          <w:color w:val="auto"/>
        </w:rPr>
        <w:t>”) outstanding shares of Common Stock shall without further action by the corporation or the holder thereof be combined into and automatically become one share of Common Stock (the “</w:t>
      </w:r>
      <w:r>
        <w:rPr>
          <w:rFonts w:ascii="Arial" w:cs="Arial" w:eastAsia="Arial" w:hAnsi="Arial"/>
          <w:sz w:val="16"/>
          <w:szCs w:val="16"/>
          <w:i w:val="1"/>
          <w:iCs w:val="1"/>
          <w:color w:val="auto"/>
        </w:rPr>
        <w:t>Reverse Split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fractional shares of Common Stock shall be issued in connection with the Reverse Split, and instead, the Corporation shall issue one full share of post-Reverse Split Common Stock to any stockholder who would have been entitled to receive a fractional share of Common Stock as a result of the Reverse Split.”</w:t>
      </w:r>
    </w:p>
    <w:p>
      <w:pPr>
        <w:spacing w:after="0" w:line="15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 day of [•], 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will have the discretion to implement the Reverse Split at any ratio between 1-for-2 and 1-for-30.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ANNEX 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Board of Directors on August 17,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of VistaGen Therapeutics, Inc. on October [__], 2022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Article III, Section 3.1 of the Second Amended and Restated Bylaws (the “</w:t>
      </w:r>
      <w:r>
        <w:rPr>
          <w:rFonts w:ascii="Arial" w:cs="Arial" w:eastAsia="Arial" w:hAnsi="Arial"/>
          <w:sz w:val="18"/>
          <w:szCs w:val="18"/>
          <w:i w:val="1"/>
          <w:iCs w:val="1"/>
          <w:color w:val="auto"/>
        </w:rPr>
        <w:t>Bylaws</w:t>
      </w:r>
      <w:r>
        <w:rPr>
          <w:rFonts w:ascii="Arial" w:cs="Arial" w:eastAsia="Arial" w:hAnsi="Arial"/>
          <w:sz w:val="18"/>
          <w:szCs w:val="18"/>
          <w:color w:val="auto"/>
        </w:rPr>
        <w:t>”) of VistaGen Therapeutics, Inc. (the “</w:t>
      </w:r>
      <w:r>
        <w:rPr>
          <w:rFonts w:ascii="Arial" w:cs="Arial" w:eastAsia="Arial" w:hAnsi="Arial"/>
          <w:sz w:val="18"/>
          <w:szCs w:val="18"/>
          <w:i w:val="1"/>
          <w:iCs w:val="1"/>
          <w:color w:val="auto"/>
        </w:rPr>
        <w:t>Corporation</w:t>
      </w:r>
      <w:r>
        <w:rPr>
          <w:rFonts w:ascii="Arial" w:cs="Arial" w:eastAsia="Arial" w:hAnsi="Arial"/>
          <w:sz w:val="18"/>
          <w:szCs w:val="18"/>
          <w:color w:val="auto"/>
        </w:rPr>
        <w:t>”) is hereby amended and restated, in its entirety, by the following:</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3.1. Number, Tenure and Qualification.</w:t>
      </w:r>
    </w:p>
    <w:p>
      <w:pPr>
        <w:spacing w:after="0" w:line="229" w:lineRule="exact"/>
        <w:rPr>
          <w:sz w:val="20"/>
          <w:szCs w:val="20"/>
          <w:color w:val="auto"/>
        </w:rPr>
      </w:pPr>
    </w:p>
    <w:p>
      <w:pPr>
        <w:jc w:val="both"/>
        <w:ind w:firstLine="170"/>
        <w:spacing w:after="0" w:line="263" w:lineRule="auto"/>
        <w:tabs>
          <w:tab w:leader="none" w:pos="6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authorized number of directors of the Corporation shall be not less than one (1), with the exact number to be determined from time to time by resolution of the Board of Directors or by the vote or written consent of holders of a majority of the Corporation’s outstanding voting securities. No decrease in the number of directors shall shorten the term of any incumbent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XII, Section 12.1 of the Bylaws is hereby amended and restated, in its entirety, by the following:</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12.1. Amendments. </w:t>
      </w:r>
      <w:r>
        <w:rPr>
          <w:rFonts w:ascii="Arial" w:cs="Arial" w:eastAsia="Arial" w:hAnsi="Arial"/>
          <w:sz w:val="18"/>
          <w:szCs w:val="18"/>
          <w:color w:val="auto"/>
        </w:rPr>
        <w:t>The Board of Directors shall have the power to adopt, amend, amend and restate, or repeal these Bylaws, in part or in full,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extent, unless otherwise prohibited by the Corporation’s Articles of Incorporation or the Nevada Revised Statutes.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lvl w:ilvl="1">
      <w:lvlJc w:val="left"/>
      <w:lvlText w:val="%2."/>
      <w:numFmt w:val="decimal"/>
      <w:start w:val="1"/>
    </w:lvl>
  </w:abstractNum>
  <w:abstractNum w:abstractNumId="5">
    <w:nsid w:val="7C83E458"/>
    <w:multiLevelType w:val="hybridMultilevel"/>
    <w:lvl w:ilvl="0">
      <w:lvlJc w:val="left"/>
      <w:lvlText w:val="%1."/>
      <w:numFmt w:val="decimal"/>
      <w:start w:val="5"/>
    </w:lvl>
    <w:lvl w:ilvl="1">
      <w:lvlJc w:val="left"/>
      <w:lvlText w:val="%2."/>
      <w:numFmt w:val="decimal"/>
      <w:start w:val="6"/>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4"/>
    </w:lvl>
    <w:lvl w:ilvl="1">
      <w:lvlJc w:val="left"/>
      <w:lvlText w:val="(%2)"/>
      <w:numFmt w:val="lowerRoman"/>
      <w:start w:val="1"/>
    </w:lvl>
  </w:abstractNum>
  <w:abstractNum w:abstractNumId="9">
    <w:nsid w:val="628C895D"/>
    <w:multiLevelType w:val="hybridMultilevel"/>
    <w:lvl w:ilvl="0">
      <w:lvlJc w:val="left"/>
      <w:lvlText w:val="(%1)"/>
      <w:numFmt w:val="decimal"/>
      <w:start w:val="11"/>
    </w:lvl>
  </w:abstractNum>
  <w:abstractNum w:abstractNumId="10">
    <w:nsid w:val="333AB105"/>
    <w:multiLevelType w:val="hybridMultilevel"/>
    <w:lvl w:ilvl="0">
      <w:lvlJc w:val="left"/>
      <w:lvlText w:val="(%1)"/>
      <w:numFmt w:val="lowerLetter"/>
      <w:start w:val="3"/>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8"/>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6"/>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2022-08-22T05:22:55Z</dcterms:created>
  <dcterms:modified xsi:type="dcterms:W3CDTF">2022-08-22T05:22:55Z</dcterms:modified>
</cp:coreProperties>
</file>