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June 18, 2016</w:t>
      </w: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VistaGen Therapeutics, Inc.</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00"/>
          </w:cols>
          <w:pgMar w:left="240" w:top="1440" w:right="459" w:bottom="1440" w:gutter="0" w:footer="0" w:header="0"/>
        </w:sectPr>
      </w:pPr>
    </w:p>
    <w:p>
      <w:pPr>
        <w:spacing w:after="0" w:line="183" w:lineRule="exact"/>
        <w:rPr>
          <w:sz w:val="24"/>
          <w:szCs w:val="24"/>
          <w:color w:val="auto"/>
        </w:rPr>
      </w:pPr>
    </w:p>
    <w:p>
      <w:pPr>
        <w:ind w:left="2340"/>
        <w:spacing w:after="0"/>
        <w:rPr>
          <w:sz w:val="20"/>
          <w:szCs w:val="20"/>
          <w:color w:val="auto"/>
        </w:rPr>
      </w:pPr>
      <w:r>
        <w:rPr>
          <w:rFonts w:ascii="Arial" w:cs="Arial" w:eastAsia="Arial" w:hAnsi="Arial"/>
          <w:sz w:val="21"/>
          <w:szCs w:val="21"/>
          <w:b w:val="1"/>
          <w:bCs w:val="1"/>
          <w:color w:val="auto"/>
        </w:rPr>
        <w:t>NEVADA</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1200"/>
        <w:spacing w:after="0"/>
        <w:rPr>
          <w:sz w:val="20"/>
          <w:szCs w:val="20"/>
          <w:color w:val="auto"/>
        </w:rPr>
      </w:pPr>
      <w:r>
        <w:rPr>
          <w:rFonts w:ascii="Arial" w:cs="Arial" w:eastAsia="Arial" w:hAnsi="Arial"/>
          <w:sz w:val="19"/>
          <w:szCs w:val="19"/>
          <w:b w:val="1"/>
          <w:bCs w:val="1"/>
          <w:color w:val="auto"/>
        </w:rPr>
        <w:t>000-54014</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2040"/>
        <w:spacing w:after="0"/>
        <w:rPr>
          <w:sz w:val="20"/>
          <w:szCs w:val="20"/>
          <w:color w:val="auto"/>
        </w:rPr>
      </w:pPr>
      <w:r>
        <w:rPr>
          <w:rFonts w:ascii="Arial" w:cs="Arial" w:eastAsia="Arial" w:hAnsi="Arial"/>
          <w:sz w:val="19"/>
          <w:szCs w:val="19"/>
          <w:b w:val="1"/>
          <w:bCs w:val="1"/>
          <w:color w:val="auto"/>
        </w:rPr>
        <w:t>20-5093315</w:t>
      </w:r>
    </w:p>
    <w:p>
      <w:pPr>
        <w:spacing w:after="0" w:line="61" w:lineRule="exact"/>
        <w:rPr>
          <w:sz w:val="24"/>
          <w:szCs w:val="24"/>
          <w:color w:val="auto"/>
        </w:rPr>
      </w:pPr>
    </w:p>
    <w:p>
      <w:pPr>
        <w:sectPr>
          <w:pgSz w:w="11900" w:h="16838" w:orient="portrait"/>
          <w:cols w:equalWidth="0" w:num="3">
            <w:col w:w="4520" w:space="720"/>
            <w:col w:w="2140" w:space="720"/>
            <w:col w:w="3100"/>
          </w:cols>
          <w:pgMar w:left="240" w:top="1440" w:right="459" w:bottom="1440" w:gutter="0" w:footer="0" w:header="0"/>
          <w:type w:val="continuous"/>
        </w:sectPr>
      </w:pPr>
    </w:p>
    <w:p>
      <w:pPr>
        <w:ind w:left="1520"/>
        <w:spacing w:after="0"/>
        <w:rPr>
          <w:sz w:val="20"/>
          <w:szCs w:val="20"/>
          <w:color w:val="auto"/>
        </w:rPr>
      </w:pPr>
      <w:r>
        <w:rPr>
          <w:rFonts w:ascii="Arial" w:cs="Arial" w:eastAsia="Arial" w:hAnsi="Arial"/>
          <w:sz w:val="13"/>
          <w:szCs w:val="13"/>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Number)</w:t>
      </w:r>
    </w:p>
    <w:p>
      <w:pPr>
        <w:spacing w:after="0" w:line="187" w:lineRule="exact"/>
        <w:rPr>
          <w:sz w:val="24"/>
          <w:szCs w:val="24"/>
          <w:color w:val="auto"/>
        </w:rPr>
      </w:pPr>
    </w:p>
    <w:p>
      <w:pPr>
        <w:sectPr>
          <w:pgSz w:w="11900" w:h="16838" w:orient="portrait"/>
          <w:cols w:equalWidth="0" w:num="3">
            <w:col w:w="4200" w:space="720"/>
            <w:col w:w="1880" w:space="720"/>
            <w:col w:w="3680"/>
          </w:cols>
          <w:pgMar w:left="240" w:top="1440"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South San Francisco, California 94090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(650) 577-3600</w:t>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Not Applicable</w:t>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i w:val="1"/>
          <w:iCs w:val="1"/>
          <w:color w:val="auto"/>
        </w:rPr>
        <w:t>(Former name or former address, if changed since last report)</w:t>
      </w:r>
    </w:p>
    <w:p>
      <w:pPr>
        <w:spacing w:after="0" w:line="18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65" w:lineRule="exact"/>
        <w:rPr>
          <w:sz w:val="24"/>
          <w:szCs w:val="24"/>
          <w:color w:val="auto"/>
        </w:rPr>
      </w:pPr>
    </w:p>
    <w:p>
      <w:pPr>
        <w:ind w:left="60"/>
        <w:spacing w:after="0"/>
        <w:rPr>
          <w:sz w:val="20"/>
          <w:szCs w:val="20"/>
          <w:color w:val="auto"/>
        </w:rPr>
      </w:pPr>
      <w:r>
        <w:rPr>
          <w:rFonts w:ascii="Arial" w:cs="Arial" w:eastAsia="Arial" w:hAnsi="Arial"/>
          <w:sz w:val="22"/>
          <w:szCs w:val="22"/>
          <w:color w:val="auto"/>
        </w:rPr>
        <w:t>Written communications pursuant to Rule 425 under the Securities Act (17 CFR 230.425)</w:t>
      </w:r>
    </w:p>
    <w:p>
      <w:pPr>
        <w:ind w:left="60"/>
        <w:spacing w:after="0" w:line="238" w:lineRule="auto"/>
        <w:rPr>
          <w:sz w:val="20"/>
          <w:szCs w:val="20"/>
          <w:color w:val="auto"/>
        </w:rPr>
      </w:pPr>
      <w:r>
        <w:rPr>
          <w:rFonts w:ascii="Arial" w:cs="Arial" w:eastAsia="Arial" w:hAnsi="Arial"/>
          <w:sz w:val="22"/>
          <w:szCs w:val="22"/>
          <w:color w:val="auto"/>
        </w:rPr>
        <w:t>Soliciting material pursuant to Rule 14a-12 under the Exchange Act (17 CFR 240.14a -12)</w:t>
      </w:r>
    </w:p>
    <w:p>
      <w:pPr>
        <w:ind w:left="60"/>
        <w:spacing w:after="0" w:line="230" w:lineRule="auto"/>
        <w:rPr>
          <w:sz w:val="20"/>
          <w:szCs w:val="20"/>
          <w:color w:val="auto"/>
        </w:rPr>
      </w:pPr>
      <w:r>
        <w:rPr>
          <w:rFonts w:ascii="Arial" w:cs="Arial" w:eastAsia="Arial" w:hAnsi="Arial"/>
          <w:sz w:val="22"/>
          <w:szCs w:val="22"/>
          <w:color w:val="auto"/>
        </w:rPr>
        <w:t>Pre-commencement communications pursuant to Rule 14d-2(b) under the Exchange Act (17 CFR 240.14d -2(b))</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1136650</wp:posOffset>
            </wp:positionV>
            <wp:extent cx="72466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200"/>
          </w:cols>
          <w:pgMar w:left="240" w:top="1440" w:right="459" w:bottom="1440" w:gutter="0" w:footer="0" w:header="0"/>
          <w:type w:val="continuous"/>
        </w:sectPr>
      </w:pPr>
    </w:p>
    <w:bookmarkStart w:id="1" w:name="page2"/>
    <w:bookmarkEnd w:id="1"/>
    <w:p>
      <w:pPr>
        <w:jc w:val="both"/>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Effective June 18, 2016, VistaGen Therapeutics, Inc. (“</w:t>
      </w:r>
      <w:r>
        <w:rPr>
          <w:rFonts w:ascii="Arial" w:cs="Arial" w:eastAsia="Arial" w:hAnsi="Arial"/>
          <w:sz w:val="21"/>
          <w:szCs w:val="21"/>
          <w:i w:val="1"/>
          <w:iCs w:val="1"/>
          <w:color w:val="auto"/>
        </w:rPr>
        <w:t>Company</w:t>
      </w:r>
      <w:r>
        <w:rPr>
          <w:rFonts w:ascii="Arial" w:cs="Arial" w:eastAsia="Arial" w:hAnsi="Arial"/>
          <w:sz w:val="21"/>
          <w:szCs w:val="21"/>
          <w:color w:val="auto"/>
        </w:rPr>
        <w:t>”) appointed Mark A. Smith, M.D., Ph.D. as its Chief Medical Officer. Dr. Smith, a research psychiatrist with more than 20 years of pharmaceutical industry experience in clinical development of central nervous system drug candidates, has directed clinical trials aimed at depression, bipolar disorder, anxiety, schizophrenia, Alzheimer’s disease, ADHD and agitation. As compensation for Dr. Smith’s services, the Company agreed to pay Dr. Smith an annual base salary of $350,000, and issue an initial grant of options to purchase up to 180,000 shares of the Company’s common stock, pursuant to the terms and conditions of the Company’s 2008 Stock Incentive Plan. The specific terms and conditions of Dr. Smith’s initial option grant will be determined and approved by the Compensation Committee of the Company’s Board of Directors (“</w:t>
      </w:r>
      <w:r>
        <w:rPr>
          <w:rFonts w:ascii="Arial" w:cs="Arial" w:eastAsia="Arial" w:hAnsi="Arial"/>
          <w:sz w:val="21"/>
          <w:szCs w:val="21"/>
          <w:i w:val="1"/>
          <w:iCs w:val="1"/>
          <w:color w:val="auto"/>
        </w:rPr>
        <w:t>Compensation Committee</w:t>
      </w:r>
      <w:r>
        <w:rPr>
          <w:rFonts w:ascii="Arial" w:cs="Arial" w:eastAsia="Arial" w:hAnsi="Arial"/>
          <w:sz w:val="21"/>
          <w:szCs w:val="21"/>
          <w:color w:val="auto"/>
        </w:rPr>
        <w:t>”). Dr. Smith will also be eligible to receive an annual bonus of up to 50% of his base salary, which bonus, if awarded, will be awarded at the sole discretion of the Compensation Committee. He will also be entitled to participate in such life insurance, disability, medical, dental, stock plans, retirement plans and other programs as may be made generally available from time to time by the Company for the benefit of similarly situated employees or its employees generally.</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copy of the Company’s press release announcing Dr. Smith’s appointment is attached to this Current Report on Form 8-K as Exhibit 99.1, and is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72466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VistaGen Therapeutics, Inc.</w:t>
      </w:r>
    </w:p>
    <w:p>
      <w:pPr>
        <w:spacing w:after="0" w:line="239" w:lineRule="exact"/>
        <w:rPr>
          <w:sz w:val="20"/>
          <w:szCs w:val="20"/>
          <w:color w:val="auto"/>
        </w:rPr>
      </w:pPr>
    </w:p>
    <w:p>
      <w:pPr>
        <w:ind w:left="120"/>
        <w:spacing w:after="0"/>
        <w:tabs>
          <w:tab w:leader="none" w:pos="5360" w:val="left"/>
          <w:tab w:leader="none" w:pos="6360" w:val="left"/>
        </w:tabs>
        <w:rPr>
          <w:sz w:val="20"/>
          <w:szCs w:val="20"/>
          <w:color w:val="auto"/>
        </w:rPr>
      </w:pPr>
      <w:r>
        <w:rPr>
          <w:rFonts w:ascii="Arial" w:cs="Arial" w:eastAsia="Arial" w:hAnsi="Arial"/>
          <w:sz w:val="22"/>
          <w:szCs w:val="22"/>
          <w:color w:val="auto"/>
        </w:rPr>
        <w:t>Date: June 21,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3232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22"/>
          <w:szCs w:val="22"/>
          <w:color w:val="auto"/>
        </w:rPr>
        <w:t>Shawn K. Singh</w:t>
      </w:r>
    </w:p>
    <w:p>
      <w:pPr>
        <w:ind w:left="638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24662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00" w:type="dxa"/>
            <w:vAlign w:val="bottom"/>
          </w:tcPr>
          <w:p>
            <w:pPr>
              <w:ind w:left="2360"/>
              <w:spacing w:after="0"/>
              <w:rPr>
                <w:sz w:val="20"/>
                <w:szCs w:val="20"/>
                <w:color w:val="auto"/>
              </w:rPr>
            </w:pPr>
            <w:r>
              <w:rPr>
                <w:rFonts w:ascii="Arial" w:cs="Arial" w:eastAsia="Arial" w:hAnsi="Arial"/>
                <w:sz w:val="22"/>
                <w:szCs w:val="22"/>
                <w:b w:val="1"/>
                <w:bCs w:val="1"/>
                <w:color w:val="auto"/>
              </w:rPr>
              <w:t>EXHIBIT INDEX</w:t>
            </w:r>
          </w:p>
        </w:tc>
      </w:tr>
      <w:tr>
        <w:trPr>
          <w:trHeight w:val="456"/>
        </w:trPr>
        <w:tc>
          <w:tcPr>
            <w:tcW w:w="1880" w:type="dxa"/>
            <w:vAlign w:val="bottom"/>
            <w:tcBorders>
              <w:bottom w:val="single" w:sz="8" w:color="auto"/>
            </w:tcBorders>
          </w:tcPr>
          <w:p>
            <w:pPr>
              <w:ind w:left="60"/>
              <w:spacing w:after="0"/>
              <w:rPr>
                <w:sz w:val="20"/>
                <w:szCs w:val="20"/>
                <w:color w:val="auto"/>
              </w:rPr>
            </w:pPr>
            <w:r>
              <w:rPr>
                <w:rFonts w:ascii="Arial" w:cs="Arial" w:eastAsia="Arial" w:hAnsi="Arial"/>
                <w:sz w:val="22"/>
                <w:szCs w:val="22"/>
                <w:b w:val="1"/>
                <w:bCs w:val="1"/>
                <w:color w:val="auto"/>
              </w:rPr>
              <w:t>Exhibit No.</w:t>
            </w:r>
          </w:p>
        </w:tc>
        <w:tc>
          <w:tcPr>
            <w:tcW w:w="640" w:type="dxa"/>
            <w:vAlign w:val="bottom"/>
          </w:tcPr>
          <w:p>
            <w:pPr>
              <w:spacing w:after="0"/>
              <w:rPr>
                <w:sz w:val="24"/>
                <w:szCs w:val="24"/>
                <w:color w:val="auto"/>
              </w:rPr>
            </w:pPr>
          </w:p>
        </w:tc>
        <w:tc>
          <w:tcPr>
            <w:tcW w:w="8900" w:type="dxa"/>
            <w:vAlign w:val="bottom"/>
            <w:tcBorders>
              <w:bottom w:val="single" w:sz="8" w:color="auto"/>
            </w:tcBorders>
          </w:tcPr>
          <w:p>
            <w:pPr>
              <w:ind w:left="60"/>
              <w:spacing w:after="0"/>
              <w:rPr>
                <w:sz w:val="20"/>
                <w:szCs w:val="20"/>
                <w:color w:val="auto"/>
              </w:rPr>
            </w:pPr>
            <w:r>
              <w:rPr>
                <w:rFonts w:ascii="Arial" w:cs="Arial" w:eastAsia="Arial" w:hAnsi="Arial"/>
                <w:sz w:val="22"/>
                <w:szCs w:val="22"/>
                <w:b w:val="1"/>
                <w:bCs w:val="1"/>
                <w:color w:val="auto"/>
              </w:rPr>
              <w:t>Description</w:t>
            </w:r>
          </w:p>
        </w:tc>
      </w:tr>
      <w:tr>
        <w:trPr>
          <w:trHeight w:val="243"/>
        </w:trPr>
        <w:tc>
          <w:tcPr>
            <w:tcW w:w="188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color w:val="auto"/>
              </w:rPr>
              <w:t>99.1</w:t>
            </w:r>
          </w:p>
        </w:tc>
        <w:tc>
          <w:tcPr>
            <w:tcW w:w="640" w:type="dxa"/>
            <w:vAlign w:val="bottom"/>
            <w:shd w:val="clear" w:color="auto" w:fill="CCEEFF"/>
          </w:tcPr>
          <w:p>
            <w:pPr>
              <w:spacing w:after="0"/>
              <w:rPr>
                <w:sz w:val="21"/>
                <w:szCs w:val="21"/>
                <w:color w:val="auto"/>
              </w:rPr>
            </w:pPr>
          </w:p>
        </w:tc>
        <w:tc>
          <w:tcPr>
            <w:tcW w:w="890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color w:val="auto"/>
              </w:rPr>
              <w:t>Company Press Release, dated June 20, 2016</w:t>
            </w:r>
          </w:p>
        </w:tc>
      </w:tr>
    </w:tbl>
    <w:p>
      <w:pPr>
        <w:sectPr>
          <w:pgSz w:w="11900" w:h="16838" w:orient="portrait"/>
          <w:cols w:equalWidth="0" w:num="1">
            <w:col w:w="11420"/>
          </w:cols>
          <w:pgMar w:left="2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83185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31850" cy="548640"/>
                    </a:xfrm>
                    <a:prstGeom prst="rect">
                      <a:avLst/>
                    </a:prstGeom>
                    <a:noFill/>
                  </pic:spPr>
                </pic:pic>
              </a:graphicData>
            </a:graphic>
          </wp:anchor>
        </w:drawing>
      </w:r>
    </w:p>
    <w:p>
      <w:pPr>
        <w:jc w:val="center"/>
        <w:ind w:left="260" w:right="220"/>
        <w:spacing w:after="0" w:line="288" w:lineRule="auto"/>
        <w:rPr>
          <w:sz w:val="20"/>
          <w:szCs w:val="20"/>
          <w:color w:val="auto"/>
        </w:rPr>
      </w:pPr>
      <w:r>
        <w:rPr>
          <w:rFonts w:ascii="Arial" w:cs="Arial" w:eastAsia="Arial" w:hAnsi="Arial"/>
          <w:sz w:val="25"/>
          <w:szCs w:val="25"/>
          <w:b w:val="1"/>
          <w:bCs w:val="1"/>
          <w:color w:val="222222"/>
        </w:rPr>
        <w:t>VistaGen Therapeutics Appoints Pharmaceutical CNS Drug Development Executive Mark A. Smith M.D., Ph.D. as Chief Medical Officer</w:t>
      </w:r>
    </w:p>
    <w:p>
      <w:pPr>
        <w:spacing w:after="0" w:line="149" w:lineRule="exact"/>
        <w:rPr>
          <w:sz w:val="20"/>
          <w:szCs w:val="20"/>
          <w:color w:val="auto"/>
        </w:rPr>
      </w:pPr>
    </w:p>
    <w:p>
      <w:pPr>
        <w:ind w:left="740" w:right="420" w:hanging="327"/>
        <w:spacing w:after="0" w:line="257" w:lineRule="auto"/>
        <w:tabs>
          <w:tab w:leader="none" w:pos="713"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Former Clinical Lead for Neuropsychiatry at Teva Pharmaceuticals to lead clinical development of AV-101 in major depressive disorder (MDD) and additional CNS pipeline programs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South San Francisco, CA (June 20, 2016) </w:t>
      </w:r>
      <w:r>
        <w:rPr>
          <w:rFonts w:ascii="Arial" w:cs="Arial" w:eastAsia="Arial" w:hAnsi="Arial"/>
          <w:sz w:val="22"/>
          <w:szCs w:val="22"/>
          <w:color w:val="auto"/>
        </w:rPr>
        <w:t>– VistaGen Therapeutics Inc. (NASDAQ: VTGN) (VistaGen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clinical-stage biopharmaceutical company dedicated to developing and commercializing innovative product candidates for patients with diseases and disorders involving the central nervous system (CNS), today announced it has appointed Mark A. Smith, M.D., Ph.D., as Chief Medical Officer.</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“Throughout 2016 we have made great strides in positioning VistaGen for a transformational year, specifically with the addition of preeminent members to our Clinical and Regulatory Advisory Board, the completion of our recently announced $10.9 million financing led by healthcare focused fundamental investors, and our graduation to NASDAQ last month,” commented Shawn Singh, Chief Executive Officer of the Company.</w:t>
      </w:r>
    </w:p>
    <w:p>
      <w:pPr>
        <w:spacing w:after="0" w:line="22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next critical element to achieving our vision is expanding and strengthening our management team to include an industry veteran with extensive CNS clinical development expertise and a broad network. We are incredibly pleased to have attracted Dr. Smith to our team as Chief Medical Officer at such a pivotal time for the Company. His contributions and leadership, both immediately and long term, will be invaluable as we continue to advance our lead CNS product candidate, AV-101, through our ongoing Phase 2a study in MDD and launch our potentially pivotal Phase 2b study in MDD later this year,” added Mr. Singh.</w:t>
      </w:r>
    </w:p>
    <w:p>
      <w:pPr>
        <w:spacing w:after="0" w:line="22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Dr. Smith is a research psychiatrist with more than 20 years of experience in basic research and CNS drug development from the lab bench through clinical proof of concept studies. He has been a successful project leader in both discovery and development resulting in approximately 20 investigational new drugs (INDs). Dr. Smith has directed clinical trials aimed at depression, bipolar disorder, anxiety, schizophrenia, Alzheimer’s, ADHD and agitation in Phase 1 through Phase 2b and has vast knowledge and expertise in drug discovery and development, translational neuroscience, clinical trial design and regulatory interactions.</w:t>
      </w: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“VistaGen has tremendous potential to transform the treatment paradigm in major depressive disorder and significantly improve the standard of care where there truly remains an unmet need. AV-101 is a promising CNS drug candidate opportunity in MDD and other CNS diseases and is fundamentally differentiated from currently approved treatment alternatives, representing a new generation of antidepressants with faster antidepressant effects without the undesired side effects that are far too common with existing treatments,” stated Dr. Smith. “I am honored and thrilled to be joining the VistaGen team at such an important time for the Company alongside leading experts in the field,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ind w:right="20"/>
        <w:spacing w:after="0" w:line="238" w:lineRule="auto"/>
        <w:rPr>
          <w:sz w:val="20"/>
          <w:szCs w:val="20"/>
          <w:color w:val="auto"/>
        </w:rPr>
      </w:pPr>
      <w:r>
        <w:rPr>
          <w:rFonts w:ascii="Arial" w:cs="Arial" w:eastAsia="Arial" w:hAnsi="Arial"/>
          <w:sz w:val="22"/>
          <w:szCs w:val="22"/>
          <w:color w:val="auto"/>
        </w:rPr>
        <w:t>I believe that with AV-101, we have the potential to positively change the lives of those who suffer from depression and other CNS diseases,” concluded Dr. Smith.</w:t>
      </w:r>
    </w:p>
    <w:p>
      <w:pPr>
        <w:spacing w:after="0" w:line="22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Prior to joining VistaGen, Dr. Smith served as the Clinical Lead for Neuropsychiatry at Teva Pharmaceuticals, where he was accountable for the strategy and clinical development of neuropsychiatric drugs through all phases of development with a focus on schizophrenia, sleep disorders and agitation. Previously, Dr. Smith held a range of director positions including Executive Director of Clinical Development at AstraZeneca Pharmaceutical Company where he led the early development of several novel chemical entities targeting treatment-resistant depression, anxiety and schizophrenia. Dr. Smith has also held positions as Senior Director of Experimental Medicine of Global Clinical Development and Innovation at Shire Pharmaceuticals and served as Senior Investigator and Principal Research Scientist of CNS Diseases at DuPont Pharmaceuticals. Prior to joining the pharmaceutical industry, he served as a Senior Staff Scientist of the Biological Psychiatry Branch and Senior Staff Fellow of the Clinical Neuroendocrinology Branch at the U.S. National Institute of Mental Health (NIMH).</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Dr. Smith received his Bachelors degree and Master of Science from Yale University, his Doctor of Medicine and Doctor of Philosophy in Physiology and Pharmacology from the University of California, San Diego, and completed his residency in the Department of Psychiatry at Duke University Medical Center.</w:t>
      </w:r>
    </w:p>
    <w:p>
      <w:pPr>
        <w:spacing w:after="0" w:line="229"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VistaGen’s lead oral prodrug candidate, AV-101, is currently being evaluated in an ongoing NIMH-sponsored Phase 2a clinical study for the treatment of major depressive disorder (MDD). The Company expects to report topline data from the Phase 2a clinical study in the second quarter of 2017 and is preparing to advance AV-101 into a Phase 2b MDD study in the fourth quarter of this year.</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AV-101</w:t>
      </w:r>
    </w:p>
    <w:p>
      <w:pPr>
        <w:spacing w:after="0" w:line="1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AV-101 (L-4-chlorokyurenine or 4-CI-KYN) is an orally-available prodrug candidate, currently in Phase 2 development, initially for the adjunctive treatment of major depressive disorder (MDD) in patients with an inadequate response to standard antidepressants. AV-101 has broad potential utility in other CNS diseases and disorders, including chronic neuropathic pain, epilepsy and neurodegenerative diseases, such as Parkinson’s disease and Huntington’s disease. AV-101 is orally available, rapidly absorbed through the gut, and then actively transported across the blood-brain barrier. Astrocytes in the brain rapidly convert AV101 into its active metabolite, 7-chlorokynurenic acid (7-Cl-KYNA), a well-characterized, potent and selective antagonist of N-methyl-D-aspartate (NMDA) receptors, acting by blocking the glycine-binding co-agonist site of the NMDA receptor. AV-101 is a member of a new generation of fast-acting glutamatergic drug candidates in development for treatment of MDD. These fast-acting drug candidates act through the AMPA receptor pathway increasing the production of nerve connections in the brain - often referred to as “synaptogenesis.” The increase in synaptogenesis is thought to be the mechanism by which these new generation fast–acting antidepressant drug candidates provide therapeutic benefit for depression.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VistaGen</w:t>
      </w:r>
    </w:p>
    <w:p>
      <w:pPr>
        <w:spacing w:after="0" w:line="1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VistaGen Therapeutics, Inc. is a clinical-stage biopharmaceutical company dedicated to developing and commercializing innovative product candidates for patients with diseases and disorders involving the CNS. VistaGen’s lead product candidate, AV-101, is a next generation, orally available prodrug in Phase 2 development, initially for the adjunctive treatment of MDD in patients with an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NIMH, and fully funded by the NIMH.</w:t>
      </w:r>
    </w:p>
    <w:p>
      <w:pPr>
        <w:spacing w:after="0" w:line="233" w:lineRule="exact"/>
        <w:rPr>
          <w:sz w:val="20"/>
          <w:szCs w:val="20"/>
          <w:color w:val="auto"/>
        </w:rPr>
      </w:pPr>
    </w:p>
    <w:p>
      <w:pPr>
        <w:ind w:right="340"/>
        <w:spacing w:after="0" w:line="345" w:lineRule="auto"/>
        <w:rPr>
          <w:sz w:val="20"/>
          <w:szCs w:val="20"/>
          <w:color w:val="auto"/>
        </w:rPr>
      </w:pPr>
      <w:r>
        <w:rPr>
          <w:rFonts w:ascii="Arial" w:cs="Arial" w:eastAsia="Arial" w:hAnsi="Arial"/>
          <w:sz w:val="22"/>
          <w:szCs w:val="22"/>
          <w:color w:val="auto"/>
        </w:rPr>
        <w:t xml:space="preserve">For more information, please visit www.vistagen.com and connect with VistaGen on Twitter, LinkedIn and Facebook. </w:t>
      </w:r>
      <w:r>
        <w:rPr>
          <w:rFonts w:ascii="Arial" w:cs="Arial" w:eastAsia="Arial" w:hAnsi="Arial"/>
          <w:sz w:val="22"/>
          <w:szCs w:val="22"/>
          <w:b w:val="1"/>
          <w:bCs w:val="1"/>
          <w:color w:val="auto"/>
        </w:rPr>
        <w:t>Forward-Looking Statements</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Jenene Thomas</w:t>
      </w:r>
    </w:p>
    <w:p>
      <w:pPr>
        <w:spacing w:after="0" w:line="230" w:lineRule="auto"/>
        <w:rPr>
          <w:sz w:val="20"/>
          <w:szCs w:val="20"/>
          <w:color w:val="auto"/>
        </w:rPr>
      </w:pPr>
      <w:r>
        <w:rPr>
          <w:rFonts w:ascii="Arial" w:cs="Arial" w:eastAsia="Arial" w:hAnsi="Arial"/>
          <w:sz w:val="22"/>
          <w:szCs w:val="22"/>
          <w:color w:val="auto"/>
        </w:rPr>
        <w:t>Jenene Thomas Communications, LLC</w:t>
      </w:r>
    </w:p>
    <w:p>
      <w:pPr>
        <w:spacing w:after="0" w:line="231" w:lineRule="auto"/>
        <w:rPr>
          <w:sz w:val="20"/>
          <w:szCs w:val="20"/>
          <w:color w:val="auto"/>
        </w:rPr>
      </w:pPr>
      <w:r>
        <w:rPr>
          <w:rFonts w:ascii="Arial" w:cs="Arial" w:eastAsia="Arial" w:hAnsi="Arial"/>
          <w:sz w:val="22"/>
          <w:szCs w:val="22"/>
          <w:color w:val="auto"/>
        </w:rPr>
        <w:t>Phone: +1 (908) 938-1475</w:t>
      </w:r>
    </w:p>
    <w:p>
      <w:pPr>
        <w:spacing w:after="0"/>
        <w:rPr>
          <w:sz w:val="20"/>
          <w:szCs w:val="20"/>
          <w:color w:val="auto"/>
        </w:rPr>
      </w:pPr>
      <w:r>
        <w:rPr>
          <w:rFonts w:ascii="Arial" w:cs="Arial" w:eastAsia="Arial" w:hAnsi="Arial"/>
          <w:sz w:val="22"/>
          <w:szCs w:val="22"/>
          <w:color w:val="auto"/>
        </w:rPr>
        <w:t>Email: jenene@jenenethomascommunications.com</w:t>
      </w:r>
    </w:p>
    <w:p>
      <w:pPr>
        <w:sectPr>
          <w:pgSz w:w="11900" w:h="16838" w:orient="portrait"/>
          <w:cols w:equalWidth="0" w:num="1">
            <w:col w:w="11420"/>
          </w:cols>
          <w:pgMar w:left="240" w:top="376" w:right="239" w:bottom="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Source: VistaGen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t>
      </w:r>
    </w:p>
    <w:p>
      <w:pPr>
        <w:spacing w:after="0" w:line="200" w:lineRule="exact"/>
        <w:rPr>
          <w:sz w:val="20"/>
          <w:szCs w:val="20"/>
          <w:color w:val="auto"/>
        </w:rPr>
      </w:pPr>
    </w:p>
    <w:p>
      <w:pPr>
        <w:spacing w:after="0" w:line="287"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-2-</w:t>
      </w:r>
    </w:p>
    <w:sectPr>
      <w:pgSz w:w="11900" w:h="16838" w:orient="portrait"/>
      <w:cols w:equalWidth="0" w:num="1">
        <w:col w:w="10219"/>
      </w:cols>
      <w:pgMar w:left="240" w:top="6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2020-01-20T18:43:35Z</dcterms:created>
  <dcterms:modified xsi:type="dcterms:W3CDTF">2020-01-20T18:43:35Z</dcterms:modified>
</cp:coreProperties>
</file>