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153670</wp:posOffset>
            </wp:positionH>
            <wp:positionV relativeFrom="page">
              <wp:posOffset>111760</wp:posOffset>
            </wp:positionV>
            <wp:extent cx="725424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38100"/>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1" w:lineRule="exact"/>
        <w:rPr>
          <w:sz w:val="24"/>
          <w:szCs w:val="24"/>
          <w:color w:val="auto"/>
        </w:rPr>
      </w:pPr>
    </w:p>
    <w:p>
      <w:pPr>
        <w:ind w:left="4240" w:right="4240" w:hanging="4235"/>
        <w:spacing w:after="0" w:line="627" w:lineRule="auto"/>
        <w:tabs>
          <w:tab w:leader="none" w:pos="53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Annual Report Pursuant to Section 13 or 15(d) of the Securities Exchange Act of 1934 </w:t>
      </w:r>
      <w:r>
        <w:rPr>
          <w:rFonts w:ascii="Arial" w:cs="Arial" w:eastAsia="Arial" w:hAnsi="Arial"/>
          <w:sz w:val="15"/>
          <w:szCs w:val="15"/>
          <w:color w:val="auto"/>
        </w:rPr>
        <w:t>For the fiscal year ended: March 31, 2015</w:t>
      </w:r>
    </w:p>
    <w:p>
      <w:pPr>
        <w:jc w:val="center"/>
        <w:spacing w:after="0"/>
        <w:rPr>
          <w:sz w:val="20"/>
          <w:szCs w:val="20"/>
          <w:color w:val="auto"/>
        </w:rPr>
      </w:pPr>
      <w:r>
        <w:rPr>
          <w:rFonts w:ascii="Arial" w:cs="Arial" w:eastAsia="Arial" w:hAnsi="Arial"/>
          <w:sz w:val="18"/>
          <w:szCs w:val="18"/>
          <w:color w:val="auto"/>
        </w:rPr>
        <w:t>or</w:t>
      </w:r>
    </w:p>
    <w:p>
      <w:pPr>
        <w:spacing w:after="0" w:line="208" w:lineRule="exact"/>
        <w:rPr>
          <w:sz w:val="24"/>
          <w:szCs w:val="24"/>
          <w:color w:val="auto"/>
        </w:rPr>
      </w:pPr>
    </w:p>
    <w:p>
      <w:pPr>
        <w:ind w:left="4420" w:right="4260" w:hanging="4415"/>
        <w:spacing w:after="0" w:line="606" w:lineRule="auto"/>
        <w:tabs>
          <w:tab w:leader="none" w:pos="537"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Commission file number: 000-54014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VistaGen Therapeutics,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1660" w:type="dxa"/>
        <w:tblCellMar>
          <w:top w:w="0" w:type="dxa"/>
          <w:left w:w="0" w:type="dxa"/>
          <w:bottom w:w="0" w:type="dxa"/>
          <w:right w:w="0" w:type="dxa"/>
        </w:tblCellMar>
      </w:tblPr>
      <w:tr>
        <w:trPr>
          <w:trHeight w:val="217"/>
        </w:trPr>
        <w:tc>
          <w:tcPr>
            <w:tcW w:w="4240" w:type="dxa"/>
            <w:vAlign w:val="bottom"/>
          </w:tcPr>
          <w:p>
            <w:pPr>
              <w:jc w:val="center"/>
              <w:ind w:right="2032"/>
              <w:spacing w:after="0"/>
              <w:rPr>
                <w:sz w:val="20"/>
                <w:szCs w:val="20"/>
                <w:color w:val="auto"/>
              </w:rPr>
            </w:pPr>
            <w:r>
              <w:rPr>
                <w:rFonts w:ascii="Arial" w:cs="Arial" w:eastAsia="Arial" w:hAnsi="Arial"/>
                <w:sz w:val="18"/>
                <w:szCs w:val="18"/>
                <w:b w:val="1"/>
                <w:bCs w:val="1"/>
                <w:color w:val="auto"/>
                <w:w w:val="87"/>
              </w:rPr>
              <w:t>Nevada</w:t>
            </w:r>
          </w:p>
        </w:tc>
        <w:tc>
          <w:tcPr>
            <w:tcW w:w="3440" w:type="dxa"/>
            <w:vAlign w:val="bottom"/>
          </w:tcPr>
          <w:p>
            <w:pPr>
              <w:jc w:val="center"/>
              <w:ind w:left="2032"/>
              <w:spacing w:after="0"/>
              <w:rPr>
                <w:sz w:val="20"/>
                <w:szCs w:val="20"/>
                <w:color w:val="auto"/>
              </w:rPr>
            </w:pPr>
            <w:r>
              <w:rPr>
                <w:rFonts w:ascii="Arial" w:cs="Arial" w:eastAsia="Arial" w:hAnsi="Arial"/>
                <w:sz w:val="18"/>
                <w:szCs w:val="18"/>
                <w:b w:val="1"/>
                <w:bCs w:val="1"/>
                <w:color w:val="auto"/>
                <w:w w:val="87"/>
              </w:rPr>
              <w:t>20-5093315</w:t>
            </w:r>
          </w:p>
        </w:tc>
      </w:tr>
      <w:tr>
        <w:trPr>
          <w:trHeight w:val="211"/>
        </w:trPr>
        <w:tc>
          <w:tcPr>
            <w:tcW w:w="4240" w:type="dxa"/>
            <w:vAlign w:val="bottom"/>
          </w:tcPr>
          <w:p>
            <w:pPr>
              <w:jc w:val="center"/>
              <w:ind w:right="2032"/>
              <w:spacing w:after="0"/>
              <w:rPr>
                <w:sz w:val="20"/>
                <w:szCs w:val="20"/>
                <w:color w:val="auto"/>
              </w:rPr>
            </w:pPr>
            <w:r>
              <w:rPr>
                <w:rFonts w:ascii="Arial" w:cs="Arial" w:eastAsia="Arial" w:hAnsi="Arial"/>
                <w:sz w:val="18"/>
                <w:szCs w:val="18"/>
                <w:color w:val="auto"/>
                <w:w w:val="90"/>
              </w:rPr>
              <w:t>(State or other jurisdiction of</w:t>
            </w:r>
          </w:p>
        </w:tc>
        <w:tc>
          <w:tcPr>
            <w:tcW w:w="3440" w:type="dxa"/>
            <w:vAlign w:val="bottom"/>
          </w:tcPr>
          <w:p>
            <w:pPr>
              <w:jc w:val="center"/>
              <w:ind w:left="2032"/>
              <w:spacing w:after="0"/>
              <w:rPr>
                <w:sz w:val="20"/>
                <w:szCs w:val="20"/>
                <w:color w:val="auto"/>
              </w:rPr>
            </w:pPr>
            <w:r>
              <w:rPr>
                <w:rFonts w:ascii="Arial" w:cs="Arial" w:eastAsia="Arial" w:hAnsi="Arial"/>
                <w:sz w:val="18"/>
                <w:szCs w:val="18"/>
                <w:color w:val="auto"/>
                <w:w w:val="90"/>
              </w:rPr>
              <w:t>(I.R.S. Employer</w:t>
            </w:r>
          </w:p>
        </w:tc>
      </w:tr>
      <w:tr>
        <w:trPr>
          <w:trHeight w:val="222"/>
        </w:trPr>
        <w:tc>
          <w:tcPr>
            <w:tcW w:w="4240" w:type="dxa"/>
            <w:vAlign w:val="bottom"/>
          </w:tcPr>
          <w:p>
            <w:pPr>
              <w:jc w:val="center"/>
              <w:ind w:right="2032"/>
              <w:spacing w:after="0"/>
              <w:rPr>
                <w:sz w:val="20"/>
                <w:szCs w:val="20"/>
                <w:color w:val="auto"/>
              </w:rPr>
            </w:pPr>
            <w:r>
              <w:rPr>
                <w:rFonts w:ascii="Arial" w:cs="Arial" w:eastAsia="Arial" w:hAnsi="Arial"/>
                <w:sz w:val="18"/>
                <w:szCs w:val="18"/>
                <w:color w:val="auto"/>
                <w:w w:val="90"/>
              </w:rPr>
              <w:t>incorporation or organization)</w:t>
            </w:r>
          </w:p>
        </w:tc>
        <w:tc>
          <w:tcPr>
            <w:tcW w:w="3440" w:type="dxa"/>
            <w:vAlign w:val="bottom"/>
          </w:tcPr>
          <w:p>
            <w:pPr>
              <w:jc w:val="center"/>
              <w:ind w:left="2052"/>
              <w:spacing w:after="0"/>
              <w:rPr>
                <w:sz w:val="20"/>
                <w:szCs w:val="20"/>
                <w:color w:val="auto"/>
              </w:rPr>
            </w:pPr>
            <w:r>
              <w:rPr>
                <w:rFonts w:ascii="Arial" w:cs="Arial" w:eastAsia="Arial" w:hAnsi="Arial"/>
                <w:sz w:val="18"/>
                <w:szCs w:val="18"/>
                <w:color w:val="auto"/>
                <w:w w:val="92"/>
              </w:rPr>
              <w:t>Identification No.)</w:t>
            </w:r>
          </w:p>
        </w:tc>
      </w:tr>
    </w:tbl>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w:t>
      </w:r>
    </w:p>
    <w:p>
      <w:pPr>
        <w:spacing w:after="0" w:line="206"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3120" w:type="dxa"/>
            <w:vAlign w:val="bottom"/>
          </w:tcPr>
          <w:p>
            <w:pPr>
              <w:spacing w:after="0"/>
              <w:rPr>
                <w:sz w:val="18"/>
                <w:szCs w:val="18"/>
                <w:color w:val="auto"/>
              </w:rPr>
            </w:pPr>
          </w:p>
        </w:tc>
        <w:tc>
          <w:tcPr>
            <w:tcW w:w="4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67"/>
        </w:trPr>
        <w:tc>
          <w:tcPr>
            <w:tcW w:w="3120" w:type="dxa"/>
            <w:vAlign w:val="bottom"/>
          </w:tcPr>
          <w:p>
            <w:pPr>
              <w:spacing w:after="0"/>
              <w:rPr>
                <w:sz w:val="24"/>
                <w:szCs w:val="24"/>
                <w:color w:val="auto"/>
              </w:rPr>
            </w:pPr>
          </w:p>
        </w:tc>
        <w:tc>
          <w:tcPr>
            <w:tcW w:w="52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4"/>
              </w:rPr>
              <w:t>None</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9"/>
        </w:trPr>
        <w:tc>
          <w:tcPr>
            <w:tcW w:w="3120" w:type="dxa"/>
            <w:vAlign w:val="bottom"/>
          </w:tcPr>
          <w:p>
            <w:pPr>
              <w:spacing w:after="0"/>
              <w:rPr>
                <w:sz w:val="24"/>
                <w:szCs w:val="24"/>
                <w:color w:val="auto"/>
              </w:rPr>
            </w:pPr>
          </w:p>
        </w:tc>
        <w:tc>
          <w:tcPr>
            <w:tcW w:w="52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7"/>
        </w:trPr>
        <w:tc>
          <w:tcPr>
            <w:tcW w:w="3120" w:type="dxa"/>
            <w:vAlign w:val="bottom"/>
          </w:tcPr>
          <w:p>
            <w:pPr>
              <w:spacing w:after="0"/>
              <w:rPr>
                <w:sz w:val="24"/>
                <w:szCs w:val="24"/>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Common Stock, $0.001 par value per share</w:t>
            </w:r>
          </w:p>
        </w:tc>
        <w:tc>
          <w:tcPr>
            <w:tcW w:w="98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8"/>
        </w:trPr>
        <w:tc>
          <w:tcPr>
            <w:tcW w:w="83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400" w:type="dxa"/>
            <w:vAlign w:val="bottom"/>
          </w:tcPr>
          <w:p>
            <w:pPr>
              <w:ind w:left="80"/>
              <w:spacing w:after="0"/>
              <w:rPr>
                <w:sz w:val="20"/>
                <w:szCs w:val="20"/>
                <w:color w:val="auto"/>
              </w:rPr>
            </w:pPr>
            <w:r>
              <w:rPr>
                <w:rFonts w:ascii="Arial" w:cs="Arial" w:eastAsia="Arial" w:hAnsi="Arial"/>
                <w:sz w:val="18"/>
                <w:szCs w:val="18"/>
                <w:color w:val="auto"/>
                <w:w w:val="96"/>
              </w:rPr>
              <w:t>Yes</w:t>
            </w:r>
          </w:p>
        </w:tc>
        <w:tc>
          <w:tcPr>
            <w:tcW w:w="3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ind w:left="140"/>
              <w:spacing w:after="0"/>
              <w:rPr>
                <w:sz w:val="20"/>
                <w:szCs w:val="20"/>
                <w:color w:val="auto"/>
              </w:rPr>
            </w:pPr>
            <w:r>
              <w:rPr>
                <w:rFonts w:ascii="Arial" w:cs="Arial" w:eastAsia="Arial" w:hAnsi="Arial"/>
                <w:sz w:val="18"/>
                <w:szCs w:val="18"/>
                <w:color w:val="auto"/>
                <w:w w:val="95"/>
              </w:rPr>
              <w:t>No  x</w:t>
            </w:r>
          </w:p>
        </w:tc>
      </w:tr>
      <w:tr>
        <w:trPr>
          <w:trHeight w:val="448"/>
        </w:trPr>
        <w:tc>
          <w:tcPr>
            <w:tcW w:w="832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4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ind w:left="60"/>
              <w:spacing w:after="0"/>
              <w:rPr>
                <w:sz w:val="20"/>
                <w:szCs w:val="20"/>
                <w:color w:val="auto"/>
              </w:rPr>
            </w:pPr>
            <w:r>
              <w:rPr>
                <w:rFonts w:ascii="Arial" w:cs="Arial" w:eastAsia="Arial" w:hAnsi="Arial"/>
                <w:sz w:val="18"/>
                <w:szCs w:val="18"/>
                <w:color w:val="auto"/>
              </w:rPr>
              <w:t>x</w:t>
            </w:r>
          </w:p>
        </w:tc>
      </w:tr>
    </w:tbl>
    <w:p>
      <w:pPr>
        <w:spacing w:after="0" w:line="205" w:lineRule="exact"/>
        <w:rPr>
          <w:sz w:val="24"/>
          <w:szCs w:val="24"/>
          <w:color w:val="auto"/>
        </w:rPr>
      </w:pPr>
    </w:p>
    <w:p>
      <w:pPr>
        <w:jc w:val="both"/>
        <w:ind w:firstLine="474"/>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7" w:lineRule="exact"/>
        <w:rPr>
          <w:sz w:val="24"/>
          <w:szCs w:val="24"/>
          <w:color w:val="auto"/>
        </w:rPr>
      </w:pPr>
    </w:p>
    <w:p>
      <w:pPr>
        <w:jc w:val="both"/>
        <w:ind w:firstLine="474"/>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S No </w:t>
      </w:r>
      <w:r>
        <w:rPr>
          <w:rFonts w:ascii="MS PGothic" w:cs="MS PGothic" w:eastAsia="MS PGothic" w:hAnsi="MS PGothic"/>
          <w:sz w:val="18"/>
          <w:szCs w:val="18"/>
          <w:color w:val="auto"/>
        </w:rPr>
        <w:t>☐</w:t>
      </w:r>
    </w:p>
    <w:p>
      <w:pPr>
        <w:spacing w:after="0" w:line="207" w:lineRule="exact"/>
        <w:rPr>
          <w:sz w:val="24"/>
          <w:szCs w:val="24"/>
          <w:color w:val="auto"/>
        </w:rPr>
      </w:pPr>
    </w:p>
    <w:p>
      <w:pPr>
        <w:jc w:val="both"/>
        <w:ind w:firstLine="474"/>
        <w:spacing w:after="0" w:line="253"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15" w:lineRule="exact"/>
        <w:rPr>
          <w:sz w:val="24"/>
          <w:szCs w:val="24"/>
          <w:color w:val="auto"/>
        </w:rPr>
      </w:pPr>
    </w:p>
    <w:p>
      <w:pPr>
        <w:jc w:val="both"/>
        <w:ind w:firstLine="474"/>
        <w:spacing w:after="0" w:line="32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83" w:right="239" w:bottom="1085" w:gutter="0" w:footer="0" w:header="0"/>
        </w:sectPr>
      </w:pPr>
    </w:p>
    <w:p>
      <w:pPr>
        <w:spacing w:after="0" w:line="135"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653" w:lineRule="exact"/>
        <w:rPr>
          <w:sz w:val="24"/>
          <w:szCs w:val="24"/>
          <w:color w:val="auto"/>
        </w:rPr>
      </w:pPr>
    </w:p>
    <w:p>
      <w:pPr>
        <w:sectPr>
          <w:pgSz w:w="11900" w:h="16838" w:orient="portrait"/>
          <w:cols w:equalWidth="0" w:num="7">
            <w:col w:w="1580" w:space="140"/>
            <w:col w:w="400" w:space="720"/>
            <w:col w:w="1180" w:space="180"/>
            <w:col w:w="780" w:space="720"/>
            <w:col w:w="2380" w:space="720"/>
            <w:col w:w="1920" w:space="140"/>
            <w:col w:w="560"/>
          </w:cols>
          <w:pgMar w:left="240" w:top="283" w:right="239" w:bottom="1085" w:gutter="0" w:footer="0" w:header="0"/>
          <w:type w:val="continuous"/>
        </w:sectPr>
      </w:pPr>
    </w:p>
    <w:p>
      <w:pPr>
        <w:spacing w:after="0" w:line="32" w:lineRule="exact"/>
        <w:rPr>
          <w:sz w:val="24"/>
          <w:szCs w:val="24"/>
          <w:color w:val="auto"/>
        </w:rPr>
      </w:pPr>
    </w:p>
    <w:p>
      <w:pPr>
        <w:ind w:left="4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5">
            <w:col w:w="7720" w:space="160"/>
            <w:col w:w="260" w:space="140"/>
            <w:col w:w="160" w:space="220"/>
            <w:col w:w="200" w:space="140"/>
            <w:col w:w="2420"/>
          </w:cols>
          <w:pgMar w:left="240" w:top="283" w:right="239" w:bottom="1085" w:gutter="0" w:footer="0" w:header="0"/>
          <w:type w:val="continuous"/>
        </w:sectPr>
      </w:pPr>
    </w:p>
    <w:p>
      <w:pPr>
        <w:spacing w:after="0" w:line="64" w:lineRule="exact"/>
        <w:rPr>
          <w:sz w:val="24"/>
          <w:szCs w:val="24"/>
          <w:color w:val="auto"/>
        </w:rPr>
      </w:pPr>
    </w:p>
    <w:p>
      <w:pPr>
        <w:ind w:firstLine="474"/>
        <w:spacing w:after="0" w:line="262" w:lineRule="auto"/>
        <w:rPr>
          <w:sz w:val="20"/>
          <w:szCs w:val="20"/>
          <w:color w:val="auto"/>
        </w:rPr>
      </w:pPr>
      <w:r>
        <w:rPr>
          <w:rFonts w:ascii="Arial" w:cs="Arial" w:eastAsia="Arial" w:hAnsi="Arial"/>
          <w:sz w:val="18"/>
          <w:szCs w:val="18"/>
          <w:color w:val="auto"/>
        </w:rPr>
        <w:t>The aggregate market value of the common stock of the registrant held by non-affiliates of the registrant on September 30, 2014, the last business day of the registrant’s second fiscal quarter, was: $10,084,494.</w:t>
      </w:r>
    </w:p>
    <w:p>
      <w:pPr>
        <w:spacing w:after="0" w:line="180" w:lineRule="exact"/>
        <w:rPr>
          <w:sz w:val="24"/>
          <w:szCs w:val="24"/>
          <w:color w:val="auto"/>
        </w:rPr>
      </w:pPr>
    </w:p>
    <w:p>
      <w:pPr>
        <w:ind w:left="480"/>
        <w:spacing w:after="0"/>
        <w:rPr>
          <w:sz w:val="20"/>
          <w:szCs w:val="20"/>
          <w:color w:val="auto"/>
        </w:rPr>
      </w:pPr>
      <w:r>
        <w:rPr>
          <w:rFonts w:ascii="Arial" w:cs="Arial" w:eastAsia="Arial" w:hAnsi="Arial"/>
          <w:sz w:val="18"/>
          <w:szCs w:val="18"/>
          <w:color w:val="auto"/>
        </w:rPr>
        <w:t>As of June 25, 2015, there were 1,594,461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175260</wp:posOffset>
            </wp:positionV>
            <wp:extent cx="7254240" cy="43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438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434340</wp:posOffset>
            </wp:positionV>
            <wp:extent cx="7254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283" w:right="239" w:bottom="108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60" w:type="dxa"/>
            <w:vAlign w:val="bottom"/>
            <w:gridSpan w:val="13"/>
          </w:tcPr>
          <w:p>
            <w:pPr>
              <w:ind w:left="24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19"/>
                <w:szCs w:val="19"/>
                <w:color w:val="auto"/>
              </w:rPr>
            </w:pPr>
          </w:p>
        </w:tc>
      </w:tr>
      <w:tr>
        <w:trPr>
          <w:trHeight w:val="42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Item No.</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0"/>
              </w:rPr>
              <w:t>Page No.</w:t>
            </w:r>
          </w:p>
        </w:tc>
      </w:tr>
      <w:tr>
        <w:trPr>
          <w:trHeight w:val="191"/>
        </w:trPr>
        <w:tc>
          <w:tcPr>
            <w:tcW w:w="580" w:type="dxa"/>
            <w:vAlign w:val="bottom"/>
            <w:tcBorders>
              <w:bottom w:val="single" w:sz="8" w:color="0000EE"/>
            </w:tcBorders>
            <w:shd w:val="clear" w:color="auto" w:fill="CCEEFF"/>
          </w:tcPr>
          <w:p>
            <w:pPr>
              <w:spacing w:after="0" w:line="171" w:lineRule="exact"/>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2000" w:type="dxa"/>
            <w:vAlign w:val="bottom"/>
            <w:tcBorders>
              <w:bottom w:val="single" w:sz="8" w:color="CCEEFF"/>
            </w:tcBorders>
            <w:gridSpan w:val="9"/>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right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71"/>
        </w:trPr>
        <w:tc>
          <w:tcPr>
            <w:tcW w:w="1980" w:type="dxa"/>
            <w:vAlign w:val="bottom"/>
            <w:gridSpan w:val="9"/>
          </w:tcPr>
          <w:p>
            <w:pPr>
              <w:ind w:left="1760"/>
              <w:spacing w:after="0" w:line="171"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600" w:type="dxa"/>
            <w:vAlign w:val="bottom"/>
          </w:tcPr>
          <w:p>
            <w:pPr>
              <w:spacing w:after="0"/>
              <w:rPr>
                <w:sz w:val="14"/>
                <w:szCs w:val="14"/>
                <w:color w:val="auto"/>
              </w:rPr>
            </w:pPr>
          </w:p>
        </w:tc>
        <w:tc>
          <w:tcPr>
            <w:tcW w:w="8020" w:type="dxa"/>
            <w:vAlign w:val="bottom"/>
            <w:gridSpan w:val="20"/>
          </w:tcPr>
          <w:p>
            <w:pPr>
              <w:ind w:left="660"/>
              <w:spacing w:after="0" w:line="171"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20" w:type="dxa"/>
            <w:vAlign w:val="bottom"/>
          </w:tcPr>
          <w:p>
            <w:pPr>
              <w:jc w:val="right"/>
              <w:spacing w:after="0" w:line="171" w:lineRule="exact"/>
              <w:rPr>
                <w:sz w:val="20"/>
                <w:szCs w:val="20"/>
                <w:color w:val="auto"/>
              </w:rPr>
            </w:pPr>
            <w:r>
              <w:rPr>
                <w:rFonts w:ascii="Arial" w:cs="Arial" w:eastAsia="Arial" w:hAnsi="Arial"/>
                <w:sz w:val="18"/>
                <w:szCs w:val="18"/>
                <w:color w:val="auto"/>
              </w:rPr>
              <w:t>2</w:t>
            </w:r>
          </w:p>
        </w:tc>
      </w:tr>
      <w:tr>
        <w:trPr>
          <w:trHeight w:val="30"/>
        </w:trPr>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1"/>
        </w:trPr>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right w:val="single" w:sz="8" w:color="CCEEFF"/>
            </w:tcBorders>
            <w:gridSpan w:val="2"/>
            <w:shd w:val="clear" w:color="auto" w:fill="CCEEFF"/>
          </w:tcPr>
          <w:p>
            <w:pPr>
              <w:spacing w:after="0" w:line="181" w:lineRule="exact"/>
              <w:rPr>
                <w:rFonts w:ascii="Arial" w:cs="Arial" w:eastAsia="Arial" w:hAnsi="Arial"/>
                <w:sz w:val="16"/>
                <w:szCs w:val="16"/>
                <w:color w:val="0000EE"/>
                <w:w w:val="74"/>
              </w:rPr>
            </w:pPr>
            <w:hyperlink w:anchor="page48">
              <w:r>
                <w:rPr>
                  <w:rFonts w:ascii="Arial" w:cs="Arial" w:eastAsia="Arial" w:hAnsi="Arial"/>
                  <w:sz w:val="16"/>
                  <w:szCs w:val="16"/>
                  <w:color w:val="0000EE"/>
                  <w:w w:val="74"/>
                </w:rPr>
                <w:t>1A.</w:t>
              </w:r>
            </w:hyperlink>
          </w:p>
        </w:tc>
        <w:tc>
          <w:tcPr>
            <w:tcW w:w="600" w:type="dxa"/>
            <w:vAlign w:val="bottom"/>
            <w:tcBorders>
              <w:lef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360" w:type="dxa"/>
            <w:vAlign w:val="bottom"/>
            <w:gridSpan w:val="19"/>
            <w:shd w:val="clear" w:color="auto" w:fill="CCEEFF"/>
          </w:tcPr>
          <w:p>
            <w:pPr>
              <w:spacing w:after="0" w:line="181" w:lineRule="exact"/>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46</w:t>
            </w:r>
          </w:p>
        </w:tc>
      </w:tr>
      <w:tr>
        <w:trPr>
          <w:trHeight w:val="40"/>
        </w:trPr>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600" w:type="dxa"/>
            <w:vAlign w:val="bottom"/>
            <w:tcBorders>
              <w:left w:val="single" w:sz="8" w:color="0000EE"/>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r>
        <w:trPr>
          <w:trHeight w:val="171"/>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gridSpan w:val="2"/>
          </w:tcPr>
          <w:p>
            <w:pPr>
              <w:spacing w:after="0" w:line="171" w:lineRule="exact"/>
              <w:rPr>
                <w:rFonts w:ascii="Arial" w:cs="Arial" w:eastAsia="Arial" w:hAnsi="Arial"/>
                <w:sz w:val="16"/>
                <w:szCs w:val="16"/>
                <w:color w:val="0000EE"/>
                <w:w w:val="74"/>
              </w:rPr>
            </w:pPr>
            <w:hyperlink w:anchor="page82">
              <w:r>
                <w:rPr>
                  <w:rFonts w:ascii="Arial" w:cs="Arial" w:eastAsia="Arial" w:hAnsi="Arial"/>
                  <w:sz w:val="16"/>
                  <w:szCs w:val="16"/>
                  <w:color w:val="0000EE"/>
                  <w:w w:val="74"/>
                </w:rPr>
                <w:t>1B.</w:t>
              </w:r>
            </w:hyperlink>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360" w:type="dxa"/>
            <w:vAlign w:val="bottom"/>
            <w:gridSpan w:val="19"/>
          </w:tcPr>
          <w:p>
            <w:pPr>
              <w:spacing w:after="0" w:line="171" w:lineRule="exact"/>
              <w:rPr>
                <w:rFonts w:ascii="Arial" w:cs="Arial" w:eastAsia="Arial" w:hAnsi="Arial"/>
                <w:sz w:val="18"/>
                <w:szCs w:val="18"/>
                <w:color w:val="0000EE"/>
              </w:rPr>
            </w:pPr>
            <w:hyperlink w:anchor="page82">
              <w:r>
                <w:rPr>
                  <w:rFonts w:ascii="Arial" w:cs="Arial" w:eastAsia="Arial" w:hAnsi="Arial"/>
                  <w:sz w:val="18"/>
                  <w:szCs w:val="18"/>
                  <w:color w:val="0000EE"/>
                </w:rPr>
                <w:t>Unresolved Staff Comments</w:t>
              </w:r>
            </w:hyperlink>
          </w:p>
        </w:tc>
        <w:tc>
          <w:tcPr>
            <w:tcW w:w="820" w:type="dxa"/>
            <w:vAlign w:val="bottom"/>
          </w:tcPr>
          <w:p>
            <w:pPr>
              <w:jc w:val="right"/>
              <w:spacing w:after="0" w:line="171" w:lineRule="exact"/>
              <w:rPr>
                <w:sz w:val="20"/>
                <w:szCs w:val="20"/>
                <w:color w:val="auto"/>
              </w:rPr>
            </w:pPr>
            <w:r>
              <w:rPr>
                <w:rFonts w:ascii="Arial" w:cs="Arial" w:eastAsia="Arial" w:hAnsi="Arial"/>
                <w:sz w:val="18"/>
                <w:szCs w:val="18"/>
                <w:color w:val="auto"/>
              </w:rPr>
              <w:t>79</w:t>
            </w:r>
          </w:p>
        </w:tc>
      </w:tr>
      <w:tr>
        <w:trPr>
          <w:trHeight w:val="30"/>
        </w:trPr>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1"/>
        </w:trPr>
        <w:tc>
          <w:tcPr>
            <w:tcW w:w="1980" w:type="dxa"/>
            <w:vAlign w:val="bottom"/>
            <w:tcBorders>
              <w:right w:val="single" w:sz="8" w:color="CCEEFF"/>
            </w:tcBorders>
            <w:gridSpan w:val="9"/>
            <w:shd w:val="clear" w:color="auto" w:fill="CCEEFF"/>
          </w:tcPr>
          <w:p>
            <w:pPr>
              <w:ind w:left="1760"/>
              <w:spacing w:after="0" w:line="181" w:lineRule="exact"/>
              <w:rPr>
                <w:rFonts w:ascii="Arial" w:cs="Arial" w:eastAsia="Arial" w:hAnsi="Arial"/>
                <w:sz w:val="18"/>
                <w:szCs w:val="18"/>
                <w:color w:val="0000EE"/>
              </w:rPr>
            </w:pPr>
            <w:hyperlink w:anchor="page82">
              <w:r>
                <w:rPr>
                  <w:rFonts w:ascii="Arial" w:cs="Arial" w:eastAsia="Arial" w:hAnsi="Arial"/>
                  <w:sz w:val="18"/>
                  <w:szCs w:val="18"/>
                  <w:color w:val="0000EE"/>
                </w:rPr>
                <w:t>2.</w:t>
              </w:r>
            </w:hyperlink>
          </w:p>
        </w:tc>
        <w:tc>
          <w:tcPr>
            <w:tcW w:w="600" w:type="dxa"/>
            <w:vAlign w:val="bottom"/>
            <w:tcBorders>
              <w:left w:val="single" w:sz="8" w:color="CCEEFF"/>
            </w:tcBorders>
            <w:shd w:val="clear" w:color="auto" w:fill="CCEEFF"/>
          </w:tcPr>
          <w:p>
            <w:pPr>
              <w:spacing w:after="0"/>
              <w:rPr>
                <w:sz w:val="15"/>
                <w:szCs w:val="15"/>
                <w:color w:val="auto"/>
              </w:rPr>
            </w:pPr>
          </w:p>
        </w:tc>
        <w:tc>
          <w:tcPr>
            <w:tcW w:w="8020" w:type="dxa"/>
            <w:vAlign w:val="bottom"/>
            <w:gridSpan w:val="20"/>
            <w:shd w:val="clear" w:color="auto" w:fill="CCEEFF"/>
          </w:tcPr>
          <w:p>
            <w:pPr>
              <w:ind w:left="660"/>
              <w:spacing w:after="0" w:line="181" w:lineRule="exact"/>
              <w:rPr>
                <w:rFonts w:ascii="Arial" w:cs="Arial" w:eastAsia="Arial" w:hAnsi="Arial"/>
                <w:sz w:val="18"/>
                <w:szCs w:val="18"/>
                <w:color w:val="0000EE"/>
              </w:rPr>
            </w:pPr>
            <w:hyperlink w:anchor="page82">
              <w:r>
                <w:rPr>
                  <w:rFonts w:ascii="Arial" w:cs="Arial" w:eastAsia="Arial" w:hAnsi="Arial"/>
                  <w:sz w:val="18"/>
                  <w:szCs w:val="18"/>
                  <w:color w:val="0000EE"/>
                </w:rPr>
                <w:t>Properties</w:t>
              </w:r>
            </w:hyperlink>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79</w:t>
            </w:r>
          </w:p>
        </w:tc>
      </w:tr>
      <w:tr>
        <w:trPr>
          <w:trHeight w:val="40"/>
        </w:trPr>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tcBorders>
              <w:lef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r>
        <w:trPr>
          <w:trHeight w:val="171"/>
        </w:trPr>
        <w:tc>
          <w:tcPr>
            <w:tcW w:w="1980" w:type="dxa"/>
            <w:vAlign w:val="bottom"/>
            <w:gridSpan w:val="9"/>
          </w:tcPr>
          <w:p>
            <w:pPr>
              <w:ind w:left="1760"/>
              <w:spacing w:after="0" w:line="171" w:lineRule="exact"/>
              <w:rPr>
                <w:rFonts w:ascii="Arial" w:cs="Arial" w:eastAsia="Arial" w:hAnsi="Arial"/>
                <w:sz w:val="18"/>
                <w:szCs w:val="18"/>
                <w:color w:val="0000EE"/>
              </w:rPr>
            </w:pPr>
            <w:hyperlink w:anchor="page82">
              <w:r>
                <w:rPr>
                  <w:rFonts w:ascii="Arial" w:cs="Arial" w:eastAsia="Arial" w:hAnsi="Arial"/>
                  <w:sz w:val="18"/>
                  <w:szCs w:val="18"/>
                  <w:color w:val="0000EE"/>
                </w:rPr>
                <w:t>3.</w:t>
              </w:r>
            </w:hyperlink>
          </w:p>
        </w:tc>
        <w:tc>
          <w:tcPr>
            <w:tcW w:w="600" w:type="dxa"/>
            <w:vAlign w:val="bottom"/>
          </w:tcPr>
          <w:p>
            <w:pPr>
              <w:spacing w:after="0"/>
              <w:rPr>
                <w:sz w:val="14"/>
                <w:szCs w:val="14"/>
                <w:color w:val="auto"/>
              </w:rPr>
            </w:pPr>
          </w:p>
        </w:tc>
        <w:tc>
          <w:tcPr>
            <w:tcW w:w="8020" w:type="dxa"/>
            <w:vAlign w:val="bottom"/>
            <w:gridSpan w:val="20"/>
          </w:tcPr>
          <w:p>
            <w:pPr>
              <w:ind w:left="660"/>
              <w:spacing w:after="0" w:line="171" w:lineRule="exact"/>
              <w:rPr>
                <w:rFonts w:ascii="Arial" w:cs="Arial" w:eastAsia="Arial" w:hAnsi="Arial"/>
                <w:sz w:val="18"/>
                <w:szCs w:val="18"/>
                <w:color w:val="0000EE"/>
              </w:rPr>
            </w:pPr>
            <w:hyperlink w:anchor="page82">
              <w:r>
                <w:rPr>
                  <w:rFonts w:ascii="Arial" w:cs="Arial" w:eastAsia="Arial" w:hAnsi="Arial"/>
                  <w:sz w:val="18"/>
                  <w:szCs w:val="18"/>
                  <w:color w:val="0000EE"/>
                </w:rPr>
                <w:t>Legal Proceedings</w:t>
              </w:r>
            </w:hyperlink>
          </w:p>
        </w:tc>
        <w:tc>
          <w:tcPr>
            <w:tcW w:w="820" w:type="dxa"/>
            <w:vAlign w:val="bottom"/>
          </w:tcPr>
          <w:p>
            <w:pPr>
              <w:jc w:val="right"/>
              <w:spacing w:after="0" w:line="171" w:lineRule="exact"/>
              <w:rPr>
                <w:sz w:val="20"/>
                <w:szCs w:val="20"/>
                <w:color w:val="auto"/>
              </w:rPr>
            </w:pPr>
            <w:r>
              <w:rPr>
                <w:rFonts w:ascii="Arial" w:cs="Arial" w:eastAsia="Arial" w:hAnsi="Arial"/>
                <w:sz w:val="18"/>
                <w:szCs w:val="18"/>
                <w:color w:val="auto"/>
              </w:rPr>
              <w:t>79</w:t>
            </w:r>
          </w:p>
        </w:tc>
      </w:tr>
      <w:tr>
        <w:trPr>
          <w:trHeight w:val="30"/>
        </w:trPr>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0"/>
        </w:trPr>
        <w:tc>
          <w:tcPr>
            <w:tcW w:w="1980" w:type="dxa"/>
            <w:vAlign w:val="bottom"/>
            <w:tcBorders>
              <w:right w:val="single" w:sz="8" w:color="CCEEFF"/>
            </w:tcBorders>
            <w:gridSpan w:val="9"/>
            <w:shd w:val="clear" w:color="auto" w:fill="CCEEFF"/>
          </w:tcPr>
          <w:p>
            <w:pPr>
              <w:ind w:left="1760"/>
              <w:spacing w:after="0" w:line="181" w:lineRule="exact"/>
              <w:rPr>
                <w:rFonts w:ascii="Arial" w:cs="Arial" w:eastAsia="Arial" w:hAnsi="Arial"/>
                <w:sz w:val="18"/>
                <w:szCs w:val="18"/>
                <w:color w:val="0000EE"/>
              </w:rPr>
            </w:pPr>
            <w:hyperlink w:anchor="page82">
              <w:r>
                <w:rPr>
                  <w:rFonts w:ascii="Arial" w:cs="Arial" w:eastAsia="Arial" w:hAnsi="Arial"/>
                  <w:sz w:val="18"/>
                  <w:szCs w:val="18"/>
                  <w:color w:val="0000EE"/>
                </w:rPr>
                <w:t>4.</w:t>
              </w:r>
            </w:hyperlink>
          </w:p>
        </w:tc>
        <w:tc>
          <w:tcPr>
            <w:tcW w:w="600" w:type="dxa"/>
            <w:vAlign w:val="bottom"/>
            <w:tcBorders>
              <w:left w:val="single" w:sz="8" w:color="CCEEFF"/>
            </w:tcBorders>
            <w:shd w:val="clear" w:color="auto" w:fill="CCEEFF"/>
          </w:tcPr>
          <w:p>
            <w:pPr>
              <w:spacing w:after="0"/>
              <w:rPr>
                <w:sz w:val="17"/>
                <w:szCs w:val="17"/>
                <w:color w:val="auto"/>
              </w:rPr>
            </w:pPr>
          </w:p>
        </w:tc>
        <w:tc>
          <w:tcPr>
            <w:tcW w:w="8020" w:type="dxa"/>
            <w:vAlign w:val="bottom"/>
            <w:gridSpan w:val="20"/>
            <w:shd w:val="clear" w:color="auto" w:fill="CCEEFF"/>
          </w:tcPr>
          <w:p>
            <w:pPr>
              <w:ind w:left="660"/>
              <w:spacing w:after="0" w:line="181" w:lineRule="exact"/>
              <w:rPr>
                <w:rFonts w:ascii="Arial" w:cs="Arial" w:eastAsia="Arial" w:hAnsi="Arial"/>
                <w:sz w:val="18"/>
                <w:szCs w:val="18"/>
                <w:color w:val="0000EE"/>
              </w:rPr>
            </w:pPr>
            <w:hyperlink w:anchor="page82">
              <w:r>
                <w:rPr>
                  <w:rFonts w:ascii="Arial" w:cs="Arial" w:eastAsia="Arial" w:hAnsi="Arial"/>
                  <w:sz w:val="18"/>
                  <w:szCs w:val="18"/>
                  <w:color w:val="0000EE"/>
                </w:rPr>
                <w:t>Mine Safety Disclosures</w:t>
              </w:r>
            </w:hyperlink>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79</w:t>
            </w:r>
          </w:p>
        </w:tc>
      </w:tr>
      <w:tr>
        <w:trPr>
          <w:trHeight w:val="181"/>
        </w:trPr>
        <w:tc>
          <w:tcPr>
            <w:tcW w:w="1760" w:type="dxa"/>
            <w:vAlign w:val="bottom"/>
            <w:tcBorders>
              <w:top w:val="single" w:sz="8" w:color="CCEEFF"/>
            </w:tcBorders>
            <w:gridSpan w:val="7"/>
          </w:tcPr>
          <w:p>
            <w:pPr>
              <w:spacing w:after="0" w:line="171"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w:t>
              </w:r>
            </w:hyperlink>
          </w:p>
        </w:tc>
        <w:tc>
          <w:tcPr>
            <w:tcW w:w="120" w:type="dxa"/>
            <w:vAlign w:val="bottom"/>
            <w:tcBorders>
              <w:top w:val="single" w:sz="8" w:color="0000EE"/>
            </w:tcBorders>
          </w:tcPr>
          <w:p>
            <w:pPr>
              <w:spacing w:after="0"/>
              <w:rPr>
                <w:sz w:val="15"/>
                <w:szCs w:val="15"/>
                <w:color w:val="auto"/>
              </w:rPr>
            </w:pPr>
          </w:p>
        </w:tc>
        <w:tc>
          <w:tcPr>
            <w:tcW w:w="700" w:type="dxa"/>
            <w:vAlign w:val="bottom"/>
            <w:tcBorders>
              <w:top w:val="single" w:sz="8" w:color="CCEEFF"/>
            </w:tcBorders>
            <w:gridSpan w:val="2"/>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r>
      <w:tr>
        <w:trPr>
          <w:trHeight w:val="181"/>
        </w:trPr>
        <w:tc>
          <w:tcPr>
            <w:tcW w:w="640" w:type="dxa"/>
            <w:vAlign w:val="bottom"/>
            <w:tcBorders>
              <w:top w:val="single" w:sz="8" w:color="0000EE"/>
            </w:tcBorders>
            <w:gridSpan w:val="2"/>
            <w:shd w:val="clear" w:color="auto" w:fill="CCEEFF"/>
          </w:tcPr>
          <w:p>
            <w:pPr>
              <w:spacing w:after="0"/>
              <w:rPr>
                <w:sz w:val="15"/>
                <w:szCs w:val="15"/>
                <w:color w:val="auto"/>
              </w:rPr>
            </w:pPr>
          </w:p>
        </w:tc>
        <w:tc>
          <w:tcPr>
            <w:tcW w:w="1340" w:type="dxa"/>
            <w:vAlign w:val="bottom"/>
            <w:tcBorders>
              <w:right w:val="single" w:sz="8" w:color="CCEEFF"/>
            </w:tcBorders>
            <w:gridSpan w:val="7"/>
            <w:shd w:val="clear" w:color="auto" w:fill="CCEEFF"/>
          </w:tcPr>
          <w:p>
            <w:pPr>
              <w:ind w:left="1120"/>
              <w:spacing w:after="0" w:line="181" w:lineRule="exact"/>
              <w:rPr>
                <w:rFonts w:ascii="Arial" w:cs="Arial" w:eastAsia="Arial" w:hAnsi="Arial"/>
                <w:sz w:val="18"/>
                <w:szCs w:val="18"/>
                <w:color w:val="0000EE"/>
              </w:rPr>
            </w:pPr>
            <w:hyperlink w:anchor="page83">
              <w:r>
                <w:rPr>
                  <w:rFonts w:ascii="Arial" w:cs="Arial" w:eastAsia="Arial" w:hAnsi="Arial"/>
                  <w:sz w:val="18"/>
                  <w:szCs w:val="18"/>
                  <w:color w:val="0000EE"/>
                </w:rPr>
                <w:t>5.</w:t>
              </w:r>
            </w:hyperlink>
          </w:p>
        </w:tc>
        <w:tc>
          <w:tcPr>
            <w:tcW w:w="600" w:type="dxa"/>
            <w:vAlign w:val="bottom"/>
            <w:tcBorders>
              <w:left w:val="single" w:sz="8" w:color="CCEEFF"/>
            </w:tcBorders>
            <w:shd w:val="clear" w:color="auto" w:fill="CCEEFF"/>
          </w:tcPr>
          <w:p>
            <w:pPr>
              <w:spacing w:after="0"/>
              <w:rPr>
                <w:sz w:val="15"/>
                <w:szCs w:val="15"/>
                <w:color w:val="auto"/>
              </w:rPr>
            </w:pPr>
          </w:p>
        </w:tc>
        <w:tc>
          <w:tcPr>
            <w:tcW w:w="8020" w:type="dxa"/>
            <w:vAlign w:val="bottom"/>
            <w:gridSpan w:val="20"/>
            <w:shd w:val="clear" w:color="auto" w:fill="CCEEFF"/>
          </w:tcPr>
          <w:p>
            <w:pPr>
              <w:ind w:left="660"/>
              <w:spacing w:after="0" w:line="181"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Market for Registrant’s Common Equity, Related Stockholder Matters and Issuer Purchases of Equity</w:t>
              </w:r>
            </w:hyperlink>
          </w:p>
        </w:tc>
        <w:tc>
          <w:tcPr>
            <w:tcW w:w="820" w:type="dxa"/>
            <w:vAlign w:val="bottom"/>
            <w:shd w:val="clear" w:color="auto" w:fill="CCEEFF"/>
          </w:tcPr>
          <w:p>
            <w:pPr>
              <w:spacing w:after="0"/>
              <w:rPr>
                <w:sz w:val="15"/>
                <w:szCs w:val="15"/>
                <w:color w:val="auto"/>
              </w:rPr>
            </w:pPr>
          </w:p>
        </w:tc>
      </w:tr>
      <w:tr>
        <w:trPr>
          <w:trHeight w:val="210"/>
        </w:trPr>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700" w:type="dxa"/>
            <w:vAlign w:val="bottom"/>
            <w:tcBorders>
              <w:top w:val="single" w:sz="8" w:color="0000EE"/>
              <w:bottom w:val="single" w:sz="8" w:color="0000EE"/>
            </w:tcBorders>
            <w:gridSpan w:val="4"/>
            <w:shd w:val="clear" w:color="auto" w:fill="CCEEFF"/>
          </w:tcPr>
          <w:p>
            <w:pPr>
              <w:spacing w:after="0" w:line="191" w:lineRule="exact"/>
              <w:rPr>
                <w:rFonts w:ascii="Arial" w:cs="Arial" w:eastAsia="Arial" w:hAnsi="Arial"/>
                <w:sz w:val="18"/>
                <w:szCs w:val="18"/>
                <w:color w:val="0000EE"/>
                <w:w w:val="85"/>
              </w:rPr>
            </w:pPr>
            <w:hyperlink w:anchor="page83">
              <w:r>
                <w:rPr>
                  <w:rFonts w:ascii="Arial" w:cs="Arial" w:eastAsia="Arial" w:hAnsi="Arial"/>
                  <w:sz w:val="18"/>
                  <w:szCs w:val="18"/>
                  <w:color w:val="0000EE"/>
                  <w:w w:val="85"/>
                </w:rPr>
                <w:t>Securities</w:t>
              </w:r>
            </w:hyperlink>
          </w:p>
        </w:tc>
        <w:tc>
          <w:tcPr>
            <w:tcW w:w="6120" w:type="dxa"/>
            <w:vAlign w:val="bottom"/>
            <w:tcBorders>
              <w:top w:val="single" w:sz="8" w:color="0000EE"/>
              <w:bottom w:val="single" w:sz="8" w:color="CCEEFF"/>
            </w:tcBorders>
            <w:gridSpan w:val="13"/>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80</w:t>
            </w:r>
          </w:p>
        </w:tc>
      </w:tr>
      <w:tr>
        <w:trPr>
          <w:trHeight w:val="171"/>
        </w:trPr>
        <w:tc>
          <w:tcPr>
            <w:tcW w:w="1980" w:type="dxa"/>
            <w:vAlign w:val="bottom"/>
            <w:gridSpan w:val="9"/>
          </w:tcPr>
          <w:p>
            <w:pPr>
              <w:ind w:left="1760"/>
              <w:spacing w:after="0" w:line="171" w:lineRule="exact"/>
              <w:rPr>
                <w:rFonts w:ascii="Arial" w:cs="Arial" w:eastAsia="Arial" w:hAnsi="Arial"/>
                <w:sz w:val="18"/>
                <w:szCs w:val="18"/>
                <w:color w:val="0000EE"/>
              </w:rPr>
            </w:pPr>
            <w:hyperlink w:anchor="page84">
              <w:r>
                <w:rPr>
                  <w:rFonts w:ascii="Arial" w:cs="Arial" w:eastAsia="Arial" w:hAnsi="Arial"/>
                  <w:sz w:val="18"/>
                  <w:szCs w:val="18"/>
                  <w:color w:val="0000EE"/>
                </w:rPr>
                <w:t>6.</w:t>
              </w:r>
            </w:hyperlink>
          </w:p>
        </w:tc>
        <w:tc>
          <w:tcPr>
            <w:tcW w:w="600" w:type="dxa"/>
            <w:vAlign w:val="bottom"/>
          </w:tcPr>
          <w:p>
            <w:pPr>
              <w:spacing w:after="0"/>
              <w:rPr>
                <w:sz w:val="14"/>
                <w:szCs w:val="14"/>
                <w:color w:val="auto"/>
              </w:rPr>
            </w:pPr>
          </w:p>
        </w:tc>
        <w:tc>
          <w:tcPr>
            <w:tcW w:w="8020" w:type="dxa"/>
            <w:vAlign w:val="bottom"/>
            <w:gridSpan w:val="20"/>
          </w:tcPr>
          <w:p>
            <w:pPr>
              <w:ind w:left="660"/>
              <w:spacing w:after="0" w:line="171" w:lineRule="exact"/>
              <w:rPr>
                <w:rFonts w:ascii="Arial" w:cs="Arial" w:eastAsia="Arial" w:hAnsi="Arial"/>
                <w:sz w:val="18"/>
                <w:szCs w:val="18"/>
                <w:color w:val="0000EE"/>
              </w:rPr>
            </w:pPr>
            <w:hyperlink w:anchor="page84">
              <w:r>
                <w:rPr>
                  <w:rFonts w:ascii="Arial" w:cs="Arial" w:eastAsia="Arial" w:hAnsi="Arial"/>
                  <w:sz w:val="18"/>
                  <w:szCs w:val="18"/>
                  <w:color w:val="0000EE"/>
                </w:rPr>
                <w:t>Selected Financial Data</w:t>
              </w:r>
            </w:hyperlink>
          </w:p>
        </w:tc>
        <w:tc>
          <w:tcPr>
            <w:tcW w:w="820" w:type="dxa"/>
            <w:vAlign w:val="bottom"/>
          </w:tcPr>
          <w:p>
            <w:pPr>
              <w:jc w:val="right"/>
              <w:spacing w:after="0" w:line="171" w:lineRule="exact"/>
              <w:rPr>
                <w:sz w:val="20"/>
                <w:szCs w:val="20"/>
                <w:color w:val="auto"/>
              </w:rPr>
            </w:pPr>
            <w:r>
              <w:rPr>
                <w:rFonts w:ascii="Arial" w:cs="Arial" w:eastAsia="Arial" w:hAnsi="Arial"/>
                <w:sz w:val="18"/>
                <w:szCs w:val="18"/>
                <w:color w:val="auto"/>
              </w:rPr>
              <w:t>81</w:t>
            </w:r>
          </w:p>
        </w:tc>
      </w:tr>
      <w:tr>
        <w:trPr>
          <w:trHeight w:val="30"/>
        </w:trPr>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1"/>
        </w:trPr>
        <w:tc>
          <w:tcPr>
            <w:tcW w:w="1980" w:type="dxa"/>
            <w:vAlign w:val="bottom"/>
            <w:tcBorders>
              <w:right w:val="single" w:sz="8" w:color="CCEEFF"/>
            </w:tcBorders>
            <w:gridSpan w:val="9"/>
            <w:shd w:val="clear" w:color="auto" w:fill="CCEEFF"/>
          </w:tcPr>
          <w:p>
            <w:pPr>
              <w:ind w:left="1760"/>
              <w:spacing w:after="0" w:line="181" w:lineRule="exact"/>
              <w:rPr>
                <w:rFonts w:ascii="Arial" w:cs="Arial" w:eastAsia="Arial" w:hAnsi="Arial"/>
                <w:sz w:val="18"/>
                <w:szCs w:val="18"/>
                <w:color w:val="0000EE"/>
              </w:rPr>
            </w:pPr>
            <w:hyperlink w:anchor="page84">
              <w:r>
                <w:rPr>
                  <w:rFonts w:ascii="Arial" w:cs="Arial" w:eastAsia="Arial" w:hAnsi="Arial"/>
                  <w:sz w:val="18"/>
                  <w:szCs w:val="18"/>
                  <w:color w:val="0000EE"/>
                </w:rPr>
                <w:t>7.</w:t>
              </w:r>
            </w:hyperlink>
          </w:p>
        </w:tc>
        <w:tc>
          <w:tcPr>
            <w:tcW w:w="600" w:type="dxa"/>
            <w:vAlign w:val="bottom"/>
            <w:tcBorders>
              <w:left w:val="single" w:sz="8" w:color="CCEEFF"/>
            </w:tcBorders>
            <w:shd w:val="clear" w:color="auto" w:fill="CCEEFF"/>
          </w:tcPr>
          <w:p>
            <w:pPr>
              <w:spacing w:after="0"/>
              <w:rPr>
                <w:sz w:val="15"/>
                <w:szCs w:val="15"/>
                <w:color w:val="auto"/>
              </w:rPr>
            </w:pPr>
          </w:p>
        </w:tc>
        <w:tc>
          <w:tcPr>
            <w:tcW w:w="8020" w:type="dxa"/>
            <w:vAlign w:val="bottom"/>
            <w:gridSpan w:val="20"/>
            <w:shd w:val="clear" w:color="auto" w:fill="CCEEFF"/>
          </w:tcPr>
          <w:p>
            <w:pPr>
              <w:ind w:left="660"/>
              <w:spacing w:after="0" w:line="181" w:lineRule="exact"/>
              <w:rPr>
                <w:rFonts w:ascii="Arial" w:cs="Arial" w:eastAsia="Arial" w:hAnsi="Arial"/>
                <w:sz w:val="18"/>
                <w:szCs w:val="18"/>
                <w:color w:val="0000EE"/>
              </w:rPr>
            </w:pPr>
            <w:hyperlink w:anchor="page84">
              <w:r>
                <w:rPr>
                  <w:rFonts w:ascii="Arial" w:cs="Arial" w:eastAsia="Arial" w:hAnsi="Arial"/>
                  <w:sz w:val="18"/>
                  <w:szCs w:val="18"/>
                  <w:color w:val="0000EE"/>
                </w:rPr>
                <w:t>Management’s Discussion and Analysis of Financial Condition and Results of Operations</w:t>
              </w:r>
            </w:hyperlink>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81</w:t>
            </w:r>
          </w:p>
        </w:tc>
      </w:tr>
      <w:tr>
        <w:trPr>
          <w:trHeight w:val="40"/>
        </w:trPr>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tcBorders>
              <w:lef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1000" w:type="dxa"/>
            <w:vAlign w:val="bottom"/>
            <w:tcBorders>
              <w:right w:val="single" w:sz="8" w:color="CCEEFF"/>
            </w:tcBorders>
            <w:shd w:val="clear" w:color="auto" w:fill="0000EE"/>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r>
        <w:trPr>
          <w:trHeight w:val="181"/>
        </w:trPr>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0000EE"/>
            </w:tcBorders>
            <w:gridSpan w:val="2"/>
          </w:tcPr>
          <w:p>
            <w:pPr>
              <w:spacing w:after="0" w:line="171" w:lineRule="exact"/>
              <w:rPr>
                <w:rFonts w:ascii="Arial" w:cs="Arial" w:eastAsia="Arial" w:hAnsi="Arial"/>
                <w:sz w:val="16"/>
                <w:szCs w:val="16"/>
                <w:color w:val="0000EE"/>
                <w:w w:val="74"/>
              </w:rPr>
            </w:pPr>
            <w:hyperlink w:anchor="page96">
              <w:r>
                <w:rPr>
                  <w:rFonts w:ascii="Arial" w:cs="Arial" w:eastAsia="Arial" w:hAnsi="Arial"/>
                  <w:sz w:val="16"/>
                  <w:szCs w:val="16"/>
                  <w:color w:val="0000EE"/>
                  <w:w w:val="74"/>
                </w:rPr>
                <w:t>7A.</w:t>
              </w:r>
            </w:hyperlink>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60" w:type="dxa"/>
            <w:vAlign w:val="bottom"/>
            <w:tcBorders>
              <w:bottom w:val="single" w:sz="8" w:color="0000EE"/>
            </w:tcBorders>
            <w:gridSpan w:val="14"/>
          </w:tcPr>
          <w:p>
            <w:pPr>
              <w:spacing w:after="0" w:line="171"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Quantitative and Qualitative Disclosures About Market Risk</w:t>
              </w:r>
            </w:hyperlink>
          </w:p>
        </w:tc>
        <w:tc>
          <w:tcPr>
            <w:tcW w:w="3100" w:type="dxa"/>
            <w:vAlign w:val="bottom"/>
            <w:gridSpan w:val="5"/>
          </w:tcPr>
          <w:p>
            <w:pPr>
              <w:spacing w:after="0"/>
              <w:rPr>
                <w:sz w:val="15"/>
                <w:szCs w:val="15"/>
                <w:color w:val="auto"/>
              </w:rPr>
            </w:pPr>
          </w:p>
        </w:tc>
        <w:tc>
          <w:tcPr>
            <w:tcW w:w="820" w:type="dxa"/>
            <w:vAlign w:val="bottom"/>
          </w:tcPr>
          <w:p>
            <w:pPr>
              <w:jc w:val="right"/>
              <w:spacing w:after="0" w:line="171" w:lineRule="exact"/>
              <w:rPr>
                <w:sz w:val="20"/>
                <w:szCs w:val="20"/>
                <w:color w:val="auto"/>
              </w:rPr>
            </w:pPr>
            <w:r>
              <w:rPr>
                <w:rFonts w:ascii="Arial" w:cs="Arial" w:eastAsia="Arial" w:hAnsi="Arial"/>
                <w:sz w:val="18"/>
                <w:szCs w:val="18"/>
                <w:color w:val="auto"/>
              </w:rPr>
              <w:t>93</w:t>
            </w:r>
          </w:p>
        </w:tc>
      </w:tr>
      <w:tr>
        <w:trPr>
          <w:trHeight w:val="181"/>
        </w:trPr>
        <w:tc>
          <w:tcPr>
            <w:tcW w:w="1980" w:type="dxa"/>
            <w:vAlign w:val="bottom"/>
            <w:tcBorders>
              <w:right w:val="single" w:sz="8" w:color="CCEEFF"/>
            </w:tcBorders>
            <w:gridSpan w:val="9"/>
            <w:shd w:val="clear" w:color="auto" w:fill="CCEEFF"/>
          </w:tcPr>
          <w:p>
            <w:pPr>
              <w:ind w:left="1760"/>
              <w:spacing w:after="0" w:line="181" w:lineRule="exact"/>
              <w:rPr>
                <w:rFonts w:ascii="Arial" w:cs="Arial" w:eastAsia="Arial" w:hAnsi="Arial"/>
                <w:sz w:val="18"/>
                <w:szCs w:val="18"/>
                <w:color w:val="0000EE"/>
              </w:rPr>
            </w:pPr>
            <w:hyperlink w:anchor="page97">
              <w:r>
                <w:rPr>
                  <w:rFonts w:ascii="Arial" w:cs="Arial" w:eastAsia="Arial" w:hAnsi="Arial"/>
                  <w:sz w:val="18"/>
                  <w:szCs w:val="18"/>
                  <w:color w:val="0000EE"/>
                </w:rPr>
                <w:t>8.</w:t>
              </w:r>
            </w:hyperlink>
          </w:p>
        </w:tc>
        <w:tc>
          <w:tcPr>
            <w:tcW w:w="600" w:type="dxa"/>
            <w:vAlign w:val="bottom"/>
            <w:tcBorders>
              <w:left w:val="single" w:sz="8" w:color="CCEEFF"/>
            </w:tcBorders>
            <w:shd w:val="clear" w:color="auto" w:fill="CCEEFF"/>
          </w:tcPr>
          <w:p>
            <w:pPr>
              <w:spacing w:after="0"/>
              <w:rPr>
                <w:sz w:val="15"/>
                <w:szCs w:val="15"/>
                <w:color w:val="auto"/>
              </w:rPr>
            </w:pPr>
          </w:p>
        </w:tc>
        <w:tc>
          <w:tcPr>
            <w:tcW w:w="8020" w:type="dxa"/>
            <w:vAlign w:val="bottom"/>
            <w:gridSpan w:val="20"/>
            <w:shd w:val="clear" w:color="auto" w:fill="CCEEFF"/>
          </w:tcPr>
          <w:p>
            <w:pPr>
              <w:ind w:left="660"/>
              <w:spacing w:after="0" w:line="181" w:lineRule="exact"/>
              <w:rPr>
                <w:rFonts w:ascii="Arial" w:cs="Arial" w:eastAsia="Arial" w:hAnsi="Arial"/>
                <w:sz w:val="18"/>
                <w:szCs w:val="18"/>
                <w:color w:val="0000EE"/>
              </w:rPr>
            </w:pPr>
            <w:hyperlink w:anchor="page97">
              <w:r>
                <w:rPr>
                  <w:rFonts w:ascii="Arial" w:cs="Arial" w:eastAsia="Arial" w:hAnsi="Arial"/>
                  <w:sz w:val="18"/>
                  <w:szCs w:val="18"/>
                  <w:color w:val="0000EE"/>
                </w:rPr>
                <w:t>Financial Statements and Supplementary Data</w:t>
              </w:r>
            </w:hyperlink>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94</w:t>
            </w:r>
          </w:p>
        </w:tc>
      </w:tr>
      <w:tr>
        <w:trPr>
          <w:trHeight w:val="40"/>
        </w:trPr>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tcBorders>
              <w:lef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r>
        <w:trPr>
          <w:trHeight w:val="171"/>
        </w:trPr>
        <w:tc>
          <w:tcPr>
            <w:tcW w:w="1980" w:type="dxa"/>
            <w:vAlign w:val="bottom"/>
            <w:gridSpan w:val="9"/>
          </w:tcPr>
          <w:p>
            <w:pPr>
              <w:ind w:left="1760"/>
              <w:spacing w:after="0" w:line="171" w:lineRule="exact"/>
              <w:rPr>
                <w:rFonts w:ascii="Arial" w:cs="Arial" w:eastAsia="Arial" w:hAnsi="Arial"/>
                <w:sz w:val="18"/>
                <w:szCs w:val="18"/>
                <w:color w:val="0000EE"/>
              </w:rPr>
            </w:pPr>
            <w:hyperlink w:anchor="page148">
              <w:r>
                <w:rPr>
                  <w:rFonts w:ascii="Arial" w:cs="Arial" w:eastAsia="Arial" w:hAnsi="Arial"/>
                  <w:sz w:val="18"/>
                  <w:szCs w:val="18"/>
                  <w:color w:val="0000EE"/>
                </w:rPr>
                <w:t>9.</w:t>
              </w:r>
            </w:hyperlink>
          </w:p>
        </w:tc>
        <w:tc>
          <w:tcPr>
            <w:tcW w:w="600" w:type="dxa"/>
            <w:vAlign w:val="bottom"/>
          </w:tcPr>
          <w:p>
            <w:pPr>
              <w:spacing w:after="0"/>
              <w:rPr>
                <w:sz w:val="14"/>
                <w:szCs w:val="14"/>
                <w:color w:val="auto"/>
              </w:rPr>
            </w:pPr>
          </w:p>
        </w:tc>
        <w:tc>
          <w:tcPr>
            <w:tcW w:w="8020" w:type="dxa"/>
            <w:vAlign w:val="bottom"/>
            <w:gridSpan w:val="20"/>
          </w:tcPr>
          <w:p>
            <w:pPr>
              <w:ind w:left="660"/>
              <w:spacing w:after="0" w:line="171" w:lineRule="exact"/>
              <w:rPr>
                <w:rFonts w:ascii="Arial" w:cs="Arial" w:eastAsia="Arial" w:hAnsi="Arial"/>
                <w:sz w:val="18"/>
                <w:szCs w:val="18"/>
                <w:color w:val="0000EE"/>
              </w:rPr>
            </w:pPr>
            <w:hyperlink w:anchor="page148">
              <w:r>
                <w:rPr>
                  <w:rFonts w:ascii="Arial" w:cs="Arial" w:eastAsia="Arial" w:hAnsi="Arial"/>
                  <w:sz w:val="18"/>
                  <w:szCs w:val="18"/>
                  <w:color w:val="0000EE"/>
                </w:rPr>
                <w:t>Changes in and Disagreements with Accountants on Accounting and Financial Disclosure</w:t>
              </w:r>
            </w:hyperlink>
          </w:p>
        </w:tc>
        <w:tc>
          <w:tcPr>
            <w:tcW w:w="820" w:type="dxa"/>
            <w:vAlign w:val="bottom"/>
          </w:tcPr>
          <w:p>
            <w:pPr>
              <w:jc w:val="right"/>
              <w:spacing w:after="0" w:line="171" w:lineRule="exact"/>
              <w:rPr>
                <w:sz w:val="20"/>
                <w:szCs w:val="20"/>
                <w:color w:val="auto"/>
              </w:rPr>
            </w:pPr>
            <w:r>
              <w:rPr>
                <w:rFonts w:ascii="Arial" w:cs="Arial" w:eastAsia="Arial" w:hAnsi="Arial"/>
                <w:sz w:val="18"/>
                <w:szCs w:val="18"/>
                <w:color w:val="auto"/>
              </w:rPr>
              <w:t>143</w:t>
            </w:r>
          </w:p>
        </w:tc>
      </w:tr>
      <w:tr>
        <w:trPr>
          <w:trHeight w:val="30"/>
        </w:trPr>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1000" w:type="dxa"/>
            <w:vAlign w:val="bottom"/>
            <w:tcBorders>
              <w:right w:val="single" w:sz="8" w:color="0000EE"/>
            </w:tcBorders>
            <w:shd w:val="clear" w:color="auto" w:fill="0000EE"/>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0"/>
        </w:trPr>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0000EE"/>
              <w:right w:val="single" w:sz="8" w:color="CCEEFF"/>
            </w:tcBorders>
            <w:gridSpan w:val="2"/>
            <w:shd w:val="clear" w:color="auto" w:fill="CCEEFF"/>
          </w:tcPr>
          <w:p>
            <w:pPr>
              <w:spacing w:after="0" w:line="181" w:lineRule="exact"/>
              <w:rPr>
                <w:rFonts w:ascii="Arial" w:cs="Arial" w:eastAsia="Arial" w:hAnsi="Arial"/>
                <w:sz w:val="16"/>
                <w:szCs w:val="16"/>
                <w:color w:val="0000EE"/>
                <w:w w:val="74"/>
              </w:rPr>
            </w:pPr>
            <w:hyperlink w:anchor="page148">
              <w:r>
                <w:rPr>
                  <w:rFonts w:ascii="Arial" w:cs="Arial" w:eastAsia="Arial" w:hAnsi="Arial"/>
                  <w:sz w:val="16"/>
                  <w:szCs w:val="16"/>
                  <w:color w:val="0000EE"/>
                  <w:w w:val="74"/>
                </w:rPr>
                <w:t>9A.</w:t>
              </w:r>
            </w:hyperlink>
          </w:p>
        </w:tc>
        <w:tc>
          <w:tcPr>
            <w:tcW w:w="600" w:type="dxa"/>
            <w:vAlign w:val="bottom"/>
            <w:tcBorders>
              <w:left w:val="single" w:sz="8" w:color="CCEEFF"/>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0000EE"/>
              <w:right w:val="single" w:sz="8" w:color="CCEEFF"/>
            </w:tcBorders>
            <w:gridSpan w:val="8"/>
            <w:shd w:val="clear" w:color="auto" w:fill="CCEEFF"/>
          </w:tcPr>
          <w:p>
            <w:pPr>
              <w:spacing w:after="0" w:line="181" w:lineRule="exact"/>
              <w:rPr>
                <w:rFonts w:ascii="Arial" w:cs="Arial" w:eastAsia="Arial" w:hAnsi="Arial"/>
                <w:sz w:val="18"/>
                <w:szCs w:val="18"/>
                <w:color w:val="0000EE"/>
                <w:w w:val="86"/>
              </w:rPr>
            </w:pPr>
            <w:hyperlink w:anchor="page148">
              <w:r>
                <w:rPr>
                  <w:rFonts w:ascii="Arial" w:cs="Arial" w:eastAsia="Arial" w:hAnsi="Arial"/>
                  <w:sz w:val="18"/>
                  <w:szCs w:val="18"/>
                  <w:color w:val="0000EE"/>
                  <w:w w:val="86"/>
                </w:rPr>
                <w:t>Controls and Procedures</w:t>
              </w:r>
            </w:hyperlink>
          </w:p>
        </w:tc>
        <w:tc>
          <w:tcPr>
            <w:tcW w:w="5600" w:type="dxa"/>
            <w:vAlign w:val="bottom"/>
            <w:tcBorders>
              <w:bottom w:val="single" w:sz="8" w:color="CCEEFF"/>
            </w:tcBorders>
            <w:gridSpan w:val="11"/>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81" w:lineRule="exact"/>
              <w:rPr>
                <w:sz w:val="20"/>
                <w:szCs w:val="20"/>
                <w:color w:val="auto"/>
              </w:rPr>
            </w:pPr>
            <w:r>
              <w:rPr>
                <w:rFonts w:ascii="Arial" w:cs="Arial" w:eastAsia="Arial" w:hAnsi="Arial"/>
                <w:sz w:val="18"/>
                <w:szCs w:val="18"/>
                <w:color w:val="auto"/>
              </w:rPr>
              <w:t>143</w:t>
            </w:r>
          </w:p>
        </w:tc>
      </w:tr>
      <w:tr>
        <w:trPr>
          <w:trHeight w:val="181"/>
        </w:trPr>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spacing w:after="0" w:line="171" w:lineRule="exact"/>
              <w:rPr>
                <w:rFonts w:ascii="Arial" w:cs="Arial" w:eastAsia="Arial" w:hAnsi="Arial"/>
                <w:sz w:val="18"/>
                <w:szCs w:val="18"/>
                <w:color w:val="0000EE"/>
              </w:rPr>
            </w:pPr>
            <w:hyperlink w:anchor="page148">
              <w:r>
                <w:rPr>
                  <w:rFonts w:ascii="Arial" w:cs="Arial" w:eastAsia="Arial" w:hAnsi="Arial"/>
                  <w:sz w:val="18"/>
                  <w:szCs w:val="18"/>
                  <w:color w:val="0000EE"/>
                </w:rPr>
                <w:t>9B.</w:t>
              </w:r>
            </w:hyperlink>
          </w:p>
        </w:tc>
        <w:tc>
          <w:tcPr>
            <w:tcW w:w="8020" w:type="dxa"/>
            <w:vAlign w:val="bottom"/>
            <w:gridSpan w:val="20"/>
          </w:tcPr>
          <w:p>
            <w:pPr>
              <w:ind w:left="660"/>
              <w:spacing w:after="0" w:line="171" w:lineRule="exact"/>
              <w:rPr>
                <w:rFonts w:ascii="Arial" w:cs="Arial" w:eastAsia="Arial" w:hAnsi="Arial"/>
                <w:sz w:val="18"/>
                <w:szCs w:val="18"/>
                <w:color w:val="0000EE"/>
              </w:rPr>
            </w:pPr>
            <w:hyperlink w:anchor="page148">
              <w:r>
                <w:rPr>
                  <w:rFonts w:ascii="Arial" w:cs="Arial" w:eastAsia="Arial" w:hAnsi="Arial"/>
                  <w:sz w:val="18"/>
                  <w:szCs w:val="18"/>
                  <w:color w:val="0000EE"/>
                </w:rPr>
                <w:t>Other Information</w:t>
              </w:r>
            </w:hyperlink>
          </w:p>
        </w:tc>
        <w:tc>
          <w:tcPr>
            <w:tcW w:w="820" w:type="dxa"/>
            <w:vAlign w:val="bottom"/>
          </w:tcPr>
          <w:p>
            <w:pPr>
              <w:jc w:val="right"/>
              <w:spacing w:after="0" w:line="171" w:lineRule="exact"/>
              <w:rPr>
                <w:sz w:val="20"/>
                <w:szCs w:val="20"/>
                <w:color w:val="auto"/>
              </w:rPr>
            </w:pPr>
            <w:r>
              <w:rPr>
                <w:rFonts w:ascii="Arial" w:cs="Arial" w:eastAsia="Arial" w:hAnsi="Arial"/>
                <w:sz w:val="18"/>
                <w:szCs w:val="18"/>
                <w:color w:val="auto"/>
              </w:rPr>
              <w:t>143</w:t>
            </w:r>
          </w:p>
        </w:tc>
      </w:tr>
      <w:tr>
        <w:trPr>
          <w:trHeight w:val="200"/>
        </w:trPr>
        <w:tc>
          <w:tcPr>
            <w:tcW w:w="1760" w:type="dxa"/>
            <w:vAlign w:val="bottom"/>
            <w:gridSpan w:val="7"/>
            <w:shd w:val="clear" w:color="auto" w:fill="CCEEFF"/>
          </w:tcPr>
          <w:p>
            <w:pPr>
              <w:spacing w:after="0" w:line="181" w:lineRule="exact"/>
              <w:rPr>
                <w:rFonts w:ascii="Arial" w:cs="Arial" w:eastAsia="Arial" w:hAnsi="Arial"/>
                <w:sz w:val="18"/>
                <w:szCs w:val="18"/>
                <w:b w:val="1"/>
                <w:bCs w:val="1"/>
                <w:color w:val="0000EE"/>
              </w:rPr>
            </w:pPr>
            <w:hyperlink w:anchor="page149">
              <w:r>
                <w:rPr>
                  <w:rFonts w:ascii="Arial" w:cs="Arial" w:eastAsia="Arial" w:hAnsi="Arial"/>
                  <w:sz w:val="18"/>
                  <w:szCs w:val="18"/>
                  <w:b w:val="1"/>
                  <w:bCs w:val="1"/>
                  <w:color w:val="0000EE"/>
                </w:rPr>
                <w:t>PART III</w:t>
              </w:r>
            </w:hyperlink>
          </w:p>
        </w:tc>
        <w:tc>
          <w:tcPr>
            <w:tcW w:w="220" w:type="dxa"/>
            <w:vAlign w:val="bottom"/>
            <w:tcBorders>
              <w:top w:val="single" w:sz="8" w:color="0000EE"/>
              <w:right w:val="single" w:sz="8" w:color="CCEEFF"/>
            </w:tcBorders>
            <w:gridSpan w:val="2"/>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71"/>
        </w:trPr>
        <w:tc>
          <w:tcPr>
            <w:tcW w:w="700" w:type="dxa"/>
            <w:vAlign w:val="bottom"/>
            <w:tcBorders>
              <w:top w:val="single" w:sz="8" w:color="0000EE"/>
            </w:tcBorders>
            <w:gridSpan w:val="3"/>
          </w:tcPr>
          <w:p>
            <w:pPr>
              <w:spacing w:after="0"/>
              <w:rPr>
                <w:sz w:val="14"/>
                <w:szCs w:val="14"/>
                <w:color w:val="auto"/>
              </w:rPr>
            </w:pPr>
          </w:p>
        </w:tc>
        <w:tc>
          <w:tcPr>
            <w:tcW w:w="1280" w:type="dxa"/>
            <w:vAlign w:val="bottom"/>
            <w:tcBorders>
              <w:top w:val="single" w:sz="8" w:color="CCEEFF"/>
            </w:tcBorders>
            <w:gridSpan w:val="6"/>
          </w:tcPr>
          <w:p>
            <w:pPr>
              <w:ind w:left="1060"/>
              <w:spacing w:after="0" w:line="171" w:lineRule="exact"/>
              <w:rPr>
                <w:rFonts w:ascii="Arial" w:cs="Arial" w:eastAsia="Arial" w:hAnsi="Arial"/>
                <w:sz w:val="18"/>
                <w:szCs w:val="18"/>
                <w:color w:val="0000EE"/>
                <w:w w:val="71"/>
              </w:rPr>
            </w:pPr>
            <w:hyperlink w:anchor="page149">
              <w:r>
                <w:rPr>
                  <w:rFonts w:ascii="Arial" w:cs="Arial" w:eastAsia="Arial" w:hAnsi="Arial"/>
                  <w:sz w:val="18"/>
                  <w:szCs w:val="18"/>
                  <w:color w:val="0000EE"/>
                  <w:w w:val="71"/>
                </w:rPr>
                <w:t>10.</w:t>
              </w:r>
            </w:hyperlink>
          </w:p>
        </w:tc>
        <w:tc>
          <w:tcPr>
            <w:tcW w:w="600" w:type="dxa"/>
            <w:vAlign w:val="bottom"/>
            <w:tcBorders>
              <w:top w:val="single" w:sz="8" w:color="CCEEFF"/>
            </w:tcBorders>
          </w:tcPr>
          <w:p>
            <w:pPr>
              <w:spacing w:after="0"/>
              <w:rPr>
                <w:sz w:val="14"/>
                <w:szCs w:val="14"/>
                <w:color w:val="auto"/>
              </w:rPr>
            </w:pPr>
          </w:p>
        </w:tc>
        <w:tc>
          <w:tcPr>
            <w:tcW w:w="8020" w:type="dxa"/>
            <w:vAlign w:val="bottom"/>
            <w:tcBorders>
              <w:top w:val="single" w:sz="8" w:color="CCEEFF"/>
            </w:tcBorders>
            <w:gridSpan w:val="20"/>
          </w:tcPr>
          <w:p>
            <w:pPr>
              <w:ind w:left="660"/>
              <w:spacing w:after="0" w:line="171" w:lineRule="exact"/>
              <w:rPr>
                <w:rFonts w:ascii="Arial" w:cs="Arial" w:eastAsia="Arial" w:hAnsi="Arial"/>
                <w:sz w:val="18"/>
                <w:szCs w:val="18"/>
                <w:color w:val="0000EE"/>
              </w:rPr>
            </w:pPr>
            <w:hyperlink w:anchor="page149">
              <w:r>
                <w:rPr>
                  <w:rFonts w:ascii="Arial" w:cs="Arial" w:eastAsia="Arial" w:hAnsi="Arial"/>
                  <w:sz w:val="18"/>
                  <w:szCs w:val="18"/>
                  <w:color w:val="0000EE"/>
                </w:rPr>
                <w:t>Directors, Executive Officers and Corporate Governance</w:t>
              </w:r>
            </w:hyperlink>
          </w:p>
        </w:tc>
        <w:tc>
          <w:tcPr>
            <w:tcW w:w="820" w:type="dxa"/>
            <w:vAlign w:val="bottom"/>
            <w:tcBorders>
              <w:top w:val="single" w:sz="8" w:color="CCEEFF"/>
            </w:tcBorders>
          </w:tcPr>
          <w:p>
            <w:pPr>
              <w:jc w:val="right"/>
              <w:spacing w:after="0" w:line="171" w:lineRule="exact"/>
              <w:rPr>
                <w:sz w:val="20"/>
                <w:szCs w:val="20"/>
                <w:color w:val="auto"/>
              </w:rPr>
            </w:pPr>
            <w:r>
              <w:rPr>
                <w:rFonts w:ascii="Arial" w:cs="Arial" w:eastAsia="Arial" w:hAnsi="Arial"/>
                <w:sz w:val="18"/>
                <w:szCs w:val="18"/>
                <w:color w:val="auto"/>
              </w:rPr>
              <w:t>144</w:t>
            </w:r>
          </w:p>
        </w:tc>
      </w:tr>
      <w:tr>
        <w:trPr>
          <w:trHeight w:val="30"/>
        </w:trPr>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1"/>
        </w:trPr>
        <w:tc>
          <w:tcPr>
            <w:tcW w:w="1980" w:type="dxa"/>
            <w:vAlign w:val="bottom"/>
            <w:tcBorders>
              <w:right w:val="single" w:sz="8" w:color="CCEEFF"/>
            </w:tcBorders>
            <w:gridSpan w:val="9"/>
            <w:shd w:val="clear" w:color="auto" w:fill="CCEEFF"/>
          </w:tcPr>
          <w:p>
            <w:pPr>
              <w:ind w:left="1760"/>
              <w:spacing w:after="0" w:line="181" w:lineRule="exact"/>
              <w:rPr>
                <w:rFonts w:ascii="Arial" w:cs="Arial" w:eastAsia="Arial" w:hAnsi="Arial"/>
                <w:sz w:val="18"/>
                <w:szCs w:val="18"/>
                <w:color w:val="0000EE"/>
                <w:w w:val="71"/>
              </w:rPr>
            </w:pPr>
            <w:hyperlink w:anchor="page154">
              <w:r>
                <w:rPr>
                  <w:rFonts w:ascii="Arial" w:cs="Arial" w:eastAsia="Arial" w:hAnsi="Arial"/>
                  <w:sz w:val="18"/>
                  <w:szCs w:val="18"/>
                  <w:color w:val="0000EE"/>
                  <w:w w:val="71"/>
                </w:rPr>
                <w:t>11.</w:t>
              </w:r>
            </w:hyperlink>
          </w:p>
        </w:tc>
        <w:tc>
          <w:tcPr>
            <w:tcW w:w="600" w:type="dxa"/>
            <w:vAlign w:val="bottom"/>
            <w:tcBorders>
              <w:left w:val="single" w:sz="8" w:color="CCEEFF"/>
            </w:tcBorders>
            <w:shd w:val="clear" w:color="auto" w:fill="CCEEFF"/>
          </w:tcPr>
          <w:p>
            <w:pPr>
              <w:spacing w:after="0"/>
              <w:rPr>
                <w:sz w:val="15"/>
                <w:szCs w:val="15"/>
                <w:color w:val="auto"/>
              </w:rPr>
            </w:pPr>
          </w:p>
        </w:tc>
        <w:tc>
          <w:tcPr>
            <w:tcW w:w="8020" w:type="dxa"/>
            <w:vAlign w:val="bottom"/>
            <w:gridSpan w:val="20"/>
            <w:shd w:val="clear" w:color="auto" w:fill="CCEEFF"/>
          </w:tcPr>
          <w:p>
            <w:pPr>
              <w:ind w:left="660"/>
              <w:spacing w:after="0" w:line="181" w:lineRule="exact"/>
              <w:rPr>
                <w:rFonts w:ascii="Arial" w:cs="Arial" w:eastAsia="Arial" w:hAnsi="Arial"/>
                <w:sz w:val="18"/>
                <w:szCs w:val="18"/>
                <w:color w:val="0000EE"/>
              </w:rPr>
            </w:pPr>
            <w:hyperlink w:anchor="page154">
              <w:r>
                <w:rPr>
                  <w:rFonts w:ascii="Arial" w:cs="Arial" w:eastAsia="Arial" w:hAnsi="Arial"/>
                  <w:sz w:val="18"/>
                  <w:szCs w:val="18"/>
                  <w:color w:val="0000EE"/>
                </w:rPr>
                <w:t>Executive Compensation</w:t>
              </w:r>
            </w:hyperlink>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149</w:t>
            </w:r>
          </w:p>
        </w:tc>
      </w:tr>
      <w:tr>
        <w:trPr>
          <w:trHeight w:val="40"/>
        </w:trPr>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tcBorders>
              <w:right w:val="single" w:sz="8" w:color="CCEEFF"/>
            </w:tcBorders>
            <w:shd w:val="clear" w:color="auto" w:fill="0000EE"/>
          </w:tcPr>
          <w:p>
            <w:pPr>
              <w:spacing w:after="0"/>
              <w:rPr>
                <w:sz w:val="3"/>
                <w:szCs w:val="3"/>
                <w:color w:val="auto"/>
              </w:rPr>
            </w:pPr>
          </w:p>
        </w:tc>
        <w:tc>
          <w:tcPr>
            <w:tcW w:w="600" w:type="dxa"/>
            <w:vAlign w:val="bottom"/>
            <w:tcBorders>
              <w:lef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r>
        <w:trPr>
          <w:trHeight w:val="171"/>
        </w:trPr>
        <w:tc>
          <w:tcPr>
            <w:tcW w:w="1980" w:type="dxa"/>
            <w:vAlign w:val="bottom"/>
            <w:gridSpan w:val="9"/>
          </w:tcPr>
          <w:p>
            <w:pPr>
              <w:ind w:left="1760"/>
              <w:spacing w:after="0" w:line="171" w:lineRule="exact"/>
              <w:rPr>
                <w:rFonts w:ascii="Arial" w:cs="Arial" w:eastAsia="Arial" w:hAnsi="Arial"/>
                <w:sz w:val="18"/>
                <w:szCs w:val="18"/>
                <w:color w:val="0000EE"/>
                <w:w w:val="71"/>
              </w:rPr>
            </w:pPr>
            <w:hyperlink w:anchor="page162">
              <w:r>
                <w:rPr>
                  <w:rFonts w:ascii="Arial" w:cs="Arial" w:eastAsia="Arial" w:hAnsi="Arial"/>
                  <w:sz w:val="18"/>
                  <w:szCs w:val="18"/>
                  <w:color w:val="0000EE"/>
                  <w:w w:val="71"/>
                </w:rPr>
                <w:t>12.</w:t>
              </w:r>
            </w:hyperlink>
          </w:p>
        </w:tc>
        <w:tc>
          <w:tcPr>
            <w:tcW w:w="600" w:type="dxa"/>
            <w:vAlign w:val="bottom"/>
          </w:tcPr>
          <w:p>
            <w:pPr>
              <w:spacing w:after="0"/>
              <w:rPr>
                <w:sz w:val="14"/>
                <w:szCs w:val="14"/>
                <w:color w:val="auto"/>
              </w:rPr>
            </w:pPr>
          </w:p>
        </w:tc>
        <w:tc>
          <w:tcPr>
            <w:tcW w:w="8020" w:type="dxa"/>
            <w:vAlign w:val="bottom"/>
            <w:gridSpan w:val="20"/>
          </w:tcPr>
          <w:p>
            <w:pPr>
              <w:ind w:left="660"/>
              <w:spacing w:after="0" w:line="171" w:lineRule="exact"/>
              <w:rPr>
                <w:rFonts w:ascii="Arial" w:cs="Arial" w:eastAsia="Arial" w:hAnsi="Arial"/>
                <w:sz w:val="18"/>
                <w:szCs w:val="18"/>
                <w:color w:val="0000EE"/>
                <w:w w:val="91"/>
              </w:rPr>
            </w:pPr>
            <w:hyperlink w:anchor="page162">
              <w:r>
                <w:rPr>
                  <w:rFonts w:ascii="Arial" w:cs="Arial" w:eastAsia="Arial" w:hAnsi="Arial"/>
                  <w:sz w:val="18"/>
                  <w:szCs w:val="18"/>
                  <w:color w:val="0000EE"/>
                  <w:w w:val="91"/>
                </w:rPr>
                <w:t>Security Ownership of Certain Beneficial Owners and Management and Related Stockholder Matters</w:t>
              </w:r>
            </w:hyperlink>
          </w:p>
        </w:tc>
        <w:tc>
          <w:tcPr>
            <w:tcW w:w="820" w:type="dxa"/>
            <w:vAlign w:val="bottom"/>
          </w:tcPr>
          <w:p>
            <w:pPr>
              <w:jc w:val="right"/>
              <w:spacing w:after="0" w:line="171" w:lineRule="exact"/>
              <w:rPr>
                <w:sz w:val="20"/>
                <w:szCs w:val="20"/>
                <w:color w:val="auto"/>
              </w:rPr>
            </w:pPr>
            <w:r>
              <w:rPr>
                <w:rFonts w:ascii="Arial" w:cs="Arial" w:eastAsia="Arial" w:hAnsi="Arial"/>
                <w:sz w:val="18"/>
                <w:szCs w:val="18"/>
                <w:color w:val="auto"/>
              </w:rPr>
              <w:t>156</w:t>
            </w:r>
          </w:p>
        </w:tc>
      </w:tr>
      <w:tr>
        <w:trPr>
          <w:trHeight w:val="30"/>
        </w:trPr>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1000" w:type="dxa"/>
            <w:vAlign w:val="bottom"/>
            <w:tcBorders>
              <w:right w:val="single" w:sz="8" w:color="0000EE"/>
            </w:tcBorders>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1"/>
        </w:trPr>
        <w:tc>
          <w:tcPr>
            <w:tcW w:w="1980" w:type="dxa"/>
            <w:vAlign w:val="bottom"/>
            <w:tcBorders>
              <w:right w:val="single" w:sz="8" w:color="CCEEFF"/>
            </w:tcBorders>
            <w:gridSpan w:val="9"/>
            <w:shd w:val="clear" w:color="auto" w:fill="CCEEFF"/>
          </w:tcPr>
          <w:p>
            <w:pPr>
              <w:ind w:left="1760"/>
              <w:spacing w:after="0" w:line="181" w:lineRule="exact"/>
              <w:rPr>
                <w:rFonts w:ascii="Arial" w:cs="Arial" w:eastAsia="Arial" w:hAnsi="Arial"/>
                <w:sz w:val="18"/>
                <w:szCs w:val="18"/>
                <w:color w:val="0000EE"/>
                <w:w w:val="71"/>
              </w:rPr>
            </w:pPr>
            <w:hyperlink w:anchor="page168">
              <w:r>
                <w:rPr>
                  <w:rFonts w:ascii="Arial" w:cs="Arial" w:eastAsia="Arial" w:hAnsi="Arial"/>
                  <w:sz w:val="18"/>
                  <w:szCs w:val="18"/>
                  <w:color w:val="0000EE"/>
                  <w:w w:val="71"/>
                </w:rPr>
                <w:t>13.</w:t>
              </w:r>
            </w:hyperlink>
          </w:p>
        </w:tc>
        <w:tc>
          <w:tcPr>
            <w:tcW w:w="600" w:type="dxa"/>
            <w:vAlign w:val="bottom"/>
            <w:tcBorders>
              <w:left w:val="single" w:sz="8" w:color="CCEEFF"/>
            </w:tcBorders>
            <w:shd w:val="clear" w:color="auto" w:fill="CCEEFF"/>
          </w:tcPr>
          <w:p>
            <w:pPr>
              <w:spacing w:after="0"/>
              <w:rPr>
                <w:sz w:val="15"/>
                <w:szCs w:val="15"/>
                <w:color w:val="auto"/>
              </w:rPr>
            </w:pPr>
          </w:p>
        </w:tc>
        <w:tc>
          <w:tcPr>
            <w:tcW w:w="8020" w:type="dxa"/>
            <w:vAlign w:val="bottom"/>
            <w:gridSpan w:val="20"/>
            <w:shd w:val="clear" w:color="auto" w:fill="CCEEFF"/>
          </w:tcPr>
          <w:p>
            <w:pPr>
              <w:ind w:left="660"/>
              <w:spacing w:after="0" w:line="181" w:lineRule="exact"/>
              <w:rPr>
                <w:rFonts w:ascii="Arial" w:cs="Arial" w:eastAsia="Arial" w:hAnsi="Arial"/>
                <w:sz w:val="18"/>
                <w:szCs w:val="18"/>
                <w:color w:val="0000EE"/>
              </w:rPr>
            </w:pPr>
            <w:hyperlink w:anchor="page168">
              <w:r>
                <w:rPr>
                  <w:rFonts w:ascii="Arial" w:cs="Arial" w:eastAsia="Arial" w:hAnsi="Arial"/>
                  <w:sz w:val="18"/>
                  <w:szCs w:val="18"/>
                  <w:color w:val="0000EE"/>
                </w:rPr>
                <w:t>Certain Relationships and Related Transactions, and Director Independence</w:t>
              </w:r>
            </w:hyperlink>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162</w:t>
            </w:r>
          </w:p>
        </w:tc>
      </w:tr>
      <w:tr>
        <w:trPr>
          <w:trHeight w:val="40"/>
        </w:trPr>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600" w:type="dxa"/>
            <w:vAlign w:val="bottom"/>
            <w:tcBorders>
              <w:lef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r>
        <w:trPr>
          <w:trHeight w:val="181"/>
        </w:trPr>
        <w:tc>
          <w:tcPr>
            <w:tcW w:w="1980" w:type="dxa"/>
            <w:vAlign w:val="bottom"/>
            <w:gridSpan w:val="9"/>
          </w:tcPr>
          <w:p>
            <w:pPr>
              <w:ind w:left="1760"/>
              <w:spacing w:after="0" w:line="171" w:lineRule="exact"/>
              <w:rPr>
                <w:rFonts w:ascii="Arial" w:cs="Arial" w:eastAsia="Arial" w:hAnsi="Arial"/>
                <w:sz w:val="18"/>
                <w:szCs w:val="18"/>
                <w:color w:val="0000EE"/>
                <w:w w:val="71"/>
              </w:rPr>
            </w:pPr>
            <w:hyperlink w:anchor="page169">
              <w:r>
                <w:rPr>
                  <w:rFonts w:ascii="Arial" w:cs="Arial" w:eastAsia="Arial" w:hAnsi="Arial"/>
                  <w:sz w:val="18"/>
                  <w:szCs w:val="18"/>
                  <w:color w:val="0000EE"/>
                  <w:w w:val="71"/>
                </w:rPr>
                <w:t>14.</w:t>
              </w:r>
            </w:hyperlink>
          </w:p>
        </w:tc>
        <w:tc>
          <w:tcPr>
            <w:tcW w:w="600" w:type="dxa"/>
            <w:vAlign w:val="bottom"/>
          </w:tcPr>
          <w:p>
            <w:pPr>
              <w:spacing w:after="0"/>
              <w:rPr>
                <w:sz w:val="15"/>
                <w:szCs w:val="15"/>
                <w:color w:val="auto"/>
              </w:rPr>
            </w:pPr>
          </w:p>
        </w:tc>
        <w:tc>
          <w:tcPr>
            <w:tcW w:w="8020" w:type="dxa"/>
            <w:vAlign w:val="bottom"/>
            <w:gridSpan w:val="20"/>
          </w:tcPr>
          <w:p>
            <w:pPr>
              <w:ind w:left="660"/>
              <w:spacing w:after="0" w:line="171" w:lineRule="exact"/>
              <w:rPr>
                <w:rFonts w:ascii="Arial" w:cs="Arial" w:eastAsia="Arial" w:hAnsi="Arial"/>
                <w:sz w:val="18"/>
                <w:szCs w:val="18"/>
                <w:color w:val="0000EE"/>
              </w:rPr>
            </w:pPr>
            <w:hyperlink w:anchor="page169">
              <w:r>
                <w:rPr>
                  <w:rFonts w:ascii="Arial" w:cs="Arial" w:eastAsia="Arial" w:hAnsi="Arial"/>
                  <w:sz w:val="18"/>
                  <w:szCs w:val="18"/>
                  <w:color w:val="0000EE"/>
                </w:rPr>
                <w:t>Principal Accounting Fees and Services</w:t>
              </w:r>
            </w:hyperlink>
          </w:p>
        </w:tc>
        <w:tc>
          <w:tcPr>
            <w:tcW w:w="820" w:type="dxa"/>
            <w:vAlign w:val="bottom"/>
          </w:tcPr>
          <w:p>
            <w:pPr>
              <w:jc w:val="right"/>
              <w:spacing w:after="0" w:line="171" w:lineRule="exact"/>
              <w:rPr>
                <w:sz w:val="20"/>
                <w:szCs w:val="20"/>
                <w:color w:val="auto"/>
              </w:rPr>
            </w:pPr>
            <w:r>
              <w:rPr>
                <w:rFonts w:ascii="Arial" w:cs="Arial" w:eastAsia="Arial" w:hAnsi="Arial"/>
                <w:sz w:val="18"/>
                <w:szCs w:val="18"/>
                <w:color w:val="auto"/>
              </w:rPr>
              <w:t>163</w:t>
            </w:r>
          </w:p>
        </w:tc>
      </w:tr>
      <w:tr>
        <w:trPr>
          <w:trHeight w:val="200"/>
        </w:trPr>
        <w:tc>
          <w:tcPr>
            <w:tcW w:w="1760" w:type="dxa"/>
            <w:vAlign w:val="bottom"/>
            <w:gridSpan w:val="7"/>
            <w:shd w:val="clear" w:color="auto" w:fill="CCEEFF"/>
          </w:tcPr>
          <w:p>
            <w:pPr>
              <w:spacing w:after="0" w:line="181" w:lineRule="exact"/>
              <w:rPr>
                <w:rFonts w:ascii="Arial" w:cs="Arial" w:eastAsia="Arial" w:hAnsi="Arial"/>
                <w:sz w:val="18"/>
                <w:szCs w:val="18"/>
                <w:b w:val="1"/>
                <w:bCs w:val="1"/>
                <w:color w:val="0000EE"/>
              </w:rPr>
            </w:pPr>
            <w:hyperlink w:anchor="page171">
              <w:r>
                <w:rPr>
                  <w:rFonts w:ascii="Arial" w:cs="Arial" w:eastAsia="Arial" w:hAnsi="Arial"/>
                  <w:sz w:val="18"/>
                  <w:szCs w:val="18"/>
                  <w:b w:val="1"/>
                  <w:bCs w:val="1"/>
                  <w:color w:val="0000EE"/>
                </w:rPr>
                <w:t>PART IV</w:t>
              </w:r>
            </w:hyperlink>
          </w:p>
        </w:tc>
        <w:tc>
          <w:tcPr>
            <w:tcW w:w="220" w:type="dxa"/>
            <w:vAlign w:val="bottom"/>
            <w:tcBorders>
              <w:top w:val="single" w:sz="8" w:color="0000EE"/>
              <w:right w:val="single" w:sz="8" w:color="CCEEFF"/>
            </w:tcBorders>
            <w:gridSpan w:val="2"/>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right w:val="single" w:sz="8" w:color="CCEEFF"/>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right w:val="single" w:sz="8" w:color="CCEEFF"/>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800" w:type="dxa"/>
            <w:vAlign w:val="bottom"/>
            <w:tcBorders>
              <w:top w:val="single" w:sz="8" w:color="0000EE"/>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71"/>
        </w:trPr>
        <w:tc>
          <w:tcPr>
            <w:tcW w:w="700" w:type="dxa"/>
            <w:vAlign w:val="bottom"/>
            <w:tcBorders>
              <w:top w:val="single" w:sz="8" w:color="0000EE"/>
            </w:tcBorders>
            <w:gridSpan w:val="3"/>
          </w:tcPr>
          <w:p>
            <w:pPr>
              <w:spacing w:after="0"/>
              <w:rPr>
                <w:sz w:val="14"/>
                <w:szCs w:val="14"/>
                <w:color w:val="auto"/>
              </w:rPr>
            </w:pPr>
          </w:p>
        </w:tc>
        <w:tc>
          <w:tcPr>
            <w:tcW w:w="1280" w:type="dxa"/>
            <w:vAlign w:val="bottom"/>
            <w:tcBorders>
              <w:top w:val="single" w:sz="8" w:color="CCEEFF"/>
            </w:tcBorders>
            <w:gridSpan w:val="6"/>
          </w:tcPr>
          <w:p>
            <w:pPr>
              <w:ind w:left="1060"/>
              <w:spacing w:after="0" w:line="171" w:lineRule="exact"/>
              <w:rPr>
                <w:rFonts w:ascii="Arial" w:cs="Arial" w:eastAsia="Arial" w:hAnsi="Arial"/>
                <w:sz w:val="18"/>
                <w:szCs w:val="18"/>
                <w:color w:val="0000EE"/>
                <w:w w:val="71"/>
              </w:rPr>
            </w:pPr>
            <w:hyperlink w:anchor="page168">
              <w:r>
                <w:rPr>
                  <w:rFonts w:ascii="Arial" w:cs="Arial" w:eastAsia="Arial" w:hAnsi="Arial"/>
                  <w:sz w:val="18"/>
                  <w:szCs w:val="18"/>
                  <w:color w:val="0000EE"/>
                  <w:w w:val="71"/>
                </w:rPr>
                <w:t>15.</w:t>
              </w:r>
            </w:hyperlink>
          </w:p>
        </w:tc>
        <w:tc>
          <w:tcPr>
            <w:tcW w:w="600" w:type="dxa"/>
            <w:vAlign w:val="bottom"/>
            <w:tcBorders>
              <w:top w:val="single" w:sz="8" w:color="CCEEFF"/>
            </w:tcBorders>
          </w:tcPr>
          <w:p>
            <w:pPr>
              <w:spacing w:after="0"/>
              <w:rPr>
                <w:sz w:val="14"/>
                <w:szCs w:val="14"/>
                <w:color w:val="auto"/>
              </w:rPr>
            </w:pPr>
          </w:p>
        </w:tc>
        <w:tc>
          <w:tcPr>
            <w:tcW w:w="8020" w:type="dxa"/>
            <w:vAlign w:val="bottom"/>
            <w:tcBorders>
              <w:top w:val="single" w:sz="8" w:color="CCEEFF"/>
            </w:tcBorders>
            <w:gridSpan w:val="20"/>
          </w:tcPr>
          <w:p>
            <w:pPr>
              <w:ind w:left="660"/>
              <w:spacing w:after="0" w:line="171" w:lineRule="exact"/>
              <w:rPr>
                <w:rFonts w:ascii="Arial" w:cs="Arial" w:eastAsia="Arial" w:hAnsi="Arial"/>
                <w:sz w:val="18"/>
                <w:szCs w:val="18"/>
                <w:color w:val="0000EE"/>
              </w:rPr>
            </w:pPr>
            <w:hyperlink w:anchor="page168">
              <w:r>
                <w:rPr>
                  <w:rFonts w:ascii="Arial" w:cs="Arial" w:eastAsia="Arial" w:hAnsi="Arial"/>
                  <w:sz w:val="18"/>
                  <w:szCs w:val="18"/>
                  <w:color w:val="0000EE"/>
                </w:rPr>
                <w:t>Exhibits and Financial Statement Schedules</w:t>
              </w:r>
            </w:hyperlink>
          </w:p>
        </w:tc>
        <w:tc>
          <w:tcPr>
            <w:tcW w:w="820" w:type="dxa"/>
            <w:vAlign w:val="bottom"/>
            <w:tcBorders>
              <w:top w:val="single" w:sz="8" w:color="CCEEFF"/>
            </w:tcBorders>
          </w:tcPr>
          <w:p>
            <w:pPr>
              <w:jc w:val="right"/>
              <w:spacing w:after="0" w:line="171" w:lineRule="exact"/>
              <w:rPr>
                <w:sz w:val="20"/>
                <w:szCs w:val="20"/>
                <w:color w:val="auto"/>
              </w:rPr>
            </w:pPr>
            <w:r>
              <w:rPr>
                <w:rFonts w:ascii="Arial" w:cs="Arial" w:eastAsia="Arial" w:hAnsi="Arial"/>
                <w:sz w:val="18"/>
                <w:szCs w:val="18"/>
                <w:color w:val="auto"/>
              </w:rPr>
              <w:t>165</w:t>
            </w:r>
          </w:p>
        </w:tc>
      </w:tr>
      <w:tr>
        <w:trPr>
          <w:trHeight w:val="210"/>
        </w:trPr>
        <w:tc>
          <w:tcPr>
            <w:tcW w:w="1760" w:type="dxa"/>
            <w:vAlign w:val="bottom"/>
            <w:gridSpan w:val="7"/>
            <w:shd w:val="clear" w:color="auto" w:fill="CCEEFF"/>
          </w:tcPr>
          <w:p>
            <w:pPr>
              <w:spacing w:after="0" w:line="191" w:lineRule="exact"/>
              <w:rPr>
                <w:rFonts w:ascii="Arial" w:cs="Arial" w:eastAsia="Arial" w:hAnsi="Arial"/>
                <w:sz w:val="18"/>
                <w:szCs w:val="18"/>
                <w:b w:val="1"/>
                <w:bCs w:val="1"/>
                <w:color w:val="0000EE"/>
              </w:rPr>
            </w:pPr>
            <w:hyperlink w:anchor="page171">
              <w:r>
                <w:rPr>
                  <w:rFonts w:ascii="Arial" w:cs="Arial" w:eastAsia="Arial" w:hAnsi="Arial"/>
                  <w:sz w:val="18"/>
                  <w:szCs w:val="18"/>
                  <w:b w:val="1"/>
                  <w:bCs w:val="1"/>
                  <w:color w:val="0000EE"/>
                </w:rPr>
                <w:t>EXHIBIT INDEX</w:t>
              </w:r>
            </w:hyperlink>
          </w:p>
        </w:tc>
        <w:tc>
          <w:tcPr>
            <w:tcW w:w="220" w:type="dxa"/>
            <w:vAlign w:val="bottom"/>
            <w:tcBorders>
              <w:top w:val="single" w:sz="8" w:color="0000EE"/>
              <w:right w:val="single" w:sz="8" w:color="CCEEFF"/>
            </w:tcBorders>
            <w:gridSpan w:val="2"/>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right w:val="single" w:sz="8" w:color="CCEEFF"/>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right w:val="single" w:sz="8" w:color="CCEEFF"/>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80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rPr>
              <w:t>165</w:t>
            </w:r>
          </w:p>
        </w:tc>
      </w:tr>
      <w:tr>
        <w:trPr>
          <w:trHeight w:val="171"/>
        </w:trPr>
        <w:tc>
          <w:tcPr>
            <w:tcW w:w="1140" w:type="dxa"/>
            <w:vAlign w:val="bottom"/>
            <w:tcBorders>
              <w:top w:val="single" w:sz="8" w:color="0000EE"/>
              <w:bottom w:val="single" w:sz="8" w:color="0000EE"/>
            </w:tcBorders>
            <w:gridSpan w:val="4"/>
          </w:tcPr>
          <w:p>
            <w:pPr>
              <w:spacing w:after="0" w:line="171" w:lineRule="exact"/>
              <w:rPr>
                <w:rFonts w:ascii="Arial" w:cs="Arial" w:eastAsia="Arial" w:hAnsi="Arial"/>
                <w:sz w:val="18"/>
                <w:szCs w:val="18"/>
                <w:b w:val="1"/>
                <w:bCs w:val="1"/>
                <w:color w:val="0000EE"/>
                <w:w w:val="94"/>
              </w:rPr>
            </w:pPr>
            <w:hyperlink w:anchor="page175">
              <w:r>
                <w:rPr>
                  <w:rFonts w:ascii="Arial" w:cs="Arial" w:eastAsia="Arial" w:hAnsi="Arial"/>
                  <w:sz w:val="18"/>
                  <w:szCs w:val="18"/>
                  <w:b w:val="1"/>
                  <w:bCs w:val="1"/>
                  <w:color w:val="0000EE"/>
                  <w:w w:val="94"/>
                </w:rPr>
                <w:t>SIGNATURES</w:t>
              </w:r>
            </w:hyperlink>
          </w:p>
        </w:tc>
        <w:tc>
          <w:tcPr>
            <w:tcW w:w="220" w:type="dxa"/>
            <w:vAlign w:val="bottom"/>
            <w:tcBorders>
              <w:top w:val="single" w:sz="8" w:color="0000EE"/>
            </w:tcBorders>
          </w:tcPr>
          <w:p>
            <w:pPr>
              <w:spacing w:after="0"/>
              <w:rPr>
                <w:sz w:val="14"/>
                <w:szCs w:val="14"/>
                <w:color w:val="auto"/>
              </w:rPr>
            </w:pPr>
          </w:p>
        </w:tc>
        <w:tc>
          <w:tcPr>
            <w:tcW w:w="1220" w:type="dxa"/>
            <w:vAlign w:val="bottom"/>
            <w:tcBorders>
              <w:top w:val="single" w:sz="8" w:color="CCEEFF"/>
            </w:tcBorders>
            <w:gridSpan w:val="5"/>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jc w:val="right"/>
              <w:spacing w:after="0" w:line="171" w:lineRule="exact"/>
              <w:rPr>
                <w:sz w:val="20"/>
                <w:szCs w:val="20"/>
                <w:color w:val="auto"/>
              </w:rPr>
            </w:pPr>
            <w:r>
              <w:rPr>
                <w:rFonts w:ascii="Arial" w:cs="Arial" w:eastAsia="Arial" w:hAnsi="Arial"/>
                <w:sz w:val="18"/>
                <w:szCs w:val="18"/>
                <w:color w:val="auto"/>
              </w:rPr>
              <w:t>169</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This Annual Report on Form 10-K contains forward-looking statements that involve substantial risks and uncertainties. All statements contained in this Annual Report on Form 10-K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0"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215" w:lineRule="exact"/>
        <w:rPr>
          <w:sz w:val="20"/>
          <w:szCs w:val="20"/>
          <w:color w:val="auto"/>
        </w:rPr>
      </w:pPr>
    </w:p>
    <w:p>
      <w:pPr>
        <w:ind w:left="1040" w:hanging="337"/>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40"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14"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lead product candidate, initially as a treatment for Major Depressive Disorder;</w:t>
      </w:r>
    </w:p>
    <w:p>
      <w:pPr>
        <w:spacing w:after="0" w:line="214" w:lineRule="exact"/>
        <w:rPr>
          <w:rFonts w:ascii="Arial" w:cs="Arial" w:eastAsia="Arial" w:hAnsi="Arial"/>
          <w:sz w:val="18"/>
          <w:szCs w:val="18"/>
          <w:color w:val="auto"/>
        </w:rPr>
      </w:pPr>
    </w:p>
    <w:p>
      <w:pPr>
        <w:ind w:left="1020" w:hanging="369"/>
        <w:spacing w:after="0" w:line="26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0"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14"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performance of the U.S. National Institute of Mental Health, our third-party contract manufacturer(s) and contract research organization(s);</w:t>
      </w:r>
    </w:p>
    <w:p>
      <w:pPr>
        <w:spacing w:after="0" w:line="237" w:lineRule="exact"/>
        <w:rPr>
          <w:rFonts w:ascii="Arial" w:cs="Arial" w:eastAsia="Arial" w:hAnsi="Arial"/>
          <w:sz w:val="16"/>
          <w:szCs w:val="16"/>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214"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14"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14"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214"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scientific or management personnel, internally from one of our third-party collaborators; and</w:t>
      </w:r>
    </w:p>
    <w:p>
      <w:pPr>
        <w:spacing w:after="0" w:line="214"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241"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on Form 10-K, particularly in Part I, Item 1A. Risk Factors,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93"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You should read this Annual Report on Form 10-K and the documents that we have filed as exhibits to the Annual Report on Form 10-K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47" w:lineRule="exact"/>
        <w:rPr>
          <w:sz w:val="20"/>
          <w:szCs w:val="20"/>
          <w:color w:val="auto"/>
        </w:rPr>
      </w:pPr>
    </w:p>
    <w:p>
      <w:pPr>
        <w:jc w:val="both"/>
        <w:ind w:firstLine="632"/>
        <w:spacing w:after="0" w:line="324" w:lineRule="auto"/>
        <w:rPr>
          <w:sz w:val="20"/>
          <w:szCs w:val="20"/>
          <w:color w:val="auto"/>
        </w:rPr>
      </w:pPr>
      <w:r>
        <w:rPr>
          <w:rFonts w:ascii="Arial" w:cs="Arial" w:eastAsia="Arial" w:hAnsi="Arial"/>
          <w:sz w:val="16"/>
          <w:szCs w:val="16"/>
          <w:i w:val="1"/>
          <w:iCs w:val="1"/>
          <w:color w:val="auto"/>
        </w:rPr>
        <w:t>All brand names or trademarks appearing in this report are the property of their respective holders. Unless the context requires otherwise, references in this report to “VistaGen,” the “Company,” “we,” “us,” and “our” refer to VistaGen Therapeutics, Inc., a Nevada corporation.</w:t>
      </w:r>
    </w:p>
    <w:p>
      <w:pPr>
        <w:spacing w:after="0" w:line="1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clinical-stage biopharmaceutical company committed to developing and commercializing product candidates for patients with depression, other diseases and disorders related to the central nervous system (CNS), and cancer.</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More than one billion people worldwide suffer from CNS disorders. Recently, the economic burden of these disorders was estimated at $2.0 trillion the United States and European Union alone, a figure that is expected to triple by 2030. The World Health Organization estimates that 350 million people are affected by depression worldwide. According to the NIH, major depression is one of the most common mental disorders in the United States. In 2012, the NIH estimated 16 million adults aged 18 or older in the U.S. had at least one major depressive episode. This represented 6.9 percent of all U.S. adults.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lead product candidate, AV-101, is an orally-active small molecule prodrug in Phase 2 development for Major Depressive Disorder (MDD). AV-101’s mechanism of action (MOA), as an N-methyl-D-aspartate receptor (NMDAR) antagonist binding selectively at the glycine-binding (GlyB) co-agonist site of the NMDAR, is fundamentally different from all currently-approved antidepressants. In four preclinical studies utilizing well-validated animal models of depression, AV-101 was shown to induce fast-acting, dose-dependent, persistent and statistically significant antidepressant-like responses, following a single treatment, which were equivalent to responses seen with a control single sub-anesthetic dose of ketamine (sometimes used by clinicians off-label to treat suicidal behavior). In the same studies, fluoxetine (Prozac)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6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Following our two successful randomized, double-blind, placebo-controlled Phase 1 safety studies funded by the U.S. National Institutes of Health (NIH), AV-101 is the only small molecule product candidate known to management that is (A) in Phase 2 clinical development as a monotherapy for MDD, (B) designed to modulate the NMDAR through antagonistic binding at the GlyB co-agonist site of the NMDAR and (C) orally-active in human subjects.</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February 2015, we entered a Cooperative Research and Development Agreement (CRADA) with the U.S. National Institute of Mental Health (NIMH), part of the NIH. Under the CRADA, we will collaborate with the NIH on a Phase 2 clinical study of AV-101 in subjects with treatment resistant MDD. Pursuant to the CRADA, the study will be conducted at the NIMH and fully-funded by the NIMH. It is contemplated that this clinical study will begin this year under the direction of Dr. Carlos Zarate, Jr., the NIMH’s Chief of Experimental Therapeutics &amp; Pathophysiology Branch and of the Section on Neurobiology and Treatment of Mood and Anxiety Disorders.</w:t>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In addition to developing AV-101 for MDD and other CNS indications, we are using our stem cell technology platform for drug rescue –to identify and develop proprietary new chemical entities (NCEs) for our internal drug candidate pipeline. Drug rescue involves (1) using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bioassay systems to predict potential heart and liver toxicity of NCEs, (2) leveraging prior investments by pharmaceutical companies and others related to large-scale compound library screening, optimizing and testing for efficacy NCEs that were terminated before FDA approval due to unexpected heart or liver toxicity and are now available in the public domain, and (3) applying modern medicinal chemistry to produce safer NCEs for our internal development pipeline. Our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bioassay system uses our human pluripotent stem cell (hPSC)-derived cardiomyocytes, or heart cells. We believe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more comprehensive and clinically predictive than the hERG assay, which is currently the only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safety assay required by FDA guidelines. Our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bioassay system uses our hPSC-derived hepatocytes, or liver cells, to predict potential liver toxicity of NCEs, including potential drug metabolism issues and adverse drug-drug interactions. We believe our hPSC-derived hepatocytes, which we call VSTA-</w:t>
      </w:r>
      <w:r>
        <w:rPr>
          <w:rFonts w:ascii="Arial" w:cs="Arial" w:eastAsia="Arial" w:hAnsi="Arial"/>
          <w:sz w:val="16"/>
          <w:szCs w:val="16"/>
          <w:i w:val="1"/>
          <w:iCs w:val="1"/>
          <w:color w:val="auto"/>
        </w:rPr>
        <w:t>heps</w:t>
      </w:r>
      <w:r>
        <w:rPr>
          <w:rFonts w:ascii="Arial" w:cs="Arial" w:eastAsia="Arial" w:hAnsi="Arial"/>
          <w:sz w:val="16"/>
          <w:szCs w:val="16"/>
          <w:color w:val="auto"/>
        </w:rPr>
        <w:t xml:space="preserve">™have more functionally useful life-span in culture than, and overcome numerous problems related to, commercially-available primary (cadaver) hepatocytes currently used in FDA-required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hepatocyte assays for drug metabolism, including limited supply, unknown health status of the donor and genetic differences.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offer a new paradigm for evaluating and predicting potential heart and liver toxicity of NCEs, including drug rescue NCEs, early in development, long before costly, high risk animal studies and human clinical trials. We intend to develop each lead drug rescue NCE internally to establish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proof-of-concept (POC), as to both efficacy and safety, using both established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as well as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when available,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4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strategy is to develop, and commercialize innovative small molecule drugs that address unmet medical needs related to CNS disorders and cancer. We have assembled a management team and a team of scientific, clinical, and regulatory advisors, including recognized experts in the fields of depression and other CNS disorders, with significant industry experience to lead the development and commercialization of our product opportunities. Key elements of our strategy are to:</w:t>
      </w:r>
    </w:p>
    <w:p>
      <w:pPr>
        <w:spacing w:after="0" w:line="175" w:lineRule="exact"/>
        <w:rPr>
          <w:sz w:val="20"/>
          <w:szCs w:val="20"/>
          <w:color w:val="auto"/>
        </w:rPr>
      </w:pPr>
    </w:p>
    <w:p>
      <w:pPr>
        <w:jc w:val="both"/>
        <w:ind w:left="640" w:hanging="152"/>
        <w:spacing w:after="0" w:line="24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Develop and commercialize our lead product candidate, AV-101, for Major Depressive Disorder (MDD). </w:t>
      </w:r>
      <w:r>
        <w:rPr>
          <w:rFonts w:ascii="Arial" w:cs="Arial" w:eastAsia="Arial" w:hAnsi="Arial"/>
          <w:sz w:val="18"/>
          <w:szCs w:val="18"/>
          <w:color w:val="auto"/>
        </w:rPr>
        <w:t>We are pursuing MDD as our lead</w:t>
      </w:r>
      <w:r>
        <w:rPr>
          <w:rFonts w:ascii="Arial" w:cs="Arial" w:eastAsia="Arial" w:hAnsi="Arial"/>
          <w:sz w:val="18"/>
          <w:szCs w:val="18"/>
          <w:b w:val="1"/>
          <w:bCs w:val="1"/>
          <w:color w:val="auto"/>
        </w:rPr>
        <w:t xml:space="preserve"> </w:t>
      </w:r>
      <w:r>
        <w:rPr>
          <w:rFonts w:ascii="Arial" w:cs="Arial" w:eastAsia="Arial" w:hAnsi="Arial"/>
          <w:sz w:val="18"/>
          <w:szCs w:val="18"/>
          <w:color w:val="auto"/>
        </w:rPr>
        <w:t>indication for AV-101. We are preparing to launch our initial MDD Phase 2 clinical study in collaboration with the NIH in the second half of 2015. We intend to develop AV-101 internally, through Phase 3 clinical studies and submission of our NDA. If approved by the FDA, we plan to commercialize AV-101 for this indication in the U.S. either by (A) establishing or contracting for a specialty U.S. sales force focused primarily on psychiatrists and long-term care physicians who are high prescribers of currently-approved antidepressants or (B) collaborating with a pharmaceutical company with an extensive presence in U.S. CNS markets. Outside the U.S., we may choose to commercialize AV-101 in selected markets by establishing one or more strategic alliances.</w:t>
      </w:r>
    </w:p>
    <w:p>
      <w:pPr>
        <w:spacing w:after="0" w:line="214" w:lineRule="exact"/>
        <w:rPr>
          <w:rFonts w:ascii="Arial" w:cs="Arial" w:eastAsia="Arial" w:hAnsi="Arial"/>
          <w:sz w:val="18"/>
          <w:szCs w:val="18"/>
          <w:color w:val="auto"/>
        </w:rPr>
      </w:pPr>
    </w:p>
    <w:p>
      <w:pPr>
        <w:jc w:val="both"/>
        <w:ind w:left="640" w:hanging="152"/>
        <w:spacing w:after="0" w:line="289"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commercial potential AV-101 by expanding to additional CNS-related disorders. </w:t>
      </w:r>
      <w:r>
        <w:rPr>
          <w:rFonts w:ascii="Arial" w:cs="Arial" w:eastAsia="Arial" w:hAnsi="Arial"/>
          <w:sz w:val="16"/>
          <w:szCs w:val="16"/>
          <w:color w:val="auto"/>
        </w:rPr>
        <w:t>We intend to pursue the development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commercialization of AV-101 in MDD and additional CNS-related indications that are underserved by currently available medicines and represent large unmet medical needs. Based on AV-101 preclinical studies, and by leveraging our AV-101 IND and successful Phase 1 clinical studies, we now have the opportunity to explore Phase 2 development of AV-101 as a potential treatment for chronic neuropathic pain, epilepsy and neurodegenerative diseases such as Parkinson’s disease and Huntington’s disease.</w:t>
      </w:r>
    </w:p>
    <w:p>
      <w:pPr>
        <w:spacing w:after="0" w:line="182" w:lineRule="exact"/>
        <w:rPr>
          <w:rFonts w:ascii="Arial" w:cs="Arial" w:eastAsia="Arial" w:hAnsi="Arial"/>
          <w:sz w:val="16"/>
          <w:szCs w:val="16"/>
          <w:color w:val="auto"/>
        </w:rPr>
      </w:pPr>
    </w:p>
    <w:p>
      <w:pPr>
        <w:jc w:val="both"/>
        <w:ind w:left="640" w:hanging="152"/>
        <w:spacing w:after="0" w:line="286"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Grow our internal development pipeline by pursuing drug rescue opportunities using our stem cell technology. </w:t>
      </w:r>
      <w:r>
        <w:rPr>
          <w:rFonts w:ascii="Arial" w:cs="Arial" w:eastAsia="Arial" w:hAnsi="Arial"/>
          <w:sz w:val="16"/>
          <w:szCs w:val="16"/>
          <w:color w:val="auto"/>
        </w:rPr>
        <w:t>We are using our stem cell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technology to screen and develop proprietary new chemical entities (NCEs) through drug rescue programs intended to produce proprietary NCEs for our internal drug development pipeline. We will focus on NCEs with established therapeutic and commercial potential. Our ability to build on that valuable head start with our biological and electrophysiological insights regarding cardiac and liver safety effects of NCEs obtained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eventually,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we believe will help us produce and then optimize patentable drug rescue NCEs for our internal pipeline without incurring many of the substantial costs and risks typically inherent in new drug discovery and nonclinical drug development.</w:t>
      </w:r>
    </w:p>
    <w:p>
      <w:pPr>
        <w:spacing w:after="0" w:line="185" w:lineRule="exact"/>
        <w:rPr>
          <w:rFonts w:ascii="Arial" w:cs="Arial" w:eastAsia="Arial" w:hAnsi="Arial"/>
          <w:sz w:val="16"/>
          <w:szCs w:val="16"/>
          <w:color w:val="auto"/>
        </w:rPr>
      </w:pPr>
    </w:p>
    <w:p>
      <w:pPr>
        <w:jc w:val="both"/>
        <w:ind w:left="640" w:hanging="152"/>
        <w:spacing w:after="0" w:line="252"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Pursue other product candidates, including product candidates for treatment of CNS-related disorders. </w:t>
      </w:r>
      <w:r>
        <w:rPr>
          <w:rFonts w:ascii="Arial" w:cs="Arial" w:eastAsia="Arial" w:hAnsi="Arial"/>
          <w:sz w:val="18"/>
          <w:szCs w:val="18"/>
          <w:color w:val="auto"/>
        </w:rPr>
        <w:t>While our resources are currently 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on developing AV-101 and producing drug rescue NCEs, we may pursue additional product candidates in the future. These may be directed at CNS-related disorders and may be developed independently or in partnerships. We believe that a diversified portfolio will mitigate risks inherent in drug development and increase the likelihood of our success.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Opportunities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 (L-4-cholorkyurenine or 4-Cl-KYN)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Mechanism of Action</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AV-101 is an orally-active, clinical-stage prodrug candidate that readily gains access to the central nervous system (CNS) after systemic administration and is rapidly converted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 its active metabolite 7-chlorokynurenic acid (7-Cl-KYNA), a well-characterized, potent and highly selective antagonist of then N-methyl-D-aspartate receptor (NMDAR) at the glycine-binding co-agonist (GlyB) site. Prodrug pharmaceuticals are useful for their potential to increase the selectivity of a drug for its intended target and to afford more favorable absorption, distribution, metabolism, and excretion properties.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165735</wp:posOffset>
            </wp:positionV>
            <wp:extent cx="3779520" cy="2174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79520" cy="2174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Current evidence suggests that AV-101’s antagonism of NMDAR signaling may provide fast-acting antidepressant effects in the treatment of Major Depressive Disorder (MDD). In addition, as confirmed in our AV-101 Phase 1 clinical studies, targeting the GlyB site of the NMDAR does not have the adverse effects typically associated with classic NMDAR antagonists, such as ketamine and other NMDA channel blockers.</w:t>
      </w:r>
    </w:p>
    <w:p>
      <w:pPr>
        <w:spacing w:after="0" w:line="18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believe Phase 2 clinical development of AV-101 for MDD and multiple CNS-related indications is supported by strong scientific rationale, significant IND-enabling nonclinical data, and two successful Phase 1 clinical safety studies. To date, the U.S. National Institutes of Health (NIH) has awarded us $8.8 million of grant funding for our pre-Phase 2 development of AV-101. We are currently preparing to launch our initial Phase 2 clinical trial of AV-101 in MDD.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21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Depression is a serious medical illness and a global public health concern. The World Health Organization estimates that depression is the leading cause of disability worldwide, and is a major contributor to the global burden of disease, affecting 350 million people globally. According to the U.S. Centers for Disease Control and Prevention (CDC), approximately one in 10 Americans aged 12 and over takes antidepressant medication.</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Suicide is estimated to be the cause of death in up to 15% of individuals with MDD.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Antidepressants</w:t>
      </w:r>
    </w:p>
    <w:p>
      <w:pPr>
        <w:spacing w:after="0" w:line="21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For many people, depression cannot be controlled for any length of time without treatment. Current medications available in the multi-billion dollar global antidepressant market, including commonly-prescribed selective serotonin reuptake inhibitors (SSRIs) and serotonin-norepinephrine reuptake inhibitors (SNRIs), have limited effectiveness, and, because of their mechanism of action, must be taken for several weeks or months before patients experience any significant benefit. In addition, most current antidepressant medications have an FDA-required “Black Box” safety warning due to a risk of worsening depression and an increased risk of suicidal thoughts and behaviors during treatment, a property not expected to occur with AV-101. Only about 33% of depression sufferers benefit from their initial treatment, and the likelihood of achieving remission of depressive symptoms declines with each successive treatment attempt. Even after many treatment attempts during the course of up to more than a year, about 33% of depression sufferers still fail to find an effective therapy. In addition, this trial and error process and the systemic effects of the various antidepressant medications involved, increases the risks of patient tolerability issues and serious side effects, including suicidal thoughts and behaviors.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Ketamine and NIH Clinical Studies in Major Depressive Disorder</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is an FDA-approved, rapid-acting general anesthetic. The use of ketamine (an NMDA receptor antagonist which acts as an NMDA channel blocker) to treat MDD has been studied in several clinical trials conducted by depression experts at the U.S. National Institute of Mental Health (NIMH), part of the NIH, including Dr. Carlos Zarate, Jr., the NIMH’s Chief of Experimental Therapeutics &amp; Pathophysiology Branch and of the Section on Neurobiology and Treatment of Mood and Anxiety Disorders. In randomized, placebo-controlled, double-blind clinical trials reported by Dr. Zarate and others at the NIMH, a single intravenous dose of ketamine (0.5 mg/kg over 40 minutes) produced robust and rapid antidepressant effects in MDD patients who had not responded to currently-approved medications. These results were in contrast to the slow onset of currently FDA-approved antidepressant medications, which usually require many weeks or months of chronic usage to achieve similar antidepressant effects. The potential for widespread therapeutic use of ketamine is severely limited by its potential for abuse, dissociative and psychosis-like side effects, and by practical challenges associated with its intravenous administration in a medical center. Notwithstanding these limitations, the discovery of ketamine’s fast-acting antidepressant effects revolutionized thinking about the MDD treatment paradigm. The discovery also increased interest in the development of a new generation of antidepressants with a fast-acting mechanism of action similar to ketamine’s. Orally-available AV-101 is among the new generation of antidepressants with potential to deliver ketamine-like antidepressant effects, without ketamine’s side effects or required intravenous administration.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and Major Depressive Disorder</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AV-101 is an orally-active prodrug candidate that produces, in the brain, 7-chlorokynurenic acid (7 Cl KYNA), one of the most potent and selective antagonists of the glycine-binding site of the NMDAR, resulting in the down-regulation of NMDAR signaling. Growing evidence suggests that the glutamatergic system is central to the neurobiology and treatment of MDD and other mood disorders.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AV-101’s mechanism of action is fundamentally different from currently-available antidepressants, placing it among a new generation of glutamatergic antidepressants with potential to treat millions of MDD sufferers worldwide who are poorly served by SSRIs, SNRIs and other current depression therapies. AV-101 is functionally similar to ketamine in that both are NMDAR antagonists. However, AV-101 modulated (down-regulated) NMDAR channel activity and ketamine blocks it. AV-101 accomplishes this NMDAR modulation by selectively binding to the functionally-required GlyB site of the NMDAR, thus down-regulating the NMDAR in a dose-dependent manner. We believe targeting the GlyB site of the NMDAR and modulating NMDAR activity rather than blocking it can bypass adverse effects that result when ketamine blocks the NMDA ion channel, without affecting the robust efficacy observed in previous clinical studies conducted by the NIH and others using ketamine to treat MDD. This NMDAR modulation by AV-101 may then result in the “glutamate surge,” and the increase in neuronal connections, that has been associated with the fast-acting antidepressant effects of ketamine.</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preclinical studies, AV-101 has demonstrated the antidepressant-like activity of ketamine, including rapid onset and long duration of effect, without ketamine’s serious side effects. In two NIH-funded randomized, double-blind, placebo-controlled Phase 1 safety studies, AV-101 was safe, well-tolerated and not associated with any severe adverse events. There were no signs of sedation, hallucinations or schizophrenia-like side effects often associated with ketamine and traditional NMDAR channel blockers.</w:t>
      </w:r>
    </w:p>
    <w:p>
      <w:pPr>
        <w:spacing w:after="0" w:line="19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Building on over $8.8 million of prior non-dilutive funding from the NIH for preclinical and Phase 1 clinical development of AV-101, in February 2015, we entered a Cooperative Research and Development Agreement (CRADA) with the U.S. National Institute of Mental Health (NIMH). Under the CRADA, we will collaborate with Dr. Carlos Zarate and the NIMH on a Phase 2 clinical study of AV-101 in subjects with treatment-resistant MDD. Pursuant to the CRADA, this study will be conducted at the NIMH by Dr. Zarate and fully-funded by the NIH. The primary objective of the NIH-sponsored Phase 2 study will be to evaluate the ability of AV-101 to improve overall depressive symptomatology in subjects with MDD, specifically whether subjects with MDD have a greater and more rapid decrease in depressive symptoms when treated with AV-101 than with placebo. We currently anticipate commencement of the study in the second half of 2015.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Nonclinical Studies in Chronic Neuropathic Pain, Epilepsy, Parkinson’s disease and Huntington’s disease</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well-established nonclinical models of depression, AV-101 nonclinical data in other CNS-related disorders support our hypothesis that it may have therapeutic and commercial potential beyond treatment of depression.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Chronic Neuropathic Pain and Acute Tissue Injury Hyperalgesia</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effect of AV-101 on chronic neuropathic pain due to inflammation and nerve damage was assessed in rats by using the Chung nerve ligation model. AV-101 effects were compared to either saline, MK-801 or gabapentin controls. Similarly to what was observed in the formalin and thermal hyperalgesia test systems, AV-101 had a positive effect on chronic neuropathic pain in the Chung model, with no observed adverse behavioral effects. The efficacy observed for AV-101 in both the acute and chronic neuropathic pain model systems was dose dependent, and the drug response was not associated with any side effects within the range of doses administered.</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antihyperalgesic effect of AV-101 has been evaluated in two standard tissue injury model systems: inflammatory thermal hyperalgesia and the formalin paw test. AV-101 was compared to two positive controls, the classic NMDAR antagonist MK-801 (discontinued in preclinical development by Merck due to neurotoxicity) and the anticonvulsant gabapentin. A significant drug response was defined as a response that was greater than or equal to 2 standard deviations (SD) from the response produced by vehicle. Animal behavior and motor function were observed and evaluated throughout the study.</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the formalin hyperalgesia model, MK-801 caused significant spontaneous locomotor activity that prevented assessment of its analgesic activity. However, AV-101 displayed dose-dependent antihyperpathic effects in the absence of behavioral deficits for both Phase 1 (acute nociceptive pain) and Phase 2 (chronic and neuropathic pain) of hyperalgesia. In contrast, gabapentin did not have a significant anti-hyperalgesia response at any dose during Phase 1, but showed a significant positive response during Phase 2.</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carrageenan inflammatory thermal hyperalgesia model, neither MK-801, gabapentin, nor AV-101 had an effect on acute thermal nociception, but produced a dose dependent block of the carrageenan-induced hyperalgesia that were greater than 2 SD of the vehicle: There were no behavioral changes observed at any AV-101 dose, but signs of behavioral and motor dysfunction were observed for gabapentin and MK-801 treated animals. The profile of analgesic activity observed for AV-101 in the formalin and inflammatory thermal hyperalgesia model systems supports the conclusion that AV-101 demonstrates anti-hyperalgesia activity in validated models of facilitated pain processing produced by peripheral tissue inflammation.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Epilepsy</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AV-101 has been shown to protect against seizures and neuronal damage in animal models of epilepsy, providing preclinical support for its potential as a novel treatment of epilepsy. Epilepsy is one of the most prevalent neurological disorders, affecting almost 1% of the worldwide population. Approximately 2.5 million Americans have epilepsy. Nearly half of the people suffering from epilepsy are not effectively treated with currently available medications. In addition, the anticonvulsants used today can cause significant side effects, which frequently interfere with compliance.</w:t>
      </w:r>
    </w:p>
    <w:p>
      <w:pPr>
        <w:spacing w:after="0" w:line="16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Glutamate is a neurotransmitter that is critically involved in the pathophysiology of epilepsy. Through its stimulation of the NMDAR subtype, glutamate has been implicated in the neuropathology and clinical symptoms of the disease. In support of this, NMDAR antagonists are potent anticonvulsants. However, classic NMDAR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NMDAR function and are therefore anticonvulsant and neuroprotective. Importantly, GlyB site antagonists have fewer and less severe side effects than classic NMDAR antagonists and other antiepileptic agents, making them a safer potential alternative to, and one expected to be associated with greater patient compliance than, available anticonvulsant medications.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AV-101 has two additional therapeutically important properties as a drug candidate for treatment of epilepsy:</w:t>
      </w:r>
    </w:p>
    <w:p>
      <w:pPr>
        <w:spacing w:after="0" w:line="214" w:lineRule="exact"/>
        <w:rPr>
          <w:sz w:val="20"/>
          <w:szCs w:val="20"/>
          <w:color w:val="auto"/>
        </w:rPr>
      </w:pPr>
    </w:p>
    <w:p>
      <w:pPr>
        <w:jc w:val="both"/>
        <w:ind w:left="640" w:hanging="384"/>
        <w:spacing w:after="0" w:line="291"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AV-101 is preferentially converted to 7-Cl-KYNA in brain areas related to neuronal injury. This is because astrocytes, which are responsible for the enzymatic transamination of 4-Cl-KYN prodrug to active 7-Cl-KYNA, are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61" w:lineRule="exact"/>
        <w:rPr>
          <w:rFonts w:ascii="Arial" w:cs="Arial" w:eastAsia="Arial" w:hAnsi="Arial"/>
          <w:sz w:val="16"/>
          <w:szCs w:val="16"/>
          <w:color w:val="auto"/>
        </w:rPr>
      </w:pPr>
    </w:p>
    <w:p>
      <w:pPr>
        <w:ind w:left="640" w:hanging="384"/>
        <w:spacing w:after="0" w:line="26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active metabolite of AV-101, 4-Cl-3-hydroxyanthranilic acid, inhibits the synthesis of quinolinic acid, an endogenous NMDAR agonist that causes convulsions and excitotoxic neuronal damage.</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AV-101’s ability to activate astrocytes for focal delivery of an anti-epileptic principle, and its dual action as a NMDAR GlyB antagonist and quinolinic acid synthesis inhibitor, make AV-101 a potential Phase 2 development candidate for treatment of epilepsy.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Parkinson’s Disease</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AV-101 has been shown to activate ventral tegmental area (VTA) dopaminergic (DA) neurons. Kynurenic acid (KYNA) is an endogenous NMDA receptor antagonist, as well as a blocker of the 7-nicotinic acid receptor. Mounting evidence suggests that this compound participates in the pathophysiology of schizophrenia. Preclinical studies have shown that elevated levels of endogenous KYNA are associated with increased firing of midbrain DA neurons. AV-101 is converted to the selective NMDAR GlyB antagonist 7-Cl-KYNA, which is 20 times more potent and selective than KYNA in binding the GlyB site. Utilizing extra cellular single unit cell recording techniques, we have shown that AV-101, which is converted to the selective NMDAR GlyB antagonist 7-Cl-KYNA, significantly increases the firing rate and percent burst firing activity of VTA DA neurons. These results have potential therapeutic implications for Parkinson’s disease.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Huntington’s Disease</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Working together with metabotropic glutamate receptors, the NMDAR ensures the establishment of long-term potentiation (LTP), a process believed to be responsible for the acquisition of information. These functions are mediated by calcium entry through the NMDAR-associated channel, which in turn influences a wide variety of cellular components, like cytoskeletal proteins or second- messenger synthases. However, over activation at the NMDAR triggers an excessive entry of calcium ions, initiating a series of cytoplasmic and nuclear processes that promote neuronal cell death through necrosis as well as apoptosis, and these mechanisms have been implicated in several neurodegenerative diseases.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Huntington’s disease (HD), a chronic neurodegenerative disorder,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tissue levels of two neurotoxic metabolites of the kynurenine pathway of tryptophan degradation, quinolinic acid (QUIN) and 3-hydroxykynurenine (3-HK)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OUIN and to potentially produce significant local concentrations of 7-Cl-KYNA on chronic administration, presents an exciting opportunity for Phase 2 clinical investigation of AV-101 as a potential chronic treatment of HD.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Additional AV-101 Nonclinical Information</w:t>
      </w:r>
    </w:p>
    <w:p>
      <w:pPr>
        <w:spacing w:after="0" w:line="24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 comprehensive nonclinical pharmacology, pharmacokinetic (PK)/toxicokinetic (TK), and toxicology program has been conducted to support the clinical use of AV-101 in multiple CNS-related indications. The primary pharmacological activity of AV-101 has been investigated in a series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studies. Pharmacology (absorption, distribution, metabolism, and excretion), PK/TK, and toxicology studies have been conducted with AV-101 in rats, dogs, and monkeys. The excellent safety profile of AV-101 was confirmed by pilot tolerability, single-dose range-finding, and repeated-dose toxicology studies in rats, dogs and monkeys. The genotoxic potential of AV-101 and its active metabolite, 7-Cl-KYNA, was assessed in multiple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genotoxicity studies (bacterial mutation, chromosomal aberration, mouse lymphoma TK+/-, and micronucleus tests).</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 behavioral effects of AV-101 assessed in a Good Laboratory Practice (GLP) Irwin test in rats show it to have no adverse effect on the CNS following single oral administration at doses up to 2,000 mg/kg. Although AV-101 inhibited the human ether à-go-go–related gene (hERG) current in a dose-dependent manner (median concentration that causes 50% inhibition for the inhibitory effect [IC50] of 70.5 μM), its active metabolite, 7-Cl-KYNA, showed no inhibitory effect on the hERG channel current. Electrocardiograms (ECGs) recorded during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dog toxicology studies showed no AV-101–related adverse cardiovascular effects. Furthermore, in a pivotal GLP dog 14-day toxicology study, no treatment-related effects on ECGs, including QT interval and QTc, at dose levels up to 120 mg/kg/d. No evidence of any treatment-related adverse effects on the respiratory system has been noted with AV-101.</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Oral administration of AV-101 to Sprague-Dawley rats and mice was shown to result in rapid absorption of AV-101 (rats: time to maximum plasma concentration</w:t>
      </w:r>
    </w:p>
    <w:p>
      <w:pPr>
        <w:spacing w:after="0" w:line="3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[Tmax], approximately 0.25 to 0.5 hours), adequate bioavailability (rats: approximately 39% to 94%), and relatively short plasma elimination half-life (rats: t</w:t>
      </w:r>
      <w:r>
        <w:rPr>
          <w:rFonts w:ascii="Arial" w:cs="Arial" w:eastAsia="Arial" w:hAnsi="Arial"/>
          <w:sz w:val="23"/>
          <w:szCs w:val="23"/>
          <w:color w:val="auto"/>
          <w:vertAlign w:val="subscript"/>
        </w:rPr>
        <w:t>1/2</w:t>
      </w:r>
      <w:r>
        <w:rPr>
          <w:rFonts w:ascii="Arial" w:cs="Arial" w:eastAsia="Arial" w:hAnsi="Arial"/>
          <w:sz w:val="17"/>
          <w:szCs w:val="17"/>
          <w:color w:val="auto"/>
        </w:rPr>
        <w:t xml:space="preserve"> approximately 1 to 3 hours). Furthermore, in rats 7-Cl-KYNA was detected in the plasma and reached the maximum plasma concentration (Cmax) approximately 0.25 to 0.5 hours after oral administration, suggesting a rapid conversion of AV-101 to 7-Cl-KYNA. Pharmacokinetic (PK) analyses were conducted in many of the toxicology studies in rats, dogs, and monkeys. These analyses showed that the AV-101-related clinical signs observed in dogs (versus monkeys) were associated with a significantly higher or similar exposure (Cmax and area under the curve [AUC]; single doses [equal to or greater than 50 mg/kg]; 2,000 mg/kg in monkeys). Furthermore, although AUC and Cmax values increased non-proportionately with dose level in dogs, AUC values only marginally increased with dose in monkeys, with little change in Cmax values.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Low levels of potential metabolites of AV-101 were detected following in vitro incubations with hepatocytes from the mouse, rat, dog, monkey, and humans. No appreciable conversion of AV-101 to D-4-Cl-KYN during these hepatocyte incubations was noted. Results from cytochrome P-450 (CYP) inhibition and induction studies showed that AV-101 was not a potent inhibitor or inducer of the human CYP isoforms evaluated.</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Single-dose studies in rats and monkeys did not show clear evidence of toxicity at maximal doses of 2,000 mg/kg. In dogs, oral administration of AV-101 resulted in CNS-related clinical signs, including decreased activity, abnormal gait/stance, ataxia, and prostration.</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 repeated-dose (14-day) ocular toxicity study in Sprague-Dawley rats (unpigmented) and brown Norway rats (pigmented) at dose levels up to 2,000 mg/kg/d did not reveal any signs of retinal degeneration at any dose level or rat strain. A subsequent pivotal GLP 14-day repeated-dose toxicity study in Sprague-Dawley rats showed no treatment-related ocular findings after daily dosing of AV-101 for 14 consecutive days at dose levels up to 2,000 mg/kg/d.</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GLP 14-day repeated-dose CNS toxicity study conducted in dogs, at dose levels up to 100 mg/kg/d showed no treatment-related lesions in the brain of any animal. The pivotal GLP 14-day repeated-dose toxicity study in Beagle dogs, also showed no treatment-related CNS findings after daily dosing of AV-101 for 14 consecutive days at dose levels up to 120 mg/kg/d.</w:t>
      </w:r>
    </w:p>
    <w:p>
      <w:pPr>
        <w:spacing w:after="0" w:line="18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genotoxic potential of AV-101 and 7-Cl-KYNA was assessed in multiple in vitro and in vivo genotoxicity studies (bacterial reverse mutation, chromosomal aberration, mouse lymphoma TK+/-, and micronucleus tests), and the overall results confirmed that both AV-101 and 7-Cl-KYNA are not mutagenic.</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rat Olney lesion study was conducted to assess the potential CNS toxicity. No lesions were observed in the brain after a single oral dose of AV-101 at doses up to 2,000 mg/kg.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Nonclinical Pharmacology Studies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Pharmacodynamics</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Much of the nonclinical pharmacology information of AV-101 is derived from many published research results on L-4-Cl-KYN or 7-Cl-KYNA. Primary pharmacodynamic studies conducted in rodent models for neuropathic pain demonstrated AV-101’s antihyperalgesic activity in models of facilitated pain processing, its analgesic properties, its ability to provide neuroprotection from excitotoxic death, its ability to reduce seizures, and its activity in multiple preclinical models of depression.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spacing w:after="0"/>
        <w:rPr>
          <w:sz w:val="20"/>
          <w:szCs w:val="20"/>
          <w:color w:val="auto"/>
        </w:rPr>
      </w:pPr>
      <w:r>
        <w:rPr>
          <w:rFonts w:ascii="Arial" w:cs="Arial" w:eastAsia="Arial" w:hAnsi="Arial"/>
          <w:sz w:val="21"/>
          <w:szCs w:val="21"/>
          <w:i w:val="1"/>
          <w:iCs w:val="1"/>
          <w:color w:val="auto"/>
        </w:rPr>
        <w:t>Nonclinical Absorption, Distribution, Metabolism and Excretion Studies</w:t>
      </w:r>
    </w:p>
    <w:p>
      <w:pPr>
        <w:spacing w:after="0" w:line="24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rats, area under the concentration-time curve from time of dosing extrapolated to infinity (AUC0-∞) values were proportional to dose for AV-101, but Cmax was less than proportional to dose, suggesting a saturation of absorption rate. 7-Cl-KYNA Cmax was less than proportional to dose, and generally females tended to have a higher exposure to AV-101 than males, but no sex difference was noted for 7-Cl-KYNA exposure. In the repeated-dose studies, D-4-Cl-KYN, L-4-Cl-KYN, and 7-Cl-KYNA mean area under the concentration-time curves from time of dosing to the last sampling time (AUC0-t) and AUC0-∞ values were higher on Day 14 than on Day 1 in both sexes of most treatment groups, indicating that exposure increased following daily repeated dosing of AV-101. Sex differences were noted for D-4-Cl-KYN and L-4-Cl-KYN, with mean AUC0-t and AUC0-∞ estimates higher in females relative to males for most treatment groups. Conversely, mean AUC0-t and AUC0-∞ values of 7-Cl-KYNA were generally higher in males relative to females.</w:t>
      </w:r>
    </w:p>
    <w:p>
      <w:pPr>
        <w:spacing w:after="0" w:line="16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dogs, AUC0-∞ values were slightly less than proportional to dose up to 100 mg/kg AV-101 and Cmax values were less than proportional to dose, suggesting a saturation of absorption. No consistent sex differences were noted for Cmax or AUC values. AUC0-∞ and Cmax values for 7-Cl-KYNA were less than proportional to dose. In the repeated-dose study, D-4-Cl-KYN, L-4-Cl-KYN, and 7-Cl-KYNA showed a proportional increase in Cmax with the administered dose level of AV-101 in both sexes. There was no evidence of plasma accumulation for any of the analytes. Sex differences were noted for D-4-Cl-KYN, with slightly higher mean AUC0-t and AUC0-∞ estimates in females relative to males on Day 1 and Day 14, in all treatment groups. For 7-Cl-KYNA, mean Cmax was elevated in females relative to males at all dose levels on Days 1 and Day 14, and mean AUC0-t and AUC0-∞ estimates were also generally higher in females relative to males at all dose levels. No clear sex differences were noted for L-4-Cl-KYN.</w:t>
      </w:r>
    </w:p>
    <w:p>
      <w:pPr>
        <w:spacing w:after="0" w:line="16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 monkeys, AUC0-∞ values were relatively proportional to dose, but Cmax values were not proportional to dose (comparable or lower Cmax with increasing doses). The AUC0-∞ and Cmax values for 7-Cl-KYNA were less than proportional to dose, and no major sex differences were noted.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Nonclinical Toxicology Studies</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safety profile of AV-101 was determined in single-dose, range-finding, and repeated-dose toxicology studies in rats and dogs, and in a single-dose study in monkeys. A GLP CNS safety pharmacology study in rats that included a microscopic evaluation for Olney lesions was also conducted. Additionally, pivotal GLP 14-day repeated-dose toxicology studies in rats and dogs have been conducted. The genotoxic potentials of AV-101 and 7-Cl-KYNA were assessed in multiple in vitro and in vivo genotoxicity studies, including bacterial reverse mutation, chromosomal aberration, mouse lymphoma TK+/-, and micronucleus tests. Neither were determined to be mutagenic.</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Local tolerance studies have not been conducted with AV-101. However, no lesions in the gastrointestinal tract were observed after oral administration of AV-101 in the repeated-dose toxicity studies in the rat and dog.</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Based on all these studies and in accordance with the current FDA guideline and practices for selecting the starting dose of an investigational new drug, the proposed maximum starting dose in humans will not exceed 1/10 the no observed adverse effect level (NOAEL) in the most sensitive species, determined from the results of the rat and dog 14 day repeated-dose toxicology studies. The results of the pivotal 14-day studies show the dog to be the most sensitive species. The dog NOAEL was determined to be the highest dose level (120 mg/kg/d), and therefore the maximum recommended starting dose (MRSD) would be 6.5 mg/kg (12 mg/kg/d × 0.54 [conversion factor]) or 390 mg per subject for a 60-kg person. As a further added margin of safety for the clinical use of AV-101, VistaGen applied an additional safety factor to the calculated MRSD, and set the starting dose in the proposed Phase 1a clinical trial at 0.5 mg/kg (i.e., 30 mg for 60 kg subjects).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AV-101 Phase 1 Clinical Safety Studies</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safety data from two NIH-funded AV-101 clinical safety studies indicate that AV-101 was safe and well-tolerated at all three doses tested. Overall, 57 AEs were reported by 34 subjects, with 17 AEs (29.8%) occurring in the placebo group. There was a higher rate of AEs reported from subjects that received placebo than from subjects that received AV-101. A total of 40 AEs were reported by 24 of 37 (64.9%) subjects receiving AV-101, and 17 AEs were reported by 10 of 13 (76.9%) subject receiving placebo. Additionally, 49 of the 57 total AEs (85.9%) were considered mild, and the remaining 8 AEs (14.0%) were considered moderate. Of these AEs, headache was the most commonly reported preferred term. All of the AEs were completely resolved.</w:t>
      </w:r>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Overall, the safety results indicate AV-101 is safe and well-tolerated in healthy subjects. Subjects receiving AV-101 reported a lower percentage of AEs relative to subjects receiving placebo. Moreover, there were no AEs reported by subjects that received AV-101 that were graded as probably related to study drug. The type and distribution of AEs reported by subjects in this study was considered to be typical for a study in healthy volunteers.</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 total of 40 AEs were reported by 24 of 37 (64.9%) subjects receiving AV-101, and 17 AEs were reported by 10 of 13 (76.9%) subject receiving placebo.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the Phase 1 safety and pharmacokinetic studies were not designed to measure or evaluate the potential antidepressant effects of AV-101, approximately 9% (5/57) of the subjects receiving AV-101 and none of the 31 subjects receiving placebo reported “feelings of well-being” (coded as euphoric mood), similar to the fast-acting antidepressant effects reported in the literature with ketamine.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Phase 1 Clinical Trials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Study (VSG-CL-101)</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 phase 1a, randomized, double-blind, placebo-controlled study to evaluate the safety and pharmacokinetics of single doses of AV-101 in healthy volunteers was conducted (VSG-CL-001). Seven cohorts (30, 120, 360, 720, 1,080, 1,440, and 1,800 mg) with six subjects per cohort (1:1, AV-101: placebo) were to be enrolled in the study. For the first five cohorts (30, 120, 360, 710 and 1,080 mg) only two subjects were dosed at a time as a pair (1:1, AV-101: placebo) on Day 1. The safety and tolerability of AV-101 in each pair of subjects was assessed by the investigator before proceeding to the next pair within the dose cohort of the study. If no safety concerns were found after analysis of the laboratory samples, physical assessments, and results of the neurological and ophthalmological examinations, the next two subjects in the cohort were dosed, but no sooner than 48 hours after the previous pair of subjects. The next cohort was dosed when the investigator and medical monitor agreed that it was safe to proceed based on review of the previous dose group’s preliminary safety information. In addition, PK assessments were to be reviewed for each cohort starting with the 720 mg through the 1,800 mg dose cohort. A minimum of four evaluable subjects (two AV-101 and two placebo) were required for determination of tolerability and safety of a dose level. The PK stopping criteria would be reached when the L-4-C1-KYN mean AUC</w:t>
      </w:r>
      <w:r>
        <w:rPr>
          <w:rFonts w:ascii="Arial" w:cs="Arial" w:eastAsia="Arial" w:hAnsi="Arial"/>
          <w:sz w:val="22"/>
          <w:szCs w:val="22"/>
          <w:color w:val="auto"/>
          <w:vertAlign w:val="subscript"/>
        </w:rPr>
        <w:t>0-t</w:t>
      </w:r>
      <w:r>
        <w:rPr>
          <w:rFonts w:ascii="Arial" w:cs="Arial" w:eastAsia="Arial" w:hAnsi="Arial"/>
          <w:sz w:val="16"/>
          <w:szCs w:val="16"/>
          <w:color w:val="auto"/>
        </w:rPr>
        <w:t xml:space="preserve"> reaches 900,486 ng·h/mL, or a mean Cmax of 81,633 ng/mL, or a PK extrapolation predicts exceeding one of these values in the next cohort.</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the subjects from the 1,440 mg cohort were dosed during a single day (3 subjects receiving active drug and 3 subjects receiving placebo). The safety and tolerability of AV-101 in the 1,440 mg dose cohort was to be assessed by the investigator and medical monitor before proceeding to the 1,800 mg dose cohort. If no safety concerns were found after analysis of the laboratory samples including the PK results, physical assessments, and results of the neurological and ophthalmological examinations for the 1,440 mg cohort, the 1,800-mg cohort was to be dosed. However, the PK stopping criteria were reached at the 1,440-mg cohort, and the study was stopped and did not proceed to the planned 1,800 mg cohort.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Study Pharmacokinetics Summary</w:t>
      </w:r>
    </w:p>
    <w:p>
      <w:pPr>
        <w:spacing w:after="0" w:line="2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Validated bioanalytical methods were used to measure plasma analyte concentrations. These assays had lower limits of quantification of 2 ng/mL for 7-Cl-KYNA and 5 ng/mL for L-4-Cl-KYN and D-4-Cl- KYN. Pharmacokinetic parameters were calculated by using WinNonlin Pro v. 5.2. Parameters calculated included observed maximal concentration (Cmax), observed time to Cmax (Tmax), area under the concentration-time curve to the last sample collected (AUC</w:t>
      </w:r>
      <w:r>
        <w:rPr>
          <w:rFonts w:ascii="Arial" w:cs="Arial" w:eastAsia="Arial" w:hAnsi="Arial"/>
          <w:sz w:val="24"/>
          <w:szCs w:val="24"/>
          <w:color w:val="auto"/>
          <w:vertAlign w:val="subscript"/>
        </w:rPr>
        <w:t>0-t</w:t>
      </w:r>
      <w:r>
        <w:rPr>
          <w:rFonts w:ascii="Arial" w:cs="Arial" w:eastAsia="Arial" w:hAnsi="Arial"/>
          <w:sz w:val="18"/>
          <w:szCs w:val="18"/>
          <w:color w:val="auto"/>
        </w:rPr>
        <w:t>) or extrapolated to infinity (AUC</w:t>
      </w:r>
      <w:r>
        <w:rPr>
          <w:rFonts w:ascii="Arial" w:cs="Arial" w:eastAsia="Arial" w:hAnsi="Arial"/>
          <w:sz w:val="24"/>
          <w:szCs w:val="24"/>
          <w:color w:val="auto"/>
          <w:vertAlign w:val="subscript"/>
        </w:rPr>
        <w:t>0-∞</w:t>
      </w:r>
      <w:r>
        <w:rPr>
          <w:rFonts w:ascii="Arial" w:cs="Arial" w:eastAsia="Arial" w:hAnsi="Arial"/>
          <w:sz w:val="18"/>
          <w:szCs w:val="18"/>
          <w:color w:val="auto"/>
        </w:rPr>
        <w:t>), and half-life (t</w:t>
      </w:r>
      <w:r>
        <w:rPr>
          <w:rFonts w:ascii="Arial" w:cs="Arial" w:eastAsia="Arial" w:hAnsi="Arial"/>
          <w:sz w:val="24"/>
          <w:szCs w:val="24"/>
          <w:color w:val="auto"/>
          <w:vertAlign w:val="subscript"/>
        </w:rPr>
        <w:t>1/2</w:t>
      </w:r>
      <w:r>
        <w:rPr>
          <w:rFonts w:ascii="Arial" w:cs="Arial" w:eastAsia="Arial" w:hAnsi="Arial"/>
          <w:sz w:val="18"/>
          <w:szCs w:val="18"/>
          <w:color w:val="auto"/>
        </w:rPr>
        <w:t>). Concentrations of all three analytes were measurable in both plasma and urine after administration of each of the six dose levels: 30, 120, 360, 720, 1,080 and 1,440 mg.</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Concentration-time data were obtained after dosing of the six cohorts. Three subjects received AV-101 and three received placebo in each cohort. Plasma concentrations of L-4-Cl-KYN (AV-101) and 7-Cl-KYNA were obtained in addition to urine concentrations of these two analytes. Plasma and urine concentrations of D-4-Cl-KYN also were determined, but will be reported only for the first two cohorts.</w:t>
      </w:r>
    </w:p>
    <w:p>
      <w:pPr>
        <w:spacing w:after="0" w:line="188"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This study was conducted under dose escalation stopping criteria as determined by the FDA of L-4-Cl-KYN mean Cmax and AUC limits of 81,633 ng/mL and 900,486 ng·h/mL, respectively. Although these criteria were not met for the mean data of the 1,440-mg dose, one subject had a Cmax that was slightly greater than the limit of 81,633 ng/mL. Therefore, dose escalation to the planned seventh cohort of 1,800 mg of AV-101 did not occur in this study. However, from a safety perspective, a maximum tolerable dose was not achieved. Also, maximum AUC values at the highest dose level remained substantially lower than the limit.</w:t>
      </w:r>
    </w:p>
    <w:p>
      <w:pPr>
        <w:spacing w:after="0" w:line="14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Concentrations of all three analytes were measurable in both plasma and urine after administration of all dose levels, although many of the samples from the 30-mg dose group had concentrations below the limit of quantification for 7-Cl-KYNA. Plasma concentration-time profiles were consistent with rapid absorption of the oral dose and first-order elimination. The plasma concentration-time profiles were well defined for L-4-Cl-KYN at all dose levels. Maximum concentrations occurred fairly rapidly, with individual values of Tmax ranging from 0.5 to 2 hours, with greater values tending to be in the higher dose groups. Individual t</w:t>
      </w:r>
      <w:r>
        <w:rPr>
          <w:rFonts w:ascii="Arial" w:cs="Arial" w:eastAsia="Arial" w:hAnsi="Arial"/>
          <w:sz w:val="22"/>
          <w:szCs w:val="22"/>
          <w:color w:val="auto"/>
          <w:vertAlign w:val="subscript"/>
        </w:rPr>
        <w:t>1/2</w:t>
      </w:r>
      <w:r>
        <w:rPr>
          <w:rFonts w:ascii="Arial" w:cs="Arial" w:eastAsia="Arial" w:hAnsi="Arial"/>
          <w:sz w:val="16"/>
          <w:szCs w:val="16"/>
          <w:color w:val="auto"/>
        </w:rPr>
        <w:t xml:space="preserve"> values were fairly consistent within cohorts, and mean values ranged from 1.80 to 3.33 hours. Mean t</w:t>
      </w:r>
      <w:r>
        <w:rPr>
          <w:rFonts w:ascii="Arial" w:cs="Arial" w:eastAsia="Arial" w:hAnsi="Arial"/>
          <w:sz w:val="22"/>
          <w:szCs w:val="22"/>
          <w:color w:val="auto"/>
          <w:vertAlign w:val="subscript"/>
        </w:rPr>
        <w:t>1/2</w:t>
      </w:r>
      <w:r>
        <w:rPr>
          <w:rFonts w:ascii="Arial" w:cs="Arial" w:eastAsia="Arial" w:hAnsi="Arial"/>
          <w:sz w:val="16"/>
          <w:szCs w:val="16"/>
          <w:color w:val="auto"/>
        </w:rPr>
        <w:t xml:space="preserve"> values also tended to increase with increasing dose. Mean Cmax and AUC</w:t>
      </w:r>
      <w:r>
        <w:rPr>
          <w:rFonts w:ascii="Arial" w:cs="Arial" w:eastAsia="Arial" w:hAnsi="Arial"/>
          <w:sz w:val="22"/>
          <w:szCs w:val="22"/>
          <w:color w:val="auto"/>
          <w:vertAlign w:val="subscript"/>
        </w:rPr>
        <w:t>0-∞</w:t>
      </w:r>
      <w:r>
        <w:rPr>
          <w:rFonts w:ascii="Arial" w:cs="Arial" w:eastAsia="Arial" w:hAnsi="Arial"/>
          <w:sz w:val="16"/>
          <w:szCs w:val="16"/>
          <w:color w:val="auto"/>
        </w:rPr>
        <w:t xml:space="preserve"> values appeared to be approximately dose proportional except for those of the highest dose group.</w:t>
      </w:r>
    </w:p>
    <w:p>
      <w:pPr>
        <w:spacing w:after="0" w:line="18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7-Cl-KYNA plasma concentration-time profiles were not well defined for the 30-mg dose. Most samples for the 30-mg dose cohort had concentrations below the lower limits of quantification, and t</w:t>
      </w:r>
      <w:r>
        <w:rPr>
          <w:rFonts w:ascii="Arial" w:cs="Arial" w:eastAsia="Arial" w:hAnsi="Arial"/>
          <w:sz w:val="24"/>
          <w:szCs w:val="24"/>
          <w:color w:val="auto"/>
          <w:vertAlign w:val="subscript"/>
        </w:rPr>
        <w:t>1/2</w:t>
      </w:r>
      <w:r>
        <w:rPr>
          <w:rFonts w:ascii="Arial" w:cs="Arial" w:eastAsia="Arial" w:hAnsi="Arial"/>
          <w:sz w:val="18"/>
          <w:szCs w:val="18"/>
          <w:color w:val="auto"/>
        </w:rPr>
        <w:t xml:space="preserve"> values could not be calculated; however, profiles were sufficient after the 120-mg and greater doses to calculate all parameters.</w:t>
      </w:r>
    </w:p>
    <w:p>
      <w:pPr>
        <w:spacing w:after="0" w:line="20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 general, 7-Cl-KYNA maximum concentrations occurred at the same time or later than those for L-4-Cl-KYN, as may be expected since 7-Cl-KYNA is a metabolite of L-4-Cl-KYN. Individual values of Tmax ranged from 0.5 to 2 hours for both analytes. Individual 7-Cl-KYNA t</w:t>
      </w:r>
      <w:r>
        <w:rPr>
          <w:rFonts w:ascii="Arial" w:cs="Arial" w:eastAsia="Arial" w:hAnsi="Arial"/>
          <w:sz w:val="23"/>
          <w:szCs w:val="23"/>
          <w:color w:val="auto"/>
          <w:vertAlign w:val="subscript"/>
        </w:rPr>
        <w:t>1/2</w:t>
      </w:r>
      <w:r>
        <w:rPr>
          <w:rFonts w:ascii="Arial" w:cs="Arial" w:eastAsia="Arial" w:hAnsi="Arial"/>
          <w:sz w:val="17"/>
          <w:szCs w:val="17"/>
          <w:color w:val="auto"/>
        </w:rPr>
        <w:t xml:space="preserve"> values were fairly consistent within cohorts, and mean values ranged from 2.17 to 3.19 hours. Mean t</w:t>
      </w:r>
      <w:r>
        <w:rPr>
          <w:rFonts w:ascii="Arial" w:cs="Arial" w:eastAsia="Arial" w:hAnsi="Arial"/>
          <w:sz w:val="23"/>
          <w:szCs w:val="23"/>
          <w:color w:val="auto"/>
          <w:vertAlign w:val="subscript"/>
        </w:rPr>
        <w:t>1/2</w:t>
      </w:r>
      <w:r>
        <w:rPr>
          <w:rFonts w:ascii="Arial" w:cs="Arial" w:eastAsia="Arial" w:hAnsi="Arial"/>
          <w:sz w:val="17"/>
          <w:szCs w:val="17"/>
          <w:color w:val="auto"/>
        </w:rPr>
        <w:t xml:space="preserve"> values did not appear to be dose-related. Mean 7-Cl-KYNA Cmax values were somewhat dose proportional for the two initial dose groups, but tended to increase in a more than dose-proportional manner. Similarly, mean 7-Cl-KYNA AUC</w:t>
      </w:r>
      <w:r>
        <w:rPr>
          <w:rFonts w:ascii="Arial" w:cs="Arial" w:eastAsia="Arial" w:hAnsi="Arial"/>
          <w:sz w:val="23"/>
          <w:szCs w:val="23"/>
          <w:color w:val="auto"/>
          <w:vertAlign w:val="subscript"/>
        </w:rPr>
        <w:t>0-t</w:t>
      </w:r>
      <w:r>
        <w:rPr>
          <w:rFonts w:ascii="Arial" w:cs="Arial" w:eastAsia="Arial" w:hAnsi="Arial"/>
          <w:sz w:val="17"/>
          <w:szCs w:val="17"/>
          <w:color w:val="auto"/>
        </w:rPr>
        <w:t xml:space="preserve"> values for all dose groups and AUC</w:t>
      </w:r>
      <w:r>
        <w:rPr>
          <w:rFonts w:ascii="Arial" w:cs="Arial" w:eastAsia="Arial" w:hAnsi="Arial"/>
          <w:sz w:val="23"/>
          <w:szCs w:val="23"/>
          <w:color w:val="auto"/>
          <w:vertAlign w:val="subscript"/>
        </w:rPr>
        <w:t>0-∞</w:t>
      </w:r>
      <w:r>
        <w:rPr>
          <w:rFonts w:ascii="Arial" w:cs="Arial" w:eastAsia="Arial" w:hAnsi="Arial"/>
          <w:sz w:val="17"/>
          <w:szCs w:val="17"/>
          <w:color w:val="auto"/>
        </w:rPr>
        <w:t xml:space="preserve"> values for dose groups of 120 mg or greater tended to increase in a more than dose-proportional manner. Mean plasma concentrations of L-4-Cl-KYN (Figure 1) and 7-Cl-KYNA (Figure 2) are depicted for all six cohorts.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As with the 120-mg dose cohort, the plasma concentration-time profiles were well defined for both L-4-Cl-KYN and 7-Cl-KYNA at the four higher dose levels.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Interestingly, the mean concentration-time profiles suggest that maximum concentrations were lower than expected, particularly for 7-Cl-KYNA.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153035</wp:posOffset>
            </wp:positionV>
            <wp:extent cx="6739890" cy="2308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9890" cy="230822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Figure-1. Mean plasma concentrations of L-4-Cl-KYN</w:t>
      </w:r>
    </w:p>
    <w:p>
      <w:pPr>
        <w:spacing w:after="0" w:line="44"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after oral administration of a single dose of AV-101.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40"/>
        <w:spacing w:after="0"/>
        <w:rPr>
          <w:sz w:val="20"/>
          <w:szCs w:val="20"/>
          <w:color w:val="auto"/>
        </w:rPr>
      </w:pPr>
      <w:r>
        <w:rPr>
          <w:rFonts w:ascii="Arial" w:cs="Arial" w:eastAsia="Arial" w:hAnsi="Arial"/>
          <w:sz w:val="16"/>
          <w:szCs w:val="16"/>
          <w:b w:val="1"/>
          <w:bCs w:val="1"/>
          <w:color w:val="auto"/>
        </w:rPr>
        <w:t>Figure 2. Mean plasma concentrations of 7-Cl-KYNA</w:t>
      </w:r>
    </w:p>
    <w:p>
      <w:pPr>
        <w:spacing w:after="0" w:line="44" w:lineRule="exact"/>
        <w:rPr>
          <w:sz w:val="20"/>
          <w:szCs w:val="20"/>
          <w:color w:val="auto"/>
        </w:rPr>
      </w:pPr>
    </w:p>
    <w:p>
      <w:pPr>
        <w:jc w:val="center"/>
        <w:ind w:right="940"/>
        <w:spacing w:after="0"/>
        <w:rPr>
          <w:sz w:val="20"/>
          <w:szCs w:val="20"/>
          <w:color w:val="auto"/>
        </w:rPr>
      </w:pPr>
      <w:r>
        <w:rPr>
          <w:rFonts w:ascii="Arial" w:cs="Arial" w:eastAsia="Arial" w:hAnsi="Arial"/>
          <w:sz w:val="16"/>
          <w:szCs w:val="16"/>
          <w:b w:val="1"/>
          <w:bCs w:val="1"/>
          <w:color w:val="auto"/>
        </w:rPr>
        <w:t>after oral administration of a single dose of AV-101.</w:t>
      </w:r>
    </w:p>
    <w:p>
      <w:pPr>
        <w:spacing w:after="0" w:line="200" w:lineRule="exact"/>
        <w:rPr>
          <w:sz w:val="20"/>
          <w:szCs w:val="20"/>
          <w:color w:val="auto"/>
        </w:rPr>
      </w:pPr>
    </w:p>
    <w:p>
      <w:pPr>
        <w:sectPr>
          <w:pgSz w:w="11900" w:h="16838" w:orient="portrait"/>
          <w:cols w:equalWidth="0" w:num="2">
            <w:col w:w="5760" w:space="720"/>
            <w:col w:w="4940"/>
          </w:cols>
          <w:pgMar w:left="240" w:top="483"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Dose Proportionality</w:t>
      </w:r>
    </w:p>
    <w:p>
      <w:pPr>
        <w:spacing w:after="0" w:line="14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L-4-Cl-KYN, mean Cmax and AUC</w:t>
      </w:r>
      <w:r>
        <w:rPr>
          <w:rFonts w:ascii="Arial" w:cs="Arial" w:eastAsia="Arial" w:hAnsi="Arial"/>
          <w:sz w:val="24"/>
          <w:szCs w:val="24"/>
          <w:color w:val="auto"/>
          <w:vertAlign w:val="subscript"/>
        </w:rPr>
        <w:t>0-∞</w:t>
      </w:r>
      <w:r>
        <w:rPr>
          <w:rFonts w:ascii="Arial" w:cs="Arial" w:eastAsia="Arial" w:hAnsi="Arial"/>
          <w:sz w:val="18"/>
          <w:szCs w:val="18"/>
          <w:color w:val="auto"/>
        </w:rPr>
        <w:t xml:space="preserve"> values appeared to be approximately dose proportional except for those of the highest dose group. These values are presented by dose in Figure 3 (Cmax) and in Figure 5-4 (AUC</w:t>
      </w:r>
      <w:r>
        <w:rPr>
          <w:rFonts w:ascii="Arial" w:cs="Arial" w:eastAsia="Arial" w:hAnsi="Arial"/>
          <w:sz w:val="24"/>
          <w:szCs w:val="24"/>
          <w:color w:val="auto"/>
          <w:vertAlign w:val="subscript"/>
        </w:rPr>
        <w:t>0-∞</w:t>
      </w:r>
      <w:r>
        <w:rPr>
          <w:rFonts w:ascii="Arial" w:cs="Arial" w:eastAsia="Arial" w:hAnsi="Arial"/>
          <w:sz w:val="18"/>
          <w:szCs w:val="18"/>
          <w:color w:val="auto"/>
        </w:rPr>
        <w:t>) below. Figure 3 indicates that for L-4-Cl-KYN the mean Cmax values are approximately dose linear and proportional up to a dose of 1,080 mg of AV-101. After a dose of 1,440 mg, the mean Cmax values increased only 8.8% while the dose increased by 33.3%. This is evident in the deviation of the graph from linearity at the highest dose.</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Although the L-4-Cl-KYN mean Cmax values were not linear after the 1,080-mg dose, AUC</w:t>
      </w:r>
      <w:r>
        <w:rPr>
          <w:rFonts w:ascii="Arial" w:cs="Arial" w:eastAsia="Arial" w:hAnsi="Arial"/>
          <w:sz w:val="24"/>
          <w:szCs w:val="24"/>
          <w:color w:val="auto"/>
          <w:vertAlign w:val="subscript"/>
        </w:rPr>
        <w:t>0-∞</w:t>
      </w:r>
      <w:r>
        <w:rPr>
          <w:rFonts w:ascii="Arial" w:cs="Arial" w:eastAsia="Arial" w:hAnsi="Arial"/>
          <w:sz w:val="18"/>
          <w:szCs w:val="18"/>
          <w:color w:val="auto"/>
        </w:rPr>
        <w:t xml:space="preserve"> values are approximately linear and dose proportional throughout the dose range. The nonlinearity of Cmax values at the highest dose could be a result of an outlier or simply variability in a small number of subjects (Cmax values of 44,600, 54,900, and 89,500 ng/mL were observed after the dose of 1,040-mg AV-101), it suggests that the rate or extent of absorption could be limited. The fact that AUC</w:t>
      </w:r>
      <w:r>
        <w:rPr>
          <w:rFonts w:ascii="Arial" w:cs="Arial" w:eastAsia="Arial" w:hAnsi="Arial"/>
          <w:sz w:val="24"/>
          <w:szCs w:val="24"/>
          <w:color w:val="auto"/>
          <w:vertAlign w:val="subscript"/>
        </w:rPr>
        <w:t>0-∞</w:t>
      </w:r>
      <w:r>
        <w:rPr>
          <w:rFonts w:ascii="Arial" w:cs="Arial" w:eastAsia="Arial" w:hAnsi="Arial"/>
          <w:sz w:val="18"/>
          <w:szCs w:val="18"/>
          <w:color w:val="auto"/>
        </w:rPr>
        <w:t xml:space="preserve"> values were linear throughout the dose range suggests that the extent of absorption was not a limitation, but the rate of absorption may be limited at doses above 1,080 mg.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type w:val="continuous"/>
        </w:sectPr>
      </w:pPr>
    </w:p>
    <w:bookmarkStart w:id="13" w:name="page14"/>
    <w:bookmarkEnd w:id="13"/>
    <w:p>
      <w:pPr>
        <w:jc w:val="both"/>
        <w:spacing w:after="0" w:line="232" w:lineRule="auto"/>
        <w:rPr>
          <w:sz w:val="20"/>
          <w:szCs w:val="20"/>
          <w:color w:val="auto"/>
        </w:rPr>
      </w:pPr>
      <w:r>
        <w:rPr>
          <w:rFonts w:ascii="Arial" w:cs="Arial" w:eastAsia="Arial" w:hAnsi="Arial"/>
          <w:sz w:val="18"/>
          <w:szCs w:val="18"/>
          <w:color w:val="auto"/>
        </w:rPr>
        <w:t>The lack of linearity of the L-4-Cl-KYN mean Cmax values would be expected to have a similar effect on the 7-Cl-KYNA mean Cmax values. Similarly, because the extent of absorption of L-4-Cl-KYN was linear throughout the dose range, exposure to 7-Cl-KYNA would be expected to also be linear. Mean values of 7-Cl-KYNA are presented by dose in Figure 5 (Cmax) and in Figure 5-6 (AUC</w:t>
      </w:r>
      <w:r>
        <w:rPr>
          <w:rFonts w:ascii="Arial" w:cs="Arial" w:eastAsia="Arial" w:hAnsi="Arial"/>
          <w:sz w:val="24"/>
          <w:szCs w:val="24"/>
          <w:color w:val="auto"/>
          <w:vertAlign w:val="subscript"/>
        </w:rPr>
        <w:t>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6840220" cy="1990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0220" cy="199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spacing w:after="0"/>
        <w:tabs>
          <w:tab w:leader="none" w:pos="5740" w:val="left"/>
        </w:tabs>
        <w:rPr>
          <w:sz w:val="20"/>
          <w:szCs w:val="20"/>
          <w:color w:val="auto"/>
        </w:rPr>
      </w:pPr>
      <w:r>
        <w:rPr>
          <w:rFonts w:ascii="Arial" w:cs="Arial" w:eastAsia="Arial" w:hAnsi="Arial"/>
          <w:sz w:val="18"/>
          <w:szCs w:val="18"/>
          <w:b w:val="1"/>
          <w:bCs w:val="1"/>
          <w:color w:val="auto"/>
        </w:rPr>
        <w:t>Figure 3. Mean C</w:t>
      </w:r>
      <w:r>
        <w:rPr>
          <w:rFonts w:ascii="Arial" w:cs="Arial" w:eastAsia="Arial" w:hAnsi="Arial"/>
          <w:sz w:val="24"/>
          <w:szCs w:val="24"/>
          <w:b w:val="1"/>
          <w:bCs w:val="1"/>
          <w:color w:val="auto"/>
          <w:vertAlign w:val="subscript"/>
        </w:rPr>
        <w:t>max</w:t>
      </w:r>
      <w:r>
        <w:rPr>
          <w:rFonts w:ascii="Arial" w:cs="Arial" w:eastAsia="Arial" w:hAnsi="Arial"/>
          <w:sz w:val="18"/>
          <w:szCs w:val="18"/>
          <w:b w:val="1"/>
          <w:bCs w:val="1"/>
          <w:color w:val="auto"/>
        </w:rPr>
        <w:t xml:space="preserve"> values of L-4-Cl-KYN by dose of AV-101.</w:t>
      </w:r>
      <w:r>
        <w:rPr>
          <w:sz w:val="20"/>
          <w:szCs w:val="20"/>
          <w:color w:val="auto"/>
        </w:rPr>
        <w:tab/>
      </w:r>
      <w:r>
        <w:rPr>
          <w:rFonts w:ascii="Arial" w:cs="Arial" w:eastAsia="Arial" w:hAnsi="Arial"/>
          <w:sz w:val="16"/>
          <w:szCs w:val="16"/>
          <w:b w:val="1"/>
          <w:bCs w:val="1"/>
          <w:color w:val="auto"/>
        </w:rPr>
        <w:t>Figure 4. Mean AUC</w:t>
      </w:r>
      <w:r>
        <w:rPr>
          <w:rFonts w:ascii="Arial" w:cs="Arial" w:eastAsia="Arial" w:hAnsi="Arial"/>
          <w:sz w:val="22"/>
          <w:szCs w:val="22"/>
          <w:b w:val="1"/>
          <w:bCs w:val="1"/>
          <w:color w:val="auto"/>
          <w:vertAlign w:val="subscript"/>
        </w:rPr>
        <w:t>0-∞</w:t>
      </w:r>
      <w:r>
        <w:rPr>
          <w:rFonts w:ascii="Arial" w:cs="Arial" w:eastAsia="Arial" w:hAnsi="Arial"/>
          <w:sz w:val="16"/>
          <w:szCs w:val="16"/>
          <w:b w:val="1"/>
          <w:bCs w:val="1"/>
          <w:color w:val="auto"/>
        </w:rPr>
        <w:t xml:space="preserve"> values of L-4-Cl-KYN by dose of AV-101.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300355</wp:posOffset>
            </wp:positionV>
            <wp:extent cx="6840220" cy="2032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0220" cy="203200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Figure 5. Mean C</w:t>
      </w:r>
      <w:r>
        <w:rPr>
          <w:rFonts w:ascii="Arial" w:cs="Arial" w:eastAsia="Arial" w:hAnsi="Arial"/>
          <w:sz w:val="22"/>
          <w:szCs w:val="22"/>
          <w:b w:val="1"/>
          <w:bCs w:val="1"/>
          <w:color w:val="auto"/>
          <w:vertAlign w:val="subscript"/>
        </w:rPr>
        <w:t>max</w:t>
      </w:r>
      <w:r>
        <w:rPr>
          <w:rFonts w:ascii="Arial" w:cs="Arial" w:eastAsia="Arial" w:hAnsi="Arial"/>
          <w:sz w:val="16"/>
          <w:szCs w:val="16"/>
          <w:b w:val="1"/>
          <w:bCs w:val="1"/>
          <w:color w:val="auto"/>
        </w:rPr>
        <w:t xml:space="preserve"> values of 7-Cl-KYNA by dose of AV-101.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Figure 6. Mean AUC</w:t>
      </w:r>
      <w:r>
        <w:rPr>
          <w:rFonts w:ascii="Arial" w:cs="Arial" w:eastAsia="Arial" w:hAnsi="Arial"/>
          <w:sz w:val="22"/>
          <w:szCs w:val="22"/>
          <w:b w:val="1"/>
          <w:bCs w:val="1"/>
          <w:color w:val="auto"/>
          <w:vertAlign w:val="subscript"/>
        </w:rPr>
        <w:t>0-∞</w:t>
      </w:r>
      <w:r>
        <w:rPr>
          <w:rFonts w:ascii="Arial" w:cs="Arial" w:eastAsia="Arial" w:hAnsi="Arial"/>
          <w:sz w:val="16"/>
          <w:szCs w:val="16"/>
          <w:b w:val="1"/>
          <w:bCs w:val="1"/>
          <w:color w:val="auto"/>
        </w:rPr>
        <w:t xml:space="preserve"> values of 7-Cl-KYNA by dose of AV-101.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74930</wp:posOffset>
            </wp:positionV>
            <wp:extent cx="725424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2">
            <w:col w:w="5100" w:space="460"/>
            <w:col w:w="5860"/>
          </w:cols>
          <w:pgMar w:left="240" w:top="483"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Phase 1a Safety Summary</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Nine subjects experienced 10 AEs, with four of the AEs occurring in subjects in the placebo group and two of the AEs occurring for one subject receiving 30 mg AV-101. For the AEs occurring in the AV-101–treated subjects, there were no meaningful differences in the number of AEs observed at the 30-mg dose (2 AEs) when compared with that at the 120-mg dose (1 AE), 360-mg dose (1 AE), 720-mg dose (0 AEs), 1,080-mg dose (0 AEs), or 1,440-mg dose (2 AEs). Eight of 10 AEs (80%) were considered mild, and two (20%, headache and gastroenteritis) were considered moderate. Four subjects on AV-101, one each in Cohorts 1 through 4 and two subjects on placebo in Cohort 5 reported AEs of headaches. Five headaches were mild with no concomitant treatment, and one was moderate with concomitant drug therapy administered. Most completely resolved the same day as onset and were considered not serious. One headache started the day after dosing and resolved approximately one week later on the same day as the concomitant drug therapy was administered. One case of contact dermatitis bilateral lower extremities was reported in Cohort 2 on placebo that was ongoing. One of the subjects with the headache also reported an AE of gastroenteritis that was unrelated to AV-101. This AE was considered moderate but did not require any drug therapy and was completely resolved within 2 days of onset. This AE was also considered not serious.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though these safety studies were not designed to quantitatively assess effects on mood, during the interviews 2 out of 3 subjects who received the highest dose (1440 mg) of AV-101, voluntarily acknowledged positive effects on mood. Similar comments were not made by any of the 18 placebo group subjects. One incident lasted approximately 15 minutes after study drug dosing, and the other event of euphoria lasted approximately 3 hours after study drug dosing. There were no other reported AEs for this cohort. The events resolved and were considered not serious.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Summary of Adverse Events, Phase 1a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Cohorts (mg)</w:t>
            </w:r>
          </w:p>
        </w:tc>
        <w:tc>
          <w:tcPr>
            <w:tcW w:w="1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40" w:type="dxa"/>
            <w:vAlign w:val="bottom"/>
          </w:tcPr>
          <w:p>
            <w:pPr>
              <w:ind w:left="240"/>
              <w:spacing w:after="0" w:line="192" w:lineRule="exact"/>
              <w:rPr>
                <w:sz w:val="20"/>
                <w:szCs w:val="20"/>
                <w:color w:val="auto"/>
              </w:rPr>
            </w:pPr>
            <w:r>
              <w:rPr>
                <w:rFonts w:ascii="Arial" w:cs="Arial" w:eastAsia="Arial" w:hAnsi="Arial"/>
                <w:sz w:val="18"/>
                <w:szCs w:val="18"/>
                <w:b w:val="1"/>
                <w:bCs w:val="1"/>
                <w:color w:val="auto"/>
              </w:rPr>
              <w:t>MedDRA SOC and</w:t>
            </w:r>
          </w:p>
        </w:tc>
        <w:tc>
          <w:tcPr>
            <w:tcW w:w="1220" w:type="dxa"/>
            <w:vAlign w:val="bottom"/>
          </w:tcPr>
          <w:p>
            <w:pPr>
              <w:ind w:left="260"/>
              <w:spacing w:after="0" w:line="192" w:lineRule="exact"/>
              <w:rPr>
                <w:sz w:val="20"/>
                <w:szCs w:val="20"/>
                <w:color w:val="auto"/>
              </w:rPr>
            </w:pPr>
            <w:r>
              <w:rPr>
                <w:rFonts w:ascii="Arial" w:cs="Arial" w:eastAsia="Arial" w:hAnsi="Arial"/>
                <w:sz w:val="18"/>
                <w:szCs w:val="18"/>
                <w:b w:val="1"/>
                <w:bCs w:val="1"/>
                <w:color w:val="auto"/>
              </w:rPr>
              <w:t>Placebo</w:t>
            </w:r>
          </w:p>
        </w:tc>
        <w:tc>
          <w:tcPr>
            <w:tcW w:w="126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89"/>
              </w:rPr>
              <w:t>30</w:t>
            </w:r>
          </w:p>
        </w:tc>
        <w:tc>
          <w:tcPr>
            <w:tcW w:w="112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86"/>
              </w:rPr>
              <w:t>120</w:t>
            </w:r>
          </w:p>
        </w:tc>
        <w:tc>
          <w:tcPr>
            <w:tcW w:w="104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86"/>
              </w:rPr>
              <w:t>360</w:t>
            </w:r>
          </w:p>
        </w:tc>
        <w:tc>
          <w:tcPr>
            <w:tcW w:w="116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86"/>
              </w:rPr>
              <w:t>720</w:t>
            </w:r>
          </w:p>
        </w:tc>
        <w:tc>
          <w:tcPr>
            <w:tcW w:w="116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88"/>
              </w:rPr>
              <w:t>1,080</w:t>
            </w:r>
          </w:p>
        </w:tc>
        <w:tc>
          <w:tcPr>
            <w:tcW w:w="122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88"/>
              </w:rPr>
              <w:t>1,440</w:t>
            </w:r>
          </w:p>
        </w:tc>
        <w:tc>
          <w:tcPr>
            <w:tcW w:w="120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91"/>
              </w:rPr>
              <w:t>Overall</w:t>
            </w:r>
          </w:p>
        </w:tc>
        <w:tc>
          <w:tcPr>
            <w:tcW w:w="0" w:type="dxa"/>
            <w:vAlign w:val="bottom"/>
          </w:tcPr>
          <w:p>
            <w:pPr>
              <w:spacing w:after="0"/>
              <w:rPr>
                <w:sz w:val="1"/>
                <w:szCs w:val="1"/>
                <w:color w:val="auto"/>
              </w:rPr>
            </w:pPr>
          </w:p>
        </w:tc>
      </w:tr>
      <w:tr>
        <w:trPr>
          <w:trHeight w:val="235"/>
        </w:trPr>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Preferred Term</w:t>
            </w: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 = 18)</w:t>
            </w:r>
          </w:p>
        </w:tc>
        <w:tc>
          <w:tcPr>
            <w:tcW w:w="12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(n = 3)</w:t>
            </w: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 = 3)</w:t>
            </w: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(n = 3)</w:t>
            </w: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(n = 3)</w:t>
            </w: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 = 3)</w:t>
            </w: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 = 3)</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 = 36)</w:t>
            </w: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Infections and</w:t>
            </w:r>
          </w:p>
        </w:tc>
        <w:tc>
          <w:tcPr>
            <w:tcW w:w="1220" w:type="dxa"/>
            <w:vAlign w:val="bottom"/>
            <w:shd w:val="clear" w:color="auto" w:fill="CCEEFF"/>
          </w:tcPr>
          <w:p>
            <w:pPr>
              <w:jc w:val="center"/>
              <w:ind w:right="32"/>
              <w:spacing w:after="0" w:line="192" w:lineRule="exact"/>
              <w:rPr>
                <w:sz w:val="20"/>
                <w:szCs w:val="20"/>
                <w:color w:val="auto"/>
              </w:rPr>
            </w:pPr>
            <w:r>
              <w:rPr>
                <w:rFonts w:ascii="Arial" w:cs="Arial" w:eastAsia="Arial" w:hAnsi="Arial"/>
                <w:sz w:val="18"/>
                <w:szCs w:val="18"/>
                <w:color w:val="auto"/>
                <w:w w:val="99"/>
              </w:rPr>
              <w:t>0</w:t>
            </w:r>
          </w:p>
        </w:tc>
        <w:tc>
          <w:tcPr>
            <w:tcW w:w="12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1</w:t>
            </w:r>
          </w:p>
        </w:tc>
        <w:tc>
          <w:tcPr>
            <w:tcW w:w="112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0</w:t>
            </w:r>
          </w:p>
        </w:tc>
        <w:tc>
          <w:tcPr>
            <w:tcW w:w="104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99"/>
              </w:rPr>
              <w:t>0</w:t>
            </w:r>
          </w:p>
        </w:tc>
        <w:tc>
          <w:tcPr>
            <w:tcW w:w="11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0</w:t>
            </w:r>
          </w:p>
        </w:tc>
        <w:tc>
          <w:tcPr>
            <w:tcW w:w="11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99"/>
              </w:rPr>
              <w:t>0</w:t>
            </w:r>
          </w:p>
        </w:tc>
        <w:tc>
          <w:tcPr>
            <w:tcW w:w="122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0</w:t>
            </w:r>
          </w:p>
        </w:tc>
        <w:tc>
          <w:tcPr>
            <w:tcW w:w="120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5"/>
        </w:trPr>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Infestations</w:t>
            </w:r>
          </w:p>
        </w:tc>
        <w:tc>
          <w:tcPr>
            <w:tcW w:w="1220" w:type="dxa"/>
            <w:vAlign w:val="bottom"/>
            <w:tcBorders>
              <w:bottom w:val="single" w:sz="8" w:color="auto"/>
            </w:tcBorders>
            <w:shd w:val="clear" w:color="auto" w:fill="CCEEFF"/>
          </w:tcPr>
          <w:p>
            <w:pPr>
              <w:jc w:val="center"/>
              <w:ind w:right="32"/>
              <w:spacing w:after="0"/>
              <w:rPr>
                <w:sz w:val="20"/>
                <w:szCs w:val="20"/>
                <w:color w:val="auto"/>
              </w:rPr>
            </w:pPr>
            <w:r>
              <w:rPr>
                <w:rFonts w:ascii="Arial" w:cs="Arial" w:eastAsia="Arial" w:hAnsi="Arial"/>
                <w:sz w:val="18"/>
                <w:szCs w:val="18"/>
                <w:color w:val="auto"/>
                <w:w w:val="89"/>
              </w:rPr>
              <w:t>(0%)</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(33.3%)</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w:t>
            </w:r>
          </w:p>
        </w:tc>
        <w:tc>
          <w:tcPr>
            <w:tcW w:w="0" w:type="dxa"/>
            <w:vAlign w:val="bottom"/>
          </w:tcPr>
          <w:p>
            <w:pPr>
              <w:spacing w:after="0"/>
              <w:rPr>
                <w:sz w:val="1"/>
                <w:szCs w:val="1"/>
                <w:color w:val="auto"/>
              </w:rPr>
            </w:pPr>
          </w:p>
        </w:tc>
      </w:tr>
      <w:tr>
        <w:trPr>
          <w:trHeight w:val="198"/>
        </w:trPr>
        <w:tc>
          <w:tcPr>
            <w:tcW w:w="2040" w:type="dxa"/>
            <w:vAlign w:val="bottom"/>
            <w:vMerge w:val="restart"/>
          </w:tcPr>
          <w:p>
            <w:pPr>
              <w:ind w:left="220"/>
              <w:spacing w:after="0"/>
              <w:rPr>
                <w:sz w:val="20"/>
                <w:szCs w:val="20"/>
                <w:color w:val="auto"/>
              </w:rPr>
            </w:pPr>
            <w:r>
              <w:rPr>
                <w:rFonts w:ascii="Arial" w:cs="Arial" w:eastAsia="Arial" w:hAnsi="Arial"/>
                <w:sz w:val="18"/>
                <w:szCs w:val="18"/>
                <w:color w:val="auto"/>
              </w:rPr>
              <w:t>Gastroenteritis</w:t>
            </w:r>
          </w:p>
        </w:tc>
        <w:tc>
          <w:tcPr>
            <w:tcW w:w="1220" w:type="dxa"/>
            <w:vAlign w:val="bottom"/>
          </w:tcPr>
          <w:p>
            <w:pPr>
              <w:jc w:val="center"/>
              <w:ind w:right="32"/>
              <w:spacing w:after="0" w:line="198" w:lineRule="exact"/>
              <w:rPr>
                <w:sz w:val="20"/>
                <w:szCs w:val="20"/>
                <w:color w:val="auto"/>
              </w:rPr>
            </w:pPr>
            <w:r>
              <w:rPr>
                <w:rFonts w:ascii="Arial" w:cs="Arial" w:eastAsia="Arial" w:hAnsi="Arial"/>
                <w:sz w:val="18"/>
                <w:szCs w:val="18"/>
                <w:color w:val="auto"/>
                <w:w w:val="99"/>
              </w:rPr>
              <w:t>0</w:t>
            </w:r>
          </w:p>
        </w:tc>
        <w:tc>
          <w:tcPr>
            <w:tcW w:w="1260" w:type="dxa"/>
            <w:vAlign w:val="bottom"/>
          </w:tcPr>
          <w:p>
            <w:pPr>
              <w:jc w:val="center"/>
              <w:spacing w:after="0" w:line="198" w:lineRule="exact"/>
              <w:rPr>
                <w:sz w:val="20"/>
                <w:szCs w:val="20"/>
                <w:color w:val="auto"/>
              </w:rPr>
            </w:pPr>
            <w:r>
              <w:rPr>
                <w:rFonts w:ascii="Arial" w:cs="Arial" w:eastAsia="Arial" w:hAnsi="Arial"/>
                <w:sz w:val="18"/>
                <w:szCs w:val="18"/>
                <w:color w:val="auto"/>
                <w:w w:val="79"/>
              </w:rPr>
              <w:t>1</w:t>
            </w:r>
          </w:p>
        </w:tc>
        <w:tc>
          <w:tcPr>
            <w:tcW w:w="1120" w:type="dxa"/>
            <w:vAlign w:val="bottom"/>
          </w:tcPr>
          <w:p>
            <w:pPr>
              <w:jc w:val="center"/>
              <w:spacing w:after="0" w:line="198" w:lineRule="exact"/>
              <w:rPr>
                <w:sz w:val="20"/>
                <w:szCs w:val="20"/>
                <w:color w:val="auto"/>
              </w:rPr>
            </w:pPr>
            <w:r>
              <w:rPr>
                <w:rFonts w:ascii="Arial" w:cs="Arial" w:eastAsia="Arial" w:hAnsi="Arial"/>
                <w:sz w:val="18"/>
                <w:szCs w:val="18"/>
                <w:color w:val="auto"/>
                <w:w w:val="79"/>
              </w:rPr>
              <w:t>0</w:t>
            </w:r>
          </w:p>
        </w:tc>
        <w:tc>
          <w:tcPr>
            <w:tcW w:w="1040" w:type="dxa"/>
            <w:vAlign w:val="bottom"/>
          </w:tcPr>
          <w:p>
            <w:pPr>
              <w:jc w:val="center"/>
              <w:spacing w:after="0" w:line="198" w:lineRule="exact"/>
              <w:rPr>
                <w:sz w:val="20"/>
                <w:szCs w:val="20"/>
                <w:color w:val="auto"/>
              </w:rPr>
            </w:pPr>
            <w:r>
              <w:rPr>
                <w:rFonts w:ascii="Arial" w:cs="Arial" w:eastAsia="Arial" w:hAnsi="Arial"/>
                <w:sz w:val="18"/>
                <w:szCs w:val="18"/>
                <w:color w:val="auto"/>
                <w:w w:val="99"/>
              </w:rPr>
              <w:t>0</w:t>
            </w:r>
          </w:p>
        </w:tc>
        <w:tc>
          <w:tcPr>
            <w:tcW w:w="1160" w:type="dxa"/>
            <w:vAlign w:val="bottom"/>
          </w:tcPr>
          <w:p>
            <w:pPr>
              <w:jc w:val="center"/>
              <w:spacing w:after="0" w:line="198" w:lineRule="exact"/>
              <w:rPr>
                <w:sz w:val="20"/>
                <w:szCs w:val="20"/>
                <w:color w:val="auto"/>
              </w:rPr>
            </w:pPr>
            <w:r>
              <w:rPr>
                <w:rFonts w:ascii="Arial" w:cs="Arial" w:eastAsia="Arial" w:hAnsi="Arial"/>
                <w:sz w:val="18"/>
                <w:szCs w:val="18"/>
                <w:color w:val="auto"/>
                <w:w w:val="79"/>
              </w:rPr>
              <w:t>0</w:t>
            </w:r>
          </w:p>
        </w:tc>
        <w:tc>
          <w:tcPr>
            <w:tcW w:w="1160" w:type="dxa"/>
            <w:vAlign w:val="bottom"/>
          </w:tcPr>
          <w:p>
            <w:pPr>
              <w:jc w:val="center"/>
              <w:spacing w:after="0" w:line="198" w:lineRule="exact"/>
              <w:rPr>
                <w:sz w:val="20"/>
                <w:szCs w:val="20"/>
                <w:color w:val="auto"/>
              </w:rPr>
            </w:pPr>
            <w:r>
              <w:rPr>
                <w:rFonts w:ascii="Arial" w:cs="Arial" w:eastAsia="Arial" w:hAnsi="Arial"/>
                <w:sz w:val="18"/>
                <w:szCs w:val="18"/>
                <w:color w:val="auto"/>
                <w:w w:val="99"/>
              </w:rPr>
              <w:t>0</w:t>
            </w:r>
          </w:p>
        </w:tc>
        <w:tc>
          <w:tcPr>
            <w:tcW w:w="1220" w:type="dxa"/>
            <w:vAlign w:val="bottom"/>
          </w:tcPr>
          <w:p>
            <w:pPr>
              <w:jc w:val="center"/>
              <w:spacing w:after="0" w:line="198" w:lineRule="exact"/>
              <w:rPr>
                <w:sz w:val="20"/>
                <w:szCs w:val="20"/>
                <w:color w:val="auto"/>
              </w:rPr>
            </w:pPr>
            <w:r>
              <w:rPr>
                <w:rFonts w:ascii="Arial" w:cs="Arial" w:eastAsia="Arial" w:hAnsi="Arial"/>
                <w:sz w:val="18"/>
                <w:szCs w:val="18"/>
                <w:color w:val="auto"/>
                <w:w w:val="79"/>
              </w:rPr>
              <w:t>0</w:t>
            </w:r>
          </w:p>
        </w:tc>
        <w:tc>
          <w:tcPr>
            <w:tcW w:w="1200" w:type="dxa"/>
            <w:vAlign w:val="bottom"/>
          </w:tcPr>
          <w:p>
            <w:pPr>
              <w:jc w:val="center"/>
              <w:spacing w:after="0" w:line="198"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17"/>
        </w:trPr>
        <w:tc>
          <w:tcPr>
            <w:tcW w:w="2040" w:type="dxa"/>
            <w:vAlign w:val="bottom"/>
            <w:vMerge w:val="continue"/>
          </w:tcPr>
          <w:p>
            <w:pPr>
              <w:spacing w:after="0"/>
              <w:rPr>
                <w:sz w:val="10"/>
                <w:szCs w:val="10"/>
                <w:color w:val="auto"/>
              </w:rPr>
            </w:pPr>
          </w:p>
        </w:tc>
        <w:tc>
          <w:tcPr>
            <w:tcW w:w="1220" w:type="dxa"/>
            <w:vAlign w:val="bottom"/>
            <w:vMerge w:val="restart"/>
          </w:tcPr>
          <w:p>
            <w:pPr>
              <w:jc w:val="center"/>
              <w:ind w:right="32"/>
              <w:spacing w:after="0"/>
              <w:rPr>
                <w:sz w:val="20"/>
                <w:szCs w:val="20"/>
                <w:color w:val="auto"/>
              </w:rPr>
            </w:pPr>
            <w:r>
              <w:rPr>
                <w:rFonts w:ascii="Arial" w:cs="Arial" w:eastAsia="Arial" w:hAnsi="Arial"/>
                <w:sz w:val="18"/>
                <w:szCs w:val="18"/>
                <w:color w:val="auto"/>
                <w:w w:val="89"/>
              </w:rPr>
              <w:t>(0%)</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8"/>
              </w:rPr>
              <w:t>(33.3%)</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9"/>
              </w:rPr>
              <w:t>(0%)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9"/>
              </w:rPr>
              <w:t>(0%)</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(2.8%)</w:t>
            </w:r>
          </w:p>
        </w:tc>
        <w:tc>
          <w:tcPr>
            <w:tcW w:w="0" w:type="dxa"/>
            <w:vAlign w:val="bottom"/>
          </w:tcPr>
          <w:p>
            <w:pPr>
              <w:spacing w:after="0"/>
              <w:rPr>
                <w:sz w:val="1"/>
                <w:szCs w:val="1"/>
                <w:color w:val="auto"/>
              </w:rPr>
            </w:pPr>
          </w:p>
        </w:tc>
      </w:tr>
      <w:tr>
        <w:trPr>
          <w:trHeight w:val="112"/>
        </w:trPr>
        <w:tc>
          <w:tcPr>
            <w:tcW w:w="20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126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12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Nervous System</w:t>
            </w:r>
          </w:p>
        </w:tc>
        <w:tc>
          <w:tcPr>
            <w:tcW w:w="1220" w:type="dxa"/>
            <w:vAlign w:val="bottom"/>
            <w:shd w:val="clear" w:color="auto" w:fill="CCEEFF"/>
          </w:tcPr>
          <w:p>
            <w:pPr>
              <w:jc w:val="center"/>
              <w:ind w:right="32"/>
              <w:spacing w:after="0" w:line="192" w:lineRule="exact"/>
              <w:rPr>
                <w:sz w:val="20"/>
                <w:szCs w:val="20"/>
                <w:color w:val="auto"/>
              </w:rPr>
            </w:pPr>
            <w:r>
              <w:rPr>
                <w:rFonts w:ascii="Arial" w:cs="Arial" w:eastAsia="Arial" w:hAnsi="Arial"/>
                <w:sz w:val="18"/>
                <w:szCs w:val="18"/>
                <w:color w:val="auto"/>
                <w:w w:val="99"/>
              </w:rPr>
              <w:t>1</w:t>
            </w:r>
          </w:p>
        </w:tc>
        <w:tc>
          <w:tcPr>
            <w:tcW w:w="12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1</w:t>
            </w:r>
          </w:p>
        </w:tc>
        <w:tc>
          <w:tcPr>
            <w:tcW w:w="112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1</w:t>
            </w:r>
          </w:p>
        </w:tc>
        <w:tc>
          <w:tcPr>
            <w:tcW w:w="104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99"/>
              </w:rPr>
              <w:t>0</w:t>
            </w:r>
          </w:p>
        </w:tc>
        <w:tc>
          <w:tcPr>
            <w:tcW w:w="11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0</w:t>
            </w:r>
          </w:p>
        </w:tc>
        <w:tc>
          <w:tcPr>
            <w:tcW w:w="11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99"/>
              </w:rPr>
              <w:t>0</w:t>
            </w:r>
          </w:p>
        </w:tc>
        <w:tc>
          <w:tcPr>
            <w:tcW w:w="122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0</w:t>
            </w:r>
          </w:p>
        </w:tc>
        <w:tc>
          <w:tcPr>
            <w:tcW w:w="120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35"/>
        </w:trPr>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Disorders</w:t>
            </w:r>
          </w:p>
        </w:tc>
        <w:tc>
          <w:tcPr>
            <w:tcW w:w="1220" w:type="dxa"/>
            <w:vAlign w:val="bottom"/>
            <w:tcBorders>
              <w:bottom w:val="single" w:sz="8" w:color="auto"/>
            </w:tcBorders>
            <w:shd w:val="clear" w:color="auto" w:fill="CCEEFF"/>
          </w:tcPr>
          <w:p>
            <w:pPr>
              <w:jc w:val="center"/>
              <w:ind w:right="12"/>
              <w:spacing w:after="0"/>
              <w:rPr>
                <w:sz w:val="20"/>
                <w:szCs w:val="20"/>
                <w:color w:val="auto"/>
              </w:rPr>
            </w:pPr>
            <w:r>
              <w:rPr>
                <w:rFonts w:ascii="Arial" w:cs="Arial" w:eastAsia="Arial" w:hAnsi="Arial"/>
                <w:sz w:val="18"/>
                <w:szCs w:val="18"/>
                <w:color w:val="auto"/>
                <w:w w:val="90"/>
              </w:rPr>
              <w:t>(5.6%)</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(33.3%)</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(33.3%)</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(8.3%)</w:t>
            </w:r>
          </w:p>
        </w:tc>
        <w:tc>
          <w:tcPr>
            <w:tcW w:w="0" w:type="dxa"/>
            <w:vAlign w:val="bottom"/>
          </w:tcPr>
          <w:p>
            <w:pPr>
              <w:spacing w:after="0"/>
              <w:rPr>
                <w:sz w:val="1"/>
                <w:szCs w:val="1"/>
                <w:color w:val="auto"/>
              </w:rPr>
            </w:pPr>
          </w:p>
        </w:tc>
      </w:tr>
      <w:tr>
        <w:trPr>
          <w:trHeight w:val="198"/>
        </w:trPr>
        <w:tc>
          <w:tcPr>
            <w:tcW w:w="2040" w:type="dxa"/>
            <w:vAlign w:val="bottom"/>
            <w:vMerge w:val="restart"/>
          </w:tcPr>
          <w:p>
            <w:pPr>
              <w:ind w:left="220"/>
              <w:spacing w:after="0"/>
              <w:rPr>
                <w:sz w:val="20"/>
                <w:szCs w:val="20"/>
                <w:color w:val="auto"/>
              </w:rPr>
            </w:pPr>
            <w:r>
              <w:rPr>
                <w:rFonts w:ascii="Arial" w:cs="Arial" w:eastAsia="Arial" w:hAnsi="Arial"/>
                <w:sz w:val="18"/>
                <w:szCs w:val="18"/>
                <w:color w:val="auto"/>
              </w:rPr>
              <w:t>Headache</w:t>
            </w:r>
          </w:p>
        </w:tc>
        <w:tc>
          <w:tcPr>
            <w:tcW w:w="1220" w:type="dxa"/>
            <w:vAlign w:val="bottom"/>
          </w:tcPr>
          <w:p>
            <w:pPr>
              <w:jc w:val="center"/>
              <w:ind w:right="32"/>
              <w:spacing w:after="0" w:line="198" w:lineRule="exact"/>
              <w:rPr>
                <w:sz w:val="20"/>
                <w:szCs w:val="20"/>
                <w:color w:val="auto"/>
              </w:rPr>
            </w:pPr>
            <w:r>
              <w:rPr>
                <w:rFonts w:ascii="Arial" w:cs="Arial" w:eastAsia="Arial" w:hAnsi="Arial"/>
                <w:sz w:val="18"/>
                <w:szCs w:val="18"/>
                <w:color w:val="auto"/>
                <w:w w:val="99"/>
              </w:rPr>
              <w:t>1</w:t>
            </w:r>
          </w:p>
        </w:tc>
        <w:tc>
          <w:tcPr>
            <w:tcW w:w="1260" w:type="dxa"/>
            <w:vAlign w:val="bottom"/>
          </w:tcPr>
          <w:p>
            <w:pPr>
              <w:jc w:val="center"/>
              <w:spacing w:after="0" w:line="198" w:lineRule="exact"/>
              <w:rPr>
                <w:sz w:val="20"/>
                <w:szCs w:val="20"/>
                <w:color w:val="auto"/>
              </w:rPr>
            </w:pPr>
            <w:r>
              <w:rPr>
                <w:rFonts w:ascii="Arial" w:cs="Arial" w:eastAsia="Arial" w:hAnsi="Arial"/>
                <w:sz w:val="18"/>
                <w:szCs w:val="18"/>
                <w:color w:val="auto"/>
                <w:w w:val="79"/>
              </w:rPr>
              <w:t>1</w:t>
            </w:r>
          </w:p>
        </w:tc>
        <w:tc>
          <w:tcPr>
            <w:tcW w:w="1120" w:type="dxa"/>
            <w:vAlign w:val="bottom"/>
          </w:tcPr>
          <w:p>
            <w:pPr>
              <w:jc w:val="center"/>
              <w:spacing w:after="0" w:line="198" w:lineRule="exact"/>
              <w:rPr>
                <w:sz w:val="20"/>
                <w:szCs w:val="20"/>
                <w:color w:val="auto"/>
              </w:rPr>
            </w:pPr>
            <w:r>
              <w:rPr>
                <w:rFonts w:ascii="Arial" w:cs="Arial" w:eastAsia="Arial" w:hAnsi="Arial"/>
                <w:sz w:val="18"/>
                <w:szCs w:val="18"/>
                <w:color w:val="auto"/>
                <w:w w:val="79"/>
              </w:rPr>
              <w:t>1</w:t>
            </w:r>
          </w:p>
        </w:tc>
        <w:tc>
          <w:tcPr>
            <w:tcW w:w="1040" w:type="dxa"/>
            <w:vAlign w:val="bottom"/>
          </w:tcPr>
          <w:p>
            <w:pPr>
              <w:jc w:val="center"/>
              <w:spacing w:after="0" w:line="198" w:lineRule="exact"/>
              <w:rPr>
                <w:sz w:val="20"/>
                <w:szCs w:val="20"/>
                <w:color w:val="auto"/>
              </w:rPr>
            </w:pPr>
            <w:r>
              <w:rPr>
                <w:rFonts w:ascii="Arial" w:cs="Arial" w:eastAsia="Arial" w:hAnsi="Arial"/>
                <w:sz w:val="18"/>
                <w:szCs w:val="18"/>
                <w:color w:val="auto"/>
                <w:w w:val="99"/>
              </w:rPr>
              <w:t>0</w:t>
            </w:r>
          </w:p>
        </w:tc>
        <w:tc>
          <w:tcPr>
            <w:tcW w:w="1160" w:type="dxa"/>
            <w:vAlign w:val="bottom"/>
          </w:tcPr>
          <w:p>
            <w:pPr>
              <w:jc w:val="center"/>
              <w:spacing w:after="0" w:line="198" w:lineRule="exact"/>
              <w:rPr>
                <w:sz w:val="20"/>
                <w:szCs w:val="20"/>
                <w:color w:val="auto"/>
              </w:rPr>
            </w:pPr>
            <w:r>
              <w:rPr>
                <w:rFonts w:ascii="Arial" w:cs="Arial" w:eastAsia="Arial" w:hAnsi="Arial"/>
                <w:sz w:val="18"/>
                <w:szCs w:val="18"/>
                <w:color w:val="auto"/>
                <w:w w:val="79"/>
              </w:rPr>
              <w:t>0</w:t>
            </w:r>
          </w:p>
        </w:tc>
        <w:tc>
          <w:tcPr>
            <w:tcW w:w="1160" w:type="dxa"/>
            <w:vAlign w:val="bottom"/>
          </w:tcPr>
          <w:p>
            <w:pPr>
              <w:jc w:val="center"/>
              <w:spacing w:after="0" w:line="198" w:lineRule="exact"/>
              <w:rPr>
                <w:sz w:val="20"/>
                <w:szCs w:val="20"/>
                <w:color w:val="auto"/>
              </w:rPr>
            </w:pPr>
            <w:r>
              <w:rPr>
                <w:rFonts w:ascii="Arial" w:cs="Arial" w:eastAsia="Arial" w:hAnsi="Arial"/>
                <w:sz w:val="18"/>
                <w:szCs w:val="18"/>
                <w:color w:val="auto"/>
                <w:w w:val="99"/>
              </w:rPr>
              <w:t>0</w:t>
            </w:r>
          </w:p>
        </w:tc>
        <w:tc>
          <w:tcPr>
            <w:tcW w:w="1220" w:type="dxa"/>
            <w:vAlign w:val="bottom"/>
          </w:tcPr>
          <w:p>
            <w:pPr>
              <w:jc w:val="center"/>
              <w:spacing w:after="0" w:line="198" w:lineRule="exact"/>
              <w:rPr>
                <w:sz w:val="20"/>
                <w:szCs w:val="20"/>
                <w:color w:val="auto"/>
              </w:rPr>
            </w:pPr>
            <w:r>
              <w:rPr>
                <w:rFonts w:ascii="Arial" w:cs="Arial" w:eastAsia="Arial" w:hAnsi="Arial"/>
                <w:sz w:val="18"/>
                <w:szCs w:val="18"/>
                <w:color w:val="auto"/>
                <w:w w:val="79"/>
              </w:rPr>
              <w:t>0</w:t>
            </w:r>
          </w:p>
        </w:tc>
        <w:tc>
          <w:tcPr>
            <w:tcW w:w="1200" w:type="dxa"/>
            <w:vAlign w:val="bottom"/>
          </w:tcPr>
          <w:p>
            <w:pPr>
              <w:jc w:val="center"/>
              <w:spacing w:after="0" w:line="198"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17"/>
        </w:trPr>
        <w:tc>
          <w:tcPr>
            <w:tcW w:w="2040" w:type="dxa"/>
            <w:vAlign w:val="bottom"/>
            <w:vMerge w:val="continue"/>
          </w:tcPr>
          <w:p>
            <w:pPr>
              <w:spacing w:after="0"/>
              <w:rPr>
                <w:sz w:val="10"/>
                <w:szCs w:val="10"/>
                <w:color w:val="auto"/>
              </w:rPr>
            </w:pPr>
          </w:p>
        </w:tc>
        <w:tc>
          <w:tcPr>
            <w:tcW w:w="1220" w:type="dxa"/>
            <w:vAlign w:val="bottom"/>
            <w:vMerge w:val="restart"/>
          </w:tcPr>
          <w:p>
            <w:pPr>
              <w:jc w:val="center"/>
              <w:ind w:right="12"/>
              <w:spacing w:after="0"/>
              <w:rPr>
                <w:sz w:val="20"/>
                <w:szCs w:val="20"/>
                <w:color w:val="auto"/>
              </w:rPr>
            </w:pPr>
            <w:r>
              <w:rPr>
                <w:rFonts w:ascii="Arial" w:cs="Arial" w:eastAsia="Arial" w:hAnsi="Arial"/>
                <w:sz w:val="18"/>
                <w:szCs w:val="18"/>
                <w:color w:val="auto"/>
                <w:w w:val="90"/>
              </w:rPr>
              <w:t>(5.6%)</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8"/>
              </w:rPr>
              <w:t>(33.3%)</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8"/>
              </w:rPr>
              <w:t>(33.3%)</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9"/>
              </w:rPr>
              <w:t>(0%)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9"/>
              </w:rPr>
              <w:t>(0%)</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(8.3%)</w:t>
            </w:r>
          </w:p>
        </w:tc>
        <w:tc>
          <w:tcPr>
            <w:tcW w:w="0" w:type="dxa"/>
            <w:vAlign w:val="bottom"/>
          </w:tcPr>
          <w:p>
            <w:pPr>
              <w:spacing w:after="0"/>
              <w:rPr>
                <w:sz w:val="1"/>
                <w:szCs w:val="1"/>
                <w:color w:val="auto"/>
              </w:rPr>
            </w:pPr>
          </w:p>
        </w:tc>
      </w:tr>
      <w:tr>
        <w:trPr>
          <w:trHeight w:val="112"/>
        </w:trPr>
        <w:tc>
          <w:tcPr>
            <w:tcW w:w="20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126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12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Psychiatric Disorder</w:t>
            </w:r>
          </w:p>
        </w:tc>
        <w:tc>
          <w:tcPr>
            <w:tcW w:w="1220" w:type="dxa"/>
            <w:vAlign w:val="bottom"/>
            <w:shd w:val="clear" w:color="auto" w:fill="CCEEFF"/>
          </w:tcPr>
          <w:p>
            <w:pPr>
              <w:jc w:val="center"/>
              <w:ind w:right="32"/>
              <w:spacing w:after="0" w:line="198" w:lineRule="exact"/>
              <w:rPr>
                <w:sz w:val="20"/>
                <w:szCs w:val="20"/>
                <w:color w:val="auto"/>
              </w:rPr>
            </w:pPr>
            <w:r>
              <w:rPr>
                <w:rFonts w:ascii="Arial" w:cs="Arial" w:eastAsia="Arial" w:hAnsi="Arial"/>
                <w:sz w:val="18"/>
                <w:szCs w:val="18"/>
                <w:color w:val="auto"/>
                <w:w w:val="99"/>
              </w:rPr>
              <w:t>0</w:t>
            </w:r>
          </w:p>
        </w:tc>
        <w:tc>
          <w:tcPr>
            <w:tcW w:w="126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79"/>
              </w:rPr>
              <w:t>0</w:t>
            </w:r>
          </w:p>
        </w:tc>
        <w:tc>
          <w:tcPr>
            <w:tcW w:w="11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79"/>
              </w:rPr>
              <w:t>0</w:t>
            </w:r>
          </w:p>
        </w:tc>
        <w:tc>
          <w:tcPr>
            <w:tcW w:w="104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9"/>
              </w:rPr>
              <w:t>0</w:t>
            </w:r>
          </w:p>
        </w:tc>
        <w:tc>
          <w:tcPr>
            <w:tcW w:w="116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79"/>
              </w:rPr>
              <w:t>0</w:t>
            </w:r>
          </w:p>
        </w:tc>
        <w:tc>
          <w:tcPr>
            <w:tcW w:w="116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9"/>
              </w:rPr>
              <w:t>0</w:t>
            </w:r>
          </w:p>
        </w:tc>
        <w:tc>
          <w:tcPr>
            <w:tcW w:w="12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79"/>
              </w:rPr>
              <w:t>2</w:t>
            </w:r>
          </w:p>
        </w:tc>
        <w:tc>
          <w:tcPr>
            <w:tcW w:w="12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17"/>
        </w:trPr>
        <w:tc>
          <w:tcPr>
            <w:tcW w:w="2040" w:type="dxa"/>
            <w:vAlign w:val="bottom"/>
            <w:vMerge w:val="continue"/>
            <w:shd w:val="clear" w:color="auto" w:fill="CCEEFF"/>
          </w:tcPr>
          <w:p>
            <w:pPr>
              <w:spacing w:after="0"/>
              <w:rPr>
                <w:sz w:val="10"/>
                <w:szCs w:val="10"/>
                <w:color w:val="auto"/>
              </w:rPr>
            </w:pPr>
          </w:p>
        </w:tc>
        <w:tc>
          <w:tcPr>
            <w:tcW w:w="1220" w:type="dxa"/>
            <w:vAlign w:val="bottom"/>
            <w:vMerge w:val="restart"/>
            <w:shd w:val="clear" w:color="auto" w:fill="CCEEFF"/>
          </w:tcPr>
          <w:p>
            <w:pPr>
              <w:jc w:val="center"/>
              <w:ind w:right="32"/>
              <w:spacing w:after="0"/>
              <w:rPr>
                <w:sz w:val="20"/>
                <w:szCs w:val="20"/>
                <w:color w:val="auto"/>
              </w:rPr>
            </w:pPr>
            <w:r>
              <w:rPr>
                <w:rFonts w:ascii="Arial" w:cs="Arial" w:eastAsia="Arial" w:hAnsi="Arial"/>
                <w:sz w:val="18"/>
                <w:szCs w:val="18"/>
                <w:color w:val="auto"/>
                <w:w w:val="89"/>
              </w:rPr>
              <w:t>(0%)</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(66.7%)</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(5.6%)</w:t>
            </w:r>
          </w:p>
        </w:tc>
        <w:tc>
          <w:tcPr>
            <w:tcW w:w="0" w:type="dxa"/>
            <w:vAlign w:val="bottom"/>
          </w:tcPr>
          <w:p>
            <w:pPr>
              <w:spacing w:after="0"/>
              <w:rPr>
                <w:sz w:val="1"/>
                <w:szCs w:val="1"/>
                <w:color w:val="auto"/>
              </w:rPr>
            </w:pPr>
          </w:p>
        </w:tc>
      </w:tr>
      <w:tr>
        <w:trPr>
          <w:trHeight w:val="112"/>
        </w:trPr>
        <w:tc>
          <w:tcPr>
            <w:tcW w:w="204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vMerge w:val="continue"/>
            <w:shd w:val="clear" w:color="auto" w:fill="CCEEFF"/>
          </w:tcPr>
          <w:p>
            <w:pPr>
              <w:spacing w:after="0"/>
              <w:rPr>
                <w:sz w:val="9"/>
                <w:szCs w:val="9"/>
                <w:color w:val="auto"/>
              </w:rPr>
            </w:pPr>
          </w:p>
        </w:tc>
        <w:tc>
          <w:tcPr>
            <w:tcW w:w="1260" w:type="dxa"/>
            <w:vAlign w:val="bottom"/>
            <w:tcBorders>
              <w:bottom w:val="single" w:sz="8" w:color="auto"/>
            </w:tcBorders>
            <w:vMerge w:val="continue"/>
            <w:shd w:val="clear" w:color="auto" w:fill="CCEEFF"/>
          </w:tcPr>
          <w:p>
            <w:pPr>
              <w:spacing w:after="0"/>
              <w:rPr>
                <w:sz w:val="9"/>
                <w:szCs w:val="9"/>
                <w:color w:val="auto"/>
              </w:rPr>
            </w:pPr>
          </w:p>
        </w:tc>
        <w:tc>
          <w:tcPr>
            <w:tcW w:w="1120" w:type="dxa"/>
            <w:vAlign w:val="bottom"/>
            <w:tcBorders>
              <w:bottom w:val="single" w:sz="8" w:color="auto"/>
            </w:tcBorders>
            <w:vMerge w:val="continue"/>
            <w:shd w:val="clear" w:color="auto" w:fill="CCEEFF"/>
          </w:tcPr>
          <w:p>
            <w:pPr>
              <w:spacing w:after="0"/>
              <w:rPr>
                <w:sz w:val="9"/>
                <w:szCs w:val="9"/>
                <w:color w:val="auto"/>
              </w:rPr>
            </w:pPr>
          </w:p>
        </w:tc>
        <w:tc>
          <w:tcPr>
            <w:tcW w:w="1040" w:type="dxa"/>
            <w:vAlign w:val="bottom"/>
            <w:tcBorders>
              <w:bottom w:val="single" w:sz="8" w:color="auto"/>
            </w:tcBorders>
            <w:vMerge w:val="continue"/>
            <w:shd w:val="clear" w:color="auto" w:fill="CCEEFF"/>
          </w:tcPr>
          <w:p>
            <w:pPr>
              <w:spacing w:after="0"/>
              <w:rPr>
                <w:sz w:val="9"/>
                <w:szCs w:val="9"/>
                <w:color w:val="auto"/>
              </w:rPr>
            </w:pPr>
          </w:p>
        </w:tc>
        <w:tc>
          <w:tcPr>
            <w:tcW w:w="1160" w:type="dxa"/>
            <w:vAlign w:val="bottom"/>
            <w:tcBorders>
              <w:bottom w:val="single" w:sz="8" w:color="auto"/>
            </w:tcBorders>
            <w:vMerge w:val="continue"/>
            <w:shd w:val="clear" w:color="auto" w:fill="CCEEFF"/>
          </w:tcPr>
          <w:p>
            <w:pPr>
              <w:spacing w:after="0"/>
              <w:rPr>
                <w:sz w:val="9"/>
                <w:szCs w:val="9"/>
                <w:color w:val="auto"/>
              </w:rPr>
            </w:pPr>
          </w:p>
        </w:tc>
        <w:tc>
          <w:tcPr>
            <w:tcW w:w="1160" w:type="dxa"/>
            <w:vAlign w:val="bottom"/>
            <w:tcBorders>
              <w:bottom w:val="single" w:sz="8" w:color="auto"/>
            </w:tcBorders>
            <w:vMerge w:val="continue"/>
            <w:shd w:val="clear" w:color="auto" w:fill="CCEEFF"/>
          </w:tcPr>
          <w:p>
            <w:pPr>
              <w:spacing w:after="0"/>
              <w:rPr>
                <w:sz w:val="9"/>
                <w:szCs w:val="9"/>
                <w:color w:val="auto"/>
              </w:rPr>
            </w:pPr>
          </w:p>
        </w:tc>
        <w:tc>
          <w:tcPr>
            <w:tcW w:w="1220" w:type="dxa"/>
            <w:vAlign w:val="bottom"/>
            <w:tcBorders>
              <w:bottom w:val="single" w:sz="8" w:color="auto"/>
            </w:tcBorders>
            <w:vMerge w:val="continue"/>
            <w:shd w:val="clear" w:color="auto" w:fill="CCEEFF"/>
          </w:tcPr>
          <w:p>
            <w:pPr>
              <w:spacing w:after="0"/>
              <w:rPr>
                <w:sz w:val="9"/>
                <w:szCs w:val="9"/>
                <w:color w:val="auto"/>
              </w:rPr>
            </w:pPr>
          </w:p>
        </w:tc>
        <w:tc>
          <w:tcPr>
            <w:tcW w:w="120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40" w:type="dxa"/>
            <w:vAlign w:val="bottom"/>
            <w:vMerge w:val="restart"/>
          </w:tcPr>
          <w:p>
            <w:pPr>
              <w:ind w:left="220"/>
              <w:spacing w:after="0"/>
              <w:rPr>
                <w:sz w:val="20"/>
                <w:szCs w:val="20"/>
                <w:color w:val="auto"/>
              </w:rPr>
            </w:pPr>
            <w:r>
              <w:rPr>
                <w:rFonts w:ascii="Arial" w:cs="Arial" w:eastAsia="Arial" w:hAnsi="Arial"/>
                <w:sz w:val="18"/>
                <w:szCs w:val="18"/>
                <w:color w:val="auto"/>
              </w:rPr>
              <w:t>Euphoric mood</w:t>
            </w:r>
          </w:p>
        </w:tc>
        <w:tc>
          <w:tcPr>
            <w:tcW w:w="1220" w:type="dxa"/>
            <w:vAlign w:val="bottom"/>
          </w:tcPr>
          <w:p>
            <w:pPr>
              <w:jc w:val="center"/>
              <w:ind w:right="32"/>
              <w:spacing w:after="0" w:line="198" w:lineRule="exact"/>
              <w:rPr>
                <w:sz w:val="20"/>
                <w:szCs w:val="20"/>
                <w:color w:val="auto"/>
              </w:rPr>
            </w:pPr>
            <w:r>
              <w:rPr>
                <w:rFonts w:ascii="Arial" w:cs="Arial" w:eastAsia="Arial" w:hAnsi="Arial"/>
                <w:sz w:val="18"/>
                <w:szCs w:val="18"/>
                <w:color w:val="auto"/>
                <w:w w:val="99"/>
              </w:rPr>
              <w:t>0</w:t>
            </w:r>
          </w:p>
        </w:tc>
        <w:tc>
          <w:tcPr>
            <w:tcW w:w="1260" w:type="dxa"/>
            <w:vAlign w:val="bottom"/>
          </w:tcPr>
          <w:p>
            <w:pPr>
              <w:jc w:val="center"/>
              <w:spacing w:after="0" w:line="198" w:lineRule="exact"/>
              <w:rPr>
                <w:sz w:val="20"/>
                <w:szCs w:val="20"/>
                <w:color w:val="auto"/>
              </w:rPr>
            </w:pPr>
            <w:r>
              <w:rPr>
                <w:rFonts w:ascii="Arial" w:cs="Arial" w:eastAsia="Arial" w:hAnsi="Arial"/>
                <w:sz w:val="18"/>
                <w:szCs w:val="18"/>
                <w:color w:val="auto"/>
                <w:w w:val="79"/>
              </w:rPr>
              <w:t>0</w:t>
            </w:r>
          </w:p>
        </w:tc>
        <w:tc>
          <w:tcPr>
            <w:tcW w:w="1120" w:type="dxa"/>
            <w:vAlign w:val="bottom"/>
          </w:tcPr>
          <w:p>
            <w:pPr>
              <w:jc w:val="center"/>
              <w:spacing w:after="0" w:line="198" w:lineRule="exact"/>
              <w:rPr>
                <w:sz w:val="20"/>
                <w:szCs w:val="20"/>
                <w:color w:val="auto"/>
              </w:rPr>
            </w:pPr>
            <w:r>
              <w:rPr>
                <w:rFonts w:ascii="Arial" w:cs="Arial" w:eastAsia="Arial" w:hAnsi="Arial"/>
                <w:sz w:val="18"/>
                <w:szCs w:val="18"/>
                <w:color w:val="auto"/>
                <w:w w:val="79"/>
              </w:rPr>
              <w:t>0</w:t>
            </w:r>
          </w:p>
        </w:tc>
        <w:tc>
          <w:tcPr>
            <w:tcW w:w="1040" w:type="dxa"/>
            <w:vAlign w:val="bottom"/>
          </w:tcPr>
          <w:p>
            <w:pPr>
              <w:jc w:val="center"/>
              <w:spacing w:after="0" w:line="198" w:lineRule="exact"/>
              <w:rPr>
                <w:sz w:val="20"/>
                <w:szCs w:val="20"/>
                <w:color w:val="auto"/>
              </w:rPr>
            </w:pPr>
            <w:r>
              <w:rPr>
                <w:rFonts w:ascii="Arial" w:cs="Arial" w:eastAsia="Arial" w:hAnsi="Arial"/>
                <w:sz w:val="18"/>
                <w:szCs w:val="18"/>
                <w:color w:val="auto"/>
                <w:w w:val="99"/>
              </w:rPr>
              <w:t>0</w:t>
            </w:r>
          </w:p>
        </w:tc>
        <w:tc>
          <w:tcPr>
            <w:tcW w:w="1160" w:type="dxa"/>
            <w:vAlign w:val="bottom"/>
          </w:tcPr>
          <w:p>
            <w:pPr>
              <w:jc w:val="center"/>
              <w:spacing w:after="0" w:line="198" w:lineRule="exact"/>
              <w:rPr>
                <w:sz w:val="20"/>
                <w:szCs w:val="20"/>
                <w:color w:val="auto"/>
              </w:rPr>
            </w:pPr>
            <w:r>
              <w:rPr>
                <w:rFonts w:ascii="Arial" w:cs="Arial" w:eastAsia="Arial" w:hAnsi="Arial"/>
                <w:sz w:val="18"/>
                <w:szCs w:val="18"/>
                <w:color w:val="auto"/>
                <w:w w:val="79"/>
              </w:rPr>
              <w:t>0</w:t>
            </w:r>
          </w:p>
        </w:tc>
        <w:tc>
          <w:tcPr>
            <w:tcW w:w="1160" w:type="dxa"/>
            <w:vAlign w:val="bottom"/>
          </w:tcPr>
          <w:p>
            <w:pPr>
              <w:jc w:val="center"/>
              <w:spacing w:after="0" w:line="198" w:lineRule="exact"/>
              <w:rPr>
                <w:sz w:val="20"/>
                <w:szCs w:val="20"/>
                <w:color w:val="auto"/>
              </w:rPr>
            </w:pPr>
            <w:r>
              <w:rPr>
                <w:rFonts w:ascii="Arial" w:cs="Arial" w:eastAsia="Arial" w:hAnsi="Arial"/>
                <w:sz w:val="18"/>
                <w:szCs w:val="18"/>
                <w:color w:val="auto"/>
                <w:w w:val="99"/>
              </w:rPr>
              <w:t>0</w:t>
            </w:r>
          </w:p>
        </w:tc>
        <w:tc>
          <w:tcPr>
            <w:tcW w:w="1220" w:type="dxa"/>
            <w:vAlign w:val="bottom"/>
          </w:tcPr>
          <w:p>
            <w:pPr>
              <w:jc w:val="center"/>
              <w:spacing w:after="0" w:line="198" w:lineRule="exact"/>
              <w:rPr>
                <w:sz w:val="20"/>
                <w:szCs w:val="20"/>
                <w:color w:val="auto"/>
              </w:rPr>
            </w:pPr>
            <w:r>
              <w:rPr>
                <w:rFonts w:ascii="Arial" w:cs="Arial" w:eastAsia="Arial" w:hAnsi="Arial"/>
                <w:sz w:val="18"/>
                <w:szCs w:val="18"/>
                <w:color w:val="auto"/>
                <w:w w:val="79"/>
              </w:rPr>
              <w:t>2</w:t>
            </w:r>
          </w:p>
        </w:tc>
        <w:tc>
          <w:tcPr>
            <w:tcW w:w="1200" w:type="dxa"/>
            <w:vAlign w:val="bottom"/>
          </w:tcPr>
          <w:p>
            <w:pPr>
              <w:jc w:val="center"/>
              <w:spacing w:after="0" w:line="198"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17"/>
        </w:trPr>
        <w:tc>
          <w:tcPr>
            <w:tcW w:w="2040" w:type="dxa"/>
            <w:vAlign w:val="bottom"/>
            <w:vMerge w:val="continue"/>
          </w:tcPr>
          <w:p>
            <w:pPr>
              <w:spacing w:after="0"/>
              <w:rPr>
                <w:sz w:val="10"/>
                <w:szCs w:val="10"/>
                <w:color w:val="auto"/>
              </w:rPr>
            </w:pPr>
          </w:p>
        </w:tc>
        <w:tc>
          <w:tcPr>
            <w:tcW w:w="1220" w:type="dxa"/>
            <w:vAlign w:val="bottom"/>
            <w:vMerge w:val="restart"/>
          </w:tcPr>
          <w:p>
            <w:pPr>
              <w:jc w:val="center"/>
              <w:ind w:right="32"/>
              <w:spacing w:after="0"/>
              <w:rPr>
                <w:sz w:val="20"/>
                <w:szCs w:val="20"/>
                <w:color w:val="auto"/>
              </w:rPr>
            </w:pPr>
            <w:r>
              <w:rPr>
                <w:rFonts w:ascii="Arial" w:cs="Arial" w:eastAsia="Arial" w:hAnsi="Arial"/>
                <w:sz w:val="18"/>
                <w:szCs w:val="18"/>
                <w:color w:val="auto"/>
                <w:w w:val="89"/>
              </w:rPr>
              <w:t>(0%)</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9"/>
              </w:rPr>
              <w:t>(0%)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9"/>
              </w:rPr>
              <w:t>(0%)</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1"/>
              </w:rPr>
              <w:t>(66.7%)</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(5.6%)</w:t>
            </w:r>
          </w:p>
        </w:tc>
        <w:tc>
          <w:tcPr>
            <w:tcW w:w="0" w:type="dxa"/>
            <w:vAlign w:val="bottom"/>
          </w:tcPr>
          <w:p>
            <w:pPr>
              <w:spacing w:after="0"/>
              <w:rPr>
                <w:sz w:val="1"/>
                <w:szCs w:val="1"/>
                <w:color w:val="auto"/>
              </w:rPr>
            </w:pPr>
          </w:p>
        </w:tc>
      </w:tr>
      <w:tr>
        <w:trPr>
          <w:trHeight w:val="112"/>
        </w:trPr>
        <w:tc>
          <w:tcPr>
            <w:tcW w:w="20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126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12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8"/>
              </w:rPr>
              <w:t>Skin and Subcutaneous</w:t>
            </w:r>
          </w:p>
        </w:tc>
        <w:tc>
          <w:tcPr>
            <w:tcW w:w="1220" w:type="dxa"/>
            <w:vAlign w:val="bottom"/>
            <w:shd w:val="clear" w:color="auto" w:fill="CCEEFF"/>
          </w:tcPr>
          <w:p>
            <w:pPr>
              <w:jc w:val="center"/>
              <w:ind w:right="32"/>
              <w:spacing w:after="0" w:line="192" w:lineRule="exact"/>
              <w:rPr>
                <w:sz w:val="20"/>
                <w:szCs w:val="20"/>
                <w:color w:val="auto"/>
              </w:rPr>
            </w:pPr>
            <w:r>
              <w:rPr>
                <w:rFonts w:ascii="Arial" w:cs="Arial" w:eastAsia="Arial" w:hAnsi="Arial"/>
                <w:sz w:val="18"/>
                <w:szCs w:val="18"/>
                <w:color w:val="auto"/>
                <w:w w:val="99"/>
              </w:rPr>
              <w:t>0</w:t>
            </w:r>
          </w:p>
        </w:tc>
        <w:tc>
          <w:tcPr>
            <w:tcW w:w="12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0</w:t>
            </w:r>
          </w:p>
        </w:tc>
        <w:tc>
          <w:tcPr>
            <w:tcW w:w="112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0</w:t>
            </w:r>
          </w:p>
        </w:tc>
        <w:tc>
          <w:tcPr>
            <w:tcW w:w="104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99"/>
              </w:rPr>
              <w:t>0</w:t>
            </w:r>
          </w:p>
        </w:tc>
        <w:tc>
          <w:tcPr>
            <w:tcW w:w="11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0</w:t>
            </w:r>
          </w:p>
        </w:tc>
        <w:tc>
          <w:tcPr>
            <w:tcW w:w="11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99"/>
              </w:rPr>
              <w:t>0</w:t>
            </w:r>
          </w:p>
        </w:tc>
        <w:tc>
          <w:tcPr>
            <w:tcW w:w="122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0</w:t>
            </w:r>
          </w:p>
        </w:tc>
        <w:tc>
          <w:tcPr>
            <w:tcW w:w="120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35"/>
        </w:trPr>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Tissue Disorder</w:t>
            </w:r>
          </w:p>
        </w:tc>
        <w:tc>
          <w:tcPr>
            <w:tcW w:w="1220" w:type="dxa"/>
            <w:vAlign w:val="bottom"/>
            <w:tcBorders>
              <w:bottom w:val="single" w:sz="8" w:color="auto"/>
            </w:tcBorders>
            <w:shd w:val="clear" w:color="auto" w:fill="CCEEFF"/>
          </w:tcPr>
          <w:p>
            <w:pPr>
              <w:jc w:val="center"/>
              <w:ind w:right="32"/>
              <w:spacing w:after="0"/>
              <w:rPr>
                <w:sz w:val="20"/>
                <w:szCs w:val="20"/>
                <w:color w:val="auto"/>
              </w:rPr>
            </w:pPr>
            <w:r>
              <w:rPr>
                <w:rFonts w:ascii="Arial" w:cs="Arial" w:eastAsia="Arial" w:hAnsi="Arial"/>
                <w:sz w:val="18"/>
                <w:szCs w:val="18"/>
                <w:color w:val="auto"/>
                <w:w w:val="89"/>
              </w:rPr>
              <w:t>(0%)</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0" w:type="dxa"/>
            <w:vAlign w:val="bottom"/>
          </w:tcPr>
          <w:p>
            <w:pPr>
              <w:spacing w:after="0"/>
              <w:rPr>
                <w:sz w:val="1"/>
                <w:szCs w:val="1"/>
                <w:color w:val="auto"/>
              </w:rPr>
            </w:pPr>
          </w:p>
        </w:tc>
      </w:tr>
      <w:tr>
        <w:trPr>
          <w:trHeight w:val="198"/>
        </w:trPr>
        <w:tc>
          <w:tcPr>
            <w:tcW w:w="2040" w:type="dxa"/>
            <w:vAlign w:val="bottom"/>
          </w:tcPr>
          <w:p>
            <w:pPr>
              <w:ind w:left="220"/>
              <w:spacing w:after="0" w:line="198" w:lineRule="exact"/>
              <w:rPr>
                <w:sz w:val="20"/>
                <w:szCs w:val="20"/>
                <w:color w:val="auto"/>
              </w:rPr>
            </w:pPr>
            <w:r>
              <w:rPr>
                <w:rFonts w:ascii="Arial" w:cs="Arial" w:eastAsia="Arial" w:hAnsi="Arial"/>
                <w:sz w:val="18"/>
                <w:szCs w:val="18"/>
                <w:color w:val="auto"/>
              </w:rPr>
              <w:t>Dermatitis contact</w:t>
            </w:r>
          </w:p>
        </w:tc>
        <w:tc>
          <w:tcPr>
            <w:tcW w:w="1220" w:type="dxa"/>
            <w:vAlign w:val="bottom"/>
          </w:tcPr>
          <w:p>
            <w:pPr>
              <w:jc w:val="center"/>
              <w:ind w:right="32"/>
              <w:spacing w:after="0" w:line="198" w:lineRule="exact"/>
              <w:rPr>
                <w:sz w:val="20"/>
                <w:szCs w:val="20"/>
                <w:color w:val="auto"/>
              </w:rPr>
            </w:pPr>
            <w:r>
              <w:rPr>
                <w:rFonts w:ascii="Arial" w:cs="Arial" w:eastAsia="Arial" w:hAnsi="Arial"/>
                <w:sz w:val="18"/>
                <w:szCs w:val="18"/>
                <w:color w:val="auto"/>
                <w:w w:val="99"/>
              </w:rPr>
              <w:t>0</w:t>
            </w:r>
          </w:p>
        </w:tc>
        <w:tc>
          <w:tcPr>
            <w:tcW w:w="1260" w:type="dxa"/>
            <w:vAlign w:val="bottom"/>
          </w:tcPr>
          <w:p>
            <w:pPr>
              <w:jc w:val="center"/>
              <w:spacing w:after="0" w:line="198" w:lineRule="exact"/>
              <w:rPr>
                <w:sz w:val="20"/>
                <w:szCs w:val="20"/>
                <w:color w:val="auto"/>
              </w:rPr>
            </w:pPr>
            <w:r>
              <w:rPr>
                <w:rFonts w:ascii="Arial" w:cs="Arial" w:eastAsia="Arial" w:hAnsi="Arial"/>
                <w:sz w:val="18"/>
                <w:szCs w:val="18"/>
                <w:color w:val="auto"/>
                <w:w w:val="79"/>
              </w:rPr>
              <w:t>0</w:t>
            </w:r>
          </w:p>
        </w:tc>
        <w:tc>
          <w:tcPr>
            <w:tcW w:w="1120" w:type="dxa"/>
            <w:vAlign w:val="bottom"/>
          </w:tcPr>
          <w:p>
            <w:pPr>
              <w:jc w:val="center"/>
              <w:spacing w:after="0" w:line="198" w:lineRule="exact"/>
              <w:rPr>
                <w:sz w:val="20"/>
                <w:szCs w:val="20"/>
                <w:color w:val="auto"/>
              </w:rPr>
            </w:pPr>
            <w:r>
              <w:rPr>
                <w:rFonts w:ascii="Arial" w:cs="Arial" w:eastAsia="Arial" w:hAnsi="Arial"/>
                <w:sz w:val="18"/>
                <w:szCs w:val="18"/>
                <w:color w:val="auto"/>
                <w:w w:val="79"/>
              </w:rPr>
              <w:t>0</w:t>
            </w:r>
          </w:p>
        </w:tc>
        <w:tc>
          <w:tcPr>
            <w:tcW w:w="1040" w:type="dxa"/>
            <w:vAlign w:val="bottom"/>
          </w:tcPr>
          <w:p>
            <w:pPr>
              <w:jc w:val="center"/>
              <w:spacing w:after="0" w:line="198" w:lineRule="exact"/>
              <w:rPr>
                <w:sz w:val="20"/>
                <w:szCs w:val="20"/>
                <w:color w:val="auto"/>
              </w:rPr>
            </w:pPr>
            <w:r>
              <w:rPr>
                <w:rFonts w:ascii="Arial" w:cs="Arial" w:eastAsia="Arial" w:hAnsi="Arial"/>
                <w:sz w:val="18"/>
                <w:szCs w:val="18"/>
                <w:color w:val="auto"/>
                <w:w w:val="99"/>
              </w:rPr>
              <w:t>0</w:t>
            </w:r>
          </w:p>
        </w:tc>
        <w:tc>
          <w:tcPr>
            <w:tcW w:w="1160" w:type="dxa"/>
            <w:vAlign w:val="bottom"/>
          </w:tcPr>
          <w:p>
            <w:pPr>
              <w:jc w:val="center"/>
              <w:spacing w:after="0" w:line="198" w:lineRule="exact"/>
              <w:rPr>
                <w:sz w:val="20"/>
                <w:szCs w:val="20"/>
                <w:color w:val="auto"/>
              </w:rPr>
            </w:pPr>
            <w:r>
              <w:rPr>
                <w:rFonts w:ascii="Arial" w:cs="Arial" w:eastAsia="Arial" w:hAnsi="Arial"/>
                <w:sz w:val="18"/>
                <w:szCs w:val="18"/>
                <w:color w:val="auto"/>
                <w:w w:val="79"/>
              </w:rPr>
              <w:t>0</w:t>
            </w:r>
          </w:p>
        </w:tc>
        <w:tc>
          <w:tcPr>
            <w:tcW w:w="1160" w:type="dxa"/>
            <w:vAlign w:val="bottom"/>
          </w:tcPr>
          <w:p>
            <w:pPr>
              <w:jc w:val="center"/>
              <w:spacing w:after="0" w:line="198" w:lineRule="exact"/>
              <w:rPr>
                <w:sz w:val="20"/>
                <w:szCs w:val="20"/>
                <w:color w:val="auto"/>
              </w:rPr>
            </w:pPr>
            <w:r>
              <w:rPr>
                <w:rFonts w:ascii="Arial" w:cs="Arial" w:eastAsia="Arial" w:hAnsi="Arial"/>
                <w:sz w:val="18"/>
                <w:szCs w:val="18"/>
                <w:color w:val="auto"/>
                <w:w w:val="99"/>
              </w:rPr>
              <w:t>0</w:t>
            </w:r>
          </w:p>
        </w:tc>
        <w:tc>
          <w:tcPr>
            <w:tcW w:w="1220" w:type="dxa"/>
            <w:vAlign w:val="bottom"/>
          </w:tcPr>
          <w:p>
            <w:pPr>
              <w:jc w:val="center"/>
              <w:spacing w:after="0" w:line="198" w:lineRule="exact"/>
              <w:rPr>
                <w:sz w:val="20"/>
                <w:szCs w:val="20"/>
                <w:color w:val="auto"/>
              </w:rPr>
            </w:pPr>
            <w:r>
              <w:rPr>
                <w:rFonts w:ascii="Arial" w:cs="Arial" w:eastAsia="Arial" w:hAnsi="Arial"/>
                <w:sz w:val="18"/>
                <w:szCs w:val="18"/>
                <w:color w:val="auto"/>
                <w:w w:val="79"/>
              </w:rPr>
              <w:t>0</w:t>
            </w:r>
          </w:p>
        </w:tc>
        <w:tc>
          <w:tcPr>
            <w:tcW w:w="1200" w:type="dxa"/>
            <w:vAlign w:val="bottom"/>
          </w:tcPr>
          <w:p>
            <w:pPr>
              <w:jc w:val="center"/>
              <w:spacing w:after="0" w:line="198" w:lineRule="exact"/>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1220" w:type="dxa"/>
            <w:vAlign w:val="bottom"/>
          </w:tcPr>
          <w:p>
            <w:pPr>
              <w:jc w:val="center"/>
              <w:ind w:right="32"/>
              <w:spacing w:after="0"/>
              <w:rPr>
                <w:sz w:val="20"/>
                <w:szCs w:val="20"/>
                <w:color w:val="auto"/>
              </w:rPr>
            </w:pPr>
            <w:r>
              <w:rPr>
                <w:rFonts w:ascii="Arial" w:cs="Arial" w:eastAsia="Arial" w:hAnsi="Arial"/>
                <w:sz w:val="18"/>
                <w:szCs w:val="18"/>
                <w:color w:val="auto"/>
                <w:w w:val="89"/>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(0%)</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(0%)</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MedDRA = Medical Dictionary for Regulatory Activities; SOC = system organ class.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Phase 1b Study (VSG-CL-102)</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Phase 1b clinical study was conducted as a single-site, dose-escalating study to evaluate the safety, tolerability, and PK of multiple doses of AV-101 administered daily in healthy volunteers. The antihyperalgesic effect of AV-101 on capsaicin-induced hyperalgesia was also assessed. Subjects were sequentially enrolled into one of three cohorts (360 mg, 1,080 mg, and 1,440 mg) and were randomized to AV-101 or placebo at a 12:4 (AV-101 to placebo) ratio. Subjects were to have been dosed for 14 consecutive days. Each subject was given a paper diary and instructed to record daily dose administration, concomitant medications, and AEs during the 14-day treatment period.</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tolerability of AV-101 were assessed by evaluating AEs and by physical examinations, vital signs, and clinical laboratory tests (chemistry and hematology assessments) that were performed on Days 1, 7 (±1 day), and 14. Blood sampling for PK was performed on Days 1, 2, 14, and 15. Additionally, ophthalmological examinations were performed at screening and Day 15. Physical examinations, including vital signs, 12-lead electrocardiograms (ECGs), neurocognitive tests, and ataxia tests were performed on Day 1 and Day 14. Before proceeding to the next higher dose, the following criteria were met:</w:t>
      </w:r>
    </w:p>
    <w:p>
      <w:pPr>
        <w:spacing w:after="0" w:line="161" w:lineRule="exact"/>
        <w:rPr>
          <w:sz w:val="20"/>
          <w:szCs w:val="20"/>
          <w:color w:val="auto"/>
        </w:rPr>
      </w:pPr>
    </w:p>
    <w:p>
      <w:pPr>
        <w:ind w:left="640" w:hanging="34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Blinded safety and tolerability data were reviewed and assessed as being satisfactory by the investigator and medical monitor.</w:t>
      </w:r>
    </w:p>
    <w:p>
      <w:pPr>
        <w:spacing w:after="0" w:line="214" w:lineRule="exact"/>
        <w:rPr>
          <w:rFonts w:ascii="Arial" w:cs="Arial" w:eastAsia="Arial" w:hAnsi="Arial"/>
          <w:sz w:val="18"/>
          <w:szCs w:val="18"/>
          <w:color w:val="auto"/>
        </w:rPr>
      </w:pPr>
    </w:p>
    <w:p>
      <w:pPr>
        <w:ind w:left="640" w:hanging="34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PK assessments were reviewed by the blinded Cato Research PK specialist to determine if the PK stopping criteria were reached.</w:t>
      </w:r>
    </w:p>
    <w:p>
      <w:pPr>
        <w:spacing w:after="0" w:line="21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doses evaluated in this Phase 1b multi-dose study of AV-101 were based on results obtained in a previously conducted Phase 1a single-dose study of AV-101 in healthy adults. The dose-escalation design was consistent with a standard scheme, and careful monitoring occurred to ensure the safety of all subjects.</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minimum toxic dose was defined as the dose at which the stopping criteria were reached. For this study, the minimum toxic dose was to be (1) the dose at which a drug-related serious adverse event (SAE) occurred in an AV-101–treated subject, or (2) the dose at which a severe AE that warranted stopping the study, as determined by the investigator and medical monitor, occurred in an AV-101–treated subject within a cohort. The minimum toxic dose was not reached in this study.</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 total of 40 AEs were reported by 24 of 37 (64.9%) subjects receiving AV-101, and 17 AEs were reported by 10 of 13 (76.9%) subject receiving placebo (Table 5-6).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Table 2. Summary of Adverse Events (Phase 1b)</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Dose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4979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411"/>
        </w:trPr>
        <w:tc>
          <w:tcPr>
            <w:tcW w:w="2840" w:type="dxa"/>
            <w:vAlign w:val="bottom"/>
          </w:tcPr>
          <w:p>
            <w:pPr>
              <w:spacing w:after="0"/>
              <w:rPr>
                <w:sz w:val="24"/>
                <w:szCs w:val="24"/>
                <w:color w:val="auto"/>
              </w:rPr>
            </w:pPr>
          </w:p>
        </w:tc>
        <w:tc>
          <w:tcPr>
            <w:tcW w:w="1880" w:type="dxa"/>
            <w:vAlign w:val="bottom"/>
            <w:gridSpan w:val="2"/>
          </w:tcPr>
          <w:p>
            <w:pPr>
              <w:ind w:left="340"/>
              <w:spacing w:after="0"/>
              <w:rPr>
                <w:sz w:val="20"/>
                <w:szCs w:val="20"/>
                <w:color w:val="auto"/>
              </w:rPr>
            </w:pPr>
            <w:r>
              <w:rPr>
                <w:rFonts w:ascii="Arial" w:cs="Arial" w:eastAsia="Arial" w:hAnsi="Arial"/>
                <w:sz w:val="18"/>
                <w:szCs w:val="18"/>
                <w:b w:val="1"/>
                <w:bCs w:val="1"/>
                <w:color w:val="auto"/>
              </w:rPr>
              <w:t>·360 mgAV-101</w:t>
            </w:r>
          </w:p>
        </w:tc>
        <w:tc>
          <w:tcPr>
            <w:tcW w:w="1960" w:type="dxa"/>
            <w:vAlign w:val="bottom"/>
            <w:gridSpan w:val="2"/>
          </w:tcPr>
          <w:p>
            <w:pPr>
              <w:ind w:left="42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1,080 mg AV-</w:t>
            </w:r>
          </w:p>
        </w:tc>
        <w:tc>
          <w:tcPr>
            <w:tcW w:w="252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·1,440 mg AV-101</w:t>
            </w:r>
          </w:p>
        </w:tc>
        <w:tc>
          <w:tcPr>
            <w:tcW w:w="860" w:type="dxa"/>
            <w:vAlign w:val="bottom"/>
          </w:tcPr>
          <w:p>
            <w:pPr>
              <w:ind w:left="70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840" w:type="dxa"/>
            <w:vAlign w:val="bottom"/>
          </w:tcPr>
          <w:p>
            <w:pPr>
              <w:spacing w:after="0"/>
              <w:rPr>
                <w:sz w:val="13"/>
                <w:szCs w:val="13"/>
                <w:color w:val="auto"/>
              </w:rPr>
            </w:pPr>
          </w:p>
        </w:tc>
        <w:tc>
          <w:tcPr>
            <w:tcW w:w="1880" w:type="dxa"/>
            <w:vAlign w:val="bottom"/>
            <w:gridSpan w:val="2"/>
          </w:tcPr>
          <w:p>
            <w:pPr>
              <w:ind w:left="340"/>
              <w:spacing w:after="0" w:line="160" w:lineRule="exact"/>
              <w:rPr>
                <w:sz w:val="20"/>
                <w:szCs w:val="20"/>
                <w:color w:val="auto"/>
              </w:rPr>
            </w:pPr>
            <w:r>
              <w:rPr>
                <w:rFonts w:ascii="Arial" w:cs="Arial" w:eastAsia="Arial" w:hAnsi="Arial"/>
                <w:sz w:val="18"/>
                <w:szCs w:val="18"/>
                <w:b w:val="1"/>
                <w:bCs w:val="1"/>
                <w:color w:val="auto"/>
              </w:rPr>
              <w:t>·N = 12)</w:t>
            </w:r>
          </w:p>
        </w:tc>
        <w:tc>
          <w:tcPr>
            <w:tcW w:w="1960" w:type="dxa"/>
            <w:vAlign w:val="bottom"/>
            <w:gridSpan w:val="2"/>
          </w:tcPr>
          <w:p>
            <w:pPr>
              <w:ind w:left="420"/>
              <w:spacing w:after="0" w:line="160"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2"/>
                <w:szCs w:val="12"/>
                <w:b w:val="1"/>
                <w:bCs w:val="1"/>
                <w:color w:val="auto"/>
              </w:rPr>
              <w:t>101</w:t>
            </w:r>
          </w:p>
        </w:tc>
        <w:tc>
          <w:tcPr>
            <w:tcW w:w="2520" w:type="dxa"/>
            <w:vAlign w:val="bottom"/>
            <w:gridSpan w:val="2"/>
            <w:vMerge w:val="continue"/>
          </w:tcPr>
          <w:p>
            <w:pPr>
              <w:spacing w:after="0"/>
              <w:rPr>
                <w:sz w:val="13"/>
                <w:szCs w:val="13"/>
                <w:color w:val="auto"/>
              </w:rPr>
            </w:pPr>
          </w:p>
        </w:tc>
        <w:tc>
          <w:tcPr>
            <w:tcW w:w="2220" w:type="dxa"/>
            <w:vAlign w:val="bottom"/>
            <w:gridSpan w:val="2"/>
          </w:tcPr>
          <w:p>
            <w:pPr>
              <w:ind w:left="700"/>
              <w:spacing w:after="0" w:line="160" w:lineRule="exact"/>
              <w:rPr>
                <w:sz w:val="20"/>
                <w:szCs w:val="20"/>
                <w:color w:val="auto"/>
              </w:rPr>
            </w:pPr>
            <w:r>
              <w:rPr>
                <w:rFonts w:ascii="Arial" w:cs="Arial" w:eastAsia="Arial" w:hAnsi="Arial"/>
                <w:sz w:val="18"/>
                <w:szCs w:val="18"/>
                <w:b w:val="1"/>
                <w:bCs w:val="1"/>
                <w:color w:val="auto"/>
              </w:rPr>
              <w:t>·Pooled Placebo</w:t>
            </w:r>
          </w:p>
        </w:tc>
        <w:tc>
          <w:tcPr>
            <w:tcW w:w="0" w:type="dxa"/>
            <w:vAlign w:val="bottom"/>
          </w:tcPr>
          <w:p>
            <w:pPr>
              <w:spacing w:after="0"/>
              <w:rPr>
                <w:sz w:val="1"/>
                <w:szCs w:val="1"/>
                <w:color w:val="auto"/>
              </w:rPr>
            </w:pPr>
          </w:p>
        </w:tc>
      </w:tr>
      <w:tr>
        <w:trPr>
          <w:trHeight w:val="191"/>
        </w:trPr>
        <w:tc>
          <w:tcPr>
            <w:tcW w:w="2840" w:type="dxa"/>
            <w:vAlign w:val="bottom"/>
          </w:tcPr>
          <w:p>
            <w:pPr>
              <w:spacing w:after="0"/>
              <w:rPr>
                <w:sz w:val="16"/>
                <w:szCs w:val="16"/>
                <w:color w:val="auto"/>
              </w:rPr>
            </w:pPr>
          </w:p>
        </w:tc>
        <w:tc>
          <w:tcPr>
            <w:tcW w:w="188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[n (%)]</w:t>
            </w:r>
          </w:p>
        </w:tc>
        <w:tc>
          <w:tcPr>
            <w:tcW w:w="1960" w:type="dxa"/>
            <w:vAlign w:val="bottom"/>
            <w:gridSpan w:val="2"/>
          </w:tcPr>
          <w:p>
            <w:pPr>
              <w:ind w:left="460"/>
              <w:spacing w:after="0" w:line="191" w:lineRule="exact"/>
              <w:rPr>
                <w:sz w:val="20"/>
                <w:szCs w:val="20"/>
                <w:color w:val="auto"/>
              </w:rPr>
            </w:pPr>
            <w:r>
              <w:rPr>
                <w:rFonts w:ascii="Arial" w:cs="Arial" w:eastAsia="Arial" w:hAnsi="Arial"/>
                <w:sz w:val="18"/>
                <w:szCs w:val="18"/>
                <w:b w:val="1"/>
                <w:bCs w:val="1"/>
                <w:color w:val="auto"/>
              </w:rPr>
              <w:t>N = 13)</w:t>
            </w:r>
          </w:p>
        </w:tc>
        <w:tc>
          <w:tcPr>
            <w:tcW w:w="2520" w:type="dxa"/>
            <w:vAlign w:val="bottom"/>
            <w:gridSpan w:val="2"/>
          </w:tcPr>
          <w:p>
            <w:pPr>
              <w:ind w:left="500"/>
              <w:spacing w:after="0" w:line="191" w:lineRule="exact"/>
              <w:rPr>
                <w:sz w:val="20"/>
                <w:szCs w:val="20"/>
                <w:color w:val="auto"/>
              </w:rPr>
            </w:pPr>
            <w:r>
              <w:rPr>
                <w:rFonts w:ascii="Arial" w:cs="Arial" w:eastAsia="Arial" w:hAnsi="Arial"/>
                <w:sz w:val="18"/>
                <w:szCs w:val="18"/>
                <w:b w:val="1"/>
                <w:bCs w:val="1"/>
                <w:color w:val="auto"/>
              </w:rPr>
              <w:t>·(N = 12)</w:t>
            </w:r>
          </w:p>
        </w:tc>
        <w:tc>
          <w:tcPr>
            <w:tcW w:w="2220" w:type="dxa"/>
            <w:vAlign w:val="bottom"/>
            <w:gridSpan w:val="2"/>
          </w:tcPr>
          <w:p>
            <w:pPr>
              <w:ind w:left="740"/>
              <w:spacing w:after="0" w:line="191" w:lineRule="exact"/>
              <w:rPr>
                <w:sz w:val="20"/>
                <w:szCs w:val="20"/>
                <w:color w:val="auto"/>
              </w:rPr>
            </w:pPr>
            <w:r>
              <w:rPr>
                <w:rFonts w:ascii="Arial" w:cs="Arial" w:eastAsia="Arial" w:hAnsi="Arial"/>
                <w:sz w:val="18"/>
                <w:szCs w:val="18"/>
                <w:b w:val="1"/>
                <w:bCs w:val="1"/>
                <w:color w:val="auto"/>
              </w:rPr>
              <w:t>(N = 13)</w:t>
            </w:r>
          </w:p>
        </w:tc>
        <w:tc>
          <w:tcPr>
            <w:tcW w:w="0" w:type="dxa"/>
            <w:vAlign w:val="bottom"/>
          </w:tcPr>
          <w:p>
            <w:pPr>
              <w:spacing w:after="0"/>
              <w:rPr>
                <w:sz w:val="1"/>
                <w:szCs w:val="1"/>
                <w:color w:val="auto"/>
              </w:rPr>
            </w:pPr>
          </w:p>
        </w:tc>
      </w:tr>
      <w:tr>
        <w:trPr>
          <w:trHeight w:val="123"/>
        </w:trPr>
        <w:tc>
          <w:tcPr>
            <w:tcW w:w="284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96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[n (%)]</w:t>
            </w:r>
          </w:p>
        </w:tc>
        <w:tc>
          <w:tcPr>
            <w:tcW w:w="2520" w:type="dxa"/>
            <w:vAlign w:val="bottom"/>
            <w:gridSpan w:val="2"/>
            <w:vMerge w:val="restart"/>
          </w:tcPr>
          <w:p>
            <w:pPr>
              <w:ind w:left="540"/>
              <w:spacing w:after="0"/>
              <w:rPr>
                <w:sz w:val="20"/>
                <w:szCs w:val="20"/>
                <w:color w:val="auto"/>
              </w:rPr>
            </w:pPr>
            <w:r>
              <w:rPr>
                <w:rFonts w:ascii="Arial" w:cs="Arial" w:eastAsia="Arial" w:hAnsi="Arial"/>
                <w:sz w:val="18"/>
                <w:szCs w:val="18"/>
                <w:b w:val="1"/>
                <w:bCs w:val="1"/>
                <w:color w:val="auto"/>
              </w:rPr>
              <w:t>[n (%)]</w:t>
            </w:r>
          </w:p>
        </w:tc>
        <w:tc>
          <w:tcPr>
            <w:tcW w:w="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8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gridSpan w:val="2"/>
            <w:vMerge w:val="continue"/>
          </w:tcPr>
          <w:p>
            <w:pPr>
              <w:spacing w:after="0"/>
              <w:rPr>
                <w:sz w:val="9"/>
                <w:szCs w:val="9"/>
                <w:color w:val="auto"/>
              </w:rPr>
            </w:pPr>
          </w:p>
        </w:tc>
        <w:tc>
          <w:tcPr>
            <w:tcW w:w="2520" w:type="dxa"/>
            <w:vAlign w:val="bottom"/>
            <w:tcBorders>
              <w:bottom w:val="single" w:sz="8" w:color="auto"/>
            </w:tcBorders>
            <w:gridSpan w:val="2"/>
            <w:vMerge w:val="continue"/>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Number of AEs</w:t>
            </w:r>
          </w:p>
        </w:tc>
        <w:tc>
          <w:tcPr>
            <w:tcW w:w="188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w:t>
            </w:r>
          </w:p>
        </w:tc>
        <w:tc>
          <w:tcPr>
            <w:tcW w:w="196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14</w:t>
            </w:r>
          </w:p>
        </w:tc>
        <w:tc>
          <w:tcPr>
            <w:tcW w:w="252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w:t>
            </w:r>
          </w:p>
        </w:tc>
        <w:tc>
          <w:tcPr>
            <w:tcW w:w="2220" w:type="dxa"/>
            <w:vAlign w:val="bottom"/>
            <w:tcBorders>
              <w:bottom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7"/>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Number of subjects with any AE</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74"/>
              </w:rPr>
              <w:t>·</w:t>
            </w:r>
            <w:r>
              <w:rPr>
                <w:rFonts w:ascii="Arial" w:cs="Arial" w:eastAsia="Arial" w:hAnsi="Arial"/>
                <w:sz w:val="18"/>
                <w:szCs w:val="18"/>
                <w:color w:val="auto"/>
                <w:w w:val="74"/>
              </w:rPr>
              <w:t>9</w:t>
            </w: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(75.0%)</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8</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(61.5%)</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7</w:t>
            </w: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(58.3%)</w:t>
            </w:r>
          </w:p>
        </w:tc>
        <w:tc>
          <w:tcPr>
            <w:tcW w:w="222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 (76.9%)</w:t>
            </w:r>
          </w:p>
        </w:tc>
        <w:tc>
          <w:tcPr>
            <w:tcW w:w="0" w:type="dxa"/>
            <w:vAlign w:val="bottom"/>
          </w:tcPr>
          <w:p>
            <w:pPr>
              <w:spacing w:after="0"/>
              <w:rPr>
                <w:sz w:val="1"/>
                <w:szCs w:val="1"/>
                <w:color w:val="auto"/>
              </w:rPr>
            </w:pPr>
          </w:p>
        </w:tc>
      </w:tr>
      <w:tr>
        <w:trPr>
          <w:trHeight w:val="217"/>
        </w:trPr>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Number of SAEs</w:t>
            </w:r>
          </w:p>
        </w:tc>
        <w:tc>
          <w:tcPr>
            <w:tcW w:w="4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w w:val="74"/>
              </w:rPr>
              <w:t>·</w:t>
            </w:r>
            <w:r>
              <w:rPr>
                <w:rFonts w:ascii="Arial" w:cs="Arial" w:eastAsia="Arial" w:hAnsi="Arial"/>
                <w:sz w:val="18"/>
                <w:szCs w:val="18"/>
                <w:color w:val="auto"/>
                <w:w w:val="74"/>
              </w:rPr>
              <w:t>0</w:t>
            </w:r>
          </w:p>
        </w:tc>
        <w:tc>
          <w:tcPr>
            <w:tcW w:w="1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0</w:t>
            </w:r>
          </w:p>
        </w:tc>
        <w:tc>
          <w:tcPr>
            <w:tcW w:w="1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0</w:t>
            </w:r>
          </w:p>
        </w:tc>
        <w:tc>
          <w:tcPr>
            <w:tcW w:w="1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0</w:t>
            </w:r>
          </w:p>
        </w:tc>
        <w:tc>
          <w:tcPr>
            <w:tcW w:w="1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Number of AEs resulting in death</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74"/>
              </w:rPr>
              <w:t>·</w:t>
            </w:r>
            <w:r>
              <w:rPr>
                <w:rFonts w:ascii="Arial" w:cs="Arial" w:eastAsia="Arial" w:hAnsi="Arial"/>
                <w:sz w:val="18"/>
                <w:szCs w:val="18"/>
                <w:color w:val="auto"/>
                <w:w w:val="74"/>
              </w:rPr>
              <w:t>0</w:t>
            </w: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0</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0</w:t>
            </w: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0</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28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Number of AEs leading to</w:t>
            </w:r>
          </w:p>
        </w:tc>
        <w:tc>
          <w:tcPr>
            <w:tcW w:w="480" w:type="dxa"/>
            <w:vAlign w:val="bottom"/>
            <w:vMerge w:val="restart"/>
            <w:shd w:val="clear" w:color="auto" w:fill="CCEEFF"/>
          </w:tcPr>
          <w:p>
            <w:pPr>
              <w:ind w:left="340"/>
              <w:spacing w:after="0"/>
              <w:rPr>
                <w:sz w:val="20"/>
                <w:szCs w:val="20"/>
                <w:color w:val="auto"/>
              </w:rPr>
            </w:pPr>
            <w:r>
              <w:rPr>
                <w:rFonts w:ascii="Arial" w:cs="Arial" w:eastAsia="Arial" w:hAnsi="Arial"/>
                <w:sz w:val="18"/>
                <w:szCs w:val="18"/>
                <w:b w:val="1"/>
                <w:bCs w:val="1"/>
                <w:color w:val="auto"/>
                <w:w w:val="74"/>
              </w:rPr>
              <w:t>·</w:t>
            </w:r>
            <w:r>
              <w:rPr>
                <w:rFonts w:ascii="Arial" w:cs="Arial" w:eastAsia="Arial" w:hAnsi="Arial"/>
                <w:sz w:val="18"/>
                <w:szCs w:val="18"/>
                <w:color w:val="auto"/>
                <w:w w:val="74"/>
              </w:rPr>
              <w:t>0</w:t>
            </w:r>
          </w:p>
        </w:tc>
        <w:tc>
          <w:tcPr>
            <w:tcW w:w="14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(0%)</w:t>
            </w:r>
          </w:p>
        </w:tc>
        <w:tc>
          <w:tcPr>
            <w:tcW w:w="580" w:type="dxa"/>
            <w:vAlign w:val="bottom"/>
            <w:vMerge w:val="restart"/>
            <w:shd w:val="clear" w:color="auto" w:fill="CCEEFF"/>
          </w:tcPr>
          <w:p>
            <w:pPr>
              <w:ind w:left="420"/>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0</w:t>
            </w:r>
          </w:p>
        </w:tc>
        <w:tc>
          <w:tcPr>
            <w:tcW w:w="13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(0%)</w:t>
            </w:r>
          </w:p>
        </w:tc>
        <w:tc>
          <w:tcPr>
            <w:tcW w:w="660" w:type="dxa"/>
            <w:vAlign w:val="bottom"/>
            <w:vMerge w:val="restart"/>
            <w:shd w:val="clear" w:color="auto" w:fill="CCEEFF"/>
          </w:tcPr>
          <w:p>
            <w:pPr>
              <w:ind w:left="500"/>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0</w:t>
            </w:r>
          </w:p>
        </w:tc>
        <w:tc>
          <w:tcPr>
            <w:tcW w:w="18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(0%)</w:t>
            </w:r>
          </w:p>
        </w:tc>
        <w:tc>
          <w:tcPr>
            <w:tcW w:w="860" w:type="dxa"/>
            <w:vAlign w:val="bottom"/>
            <w:vMerge w:val="restart"/>
            <w:shd w:val="clear" w:color="auto" w:fill="CCEEFF"/>
          </w:tcPr>
          <w:p>
            <w:pPr>
              <w:ind w:left="700"/>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1</w:t>
            </w:r>
          </w:p>
        </w:tc>
        <w:tc>
          <w:tcPr>
            <w:tcW w:w="1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17"/>
        </w:trPr>
        <w:tc>
          <w:tcPr>
            <w:tcW w:w="2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discontinuation of study drug</w:t>
            </w:r>
          </w:p>
        </w:tc>
        <w:tc>
          <w:tcPr>
            <w:tcW w:w="480" w:type="dxa"/>
            <w:vAlign w:val="bottom"/>
            <w:vMerge w:val="continue"/>
            <w:shd w:val="clear" w:color="auto" w:fill="CCEEFF"/>
          </w:tcPr>
          <w:p>
            <w:pPr>
              <w:spacing w:after="0"/>
              <w:rPr>
                <w:sz w:val="10"/>
                <w:szCs w:val="10"/>
                <w:color w:val="auto"/>
              </w:rPr>
            </w:pPr>
          </w:p>
        </w:tc>
        <w:tc>
          <w:tcPr>
            <w:tcW w:w="1400" w:type="dxa"/>
            <w:vAlign w:val="bottom"/>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380" w:type="dxa"/>
            <w:vAlign w:val="bottom"/>
            <w:vMerge w:val="continue"/>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186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840" w:type="dxa"/>
            <w:vAlign w:val="bottom"/>
            <w:tcBorders>
              <w:bottom w:val="single" w:sz="8" w:color="auto"/>
            </w:tcBorders>
            <w:vMerge w:val="continue"/>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spacing w:after="0"/>
              <w:rPr>
                <w:sz w:val="9"/>
                <w:szCs w:val="9"/>
                <w:color w:val="auto"/>
              </w:rPr>
            </w:pPr>
          </w:p>
        </w:tc>
        <w:tc>
          <w:tcPr>
            <w:tcW w:w="140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spacing w:after="0"/>
              <w:rPr>
                <w:sz w:val="9"/>
                <w:szCs w:val="9"/>
                <w:color w:val="auto"/>
              </w:rPr>
            </w:pPr>
          </w:p>
        </w:tc>
        <w:tc>
          <w:tcPr>
            <w:tcW w:w="138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spacing w:after="0"/>
              <w:rPr>
                <w:sz w:val="9"/>
                <w:szCs w:val="9"/>
                <w:color w:val="auto"/>
              </w:rPr>
            </w:pPr>
          </w:p>
        </w:tc>
        <w:tc>
          <w:tcPr>
            <w:tcW w:w="186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spacing w:after="0"/>
              <w:rPr>
                <w:sz w:val="9"/>
                <w:szCs w:val="9"/>
                <w:color w:val="auto"/>
              </w:rPr>
            </w:pPr>
          </w:p>
        </w:tc>
        <w:tc>
          <w:tcPr>
            <w:tcW w:w="136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ind w:left="640"/>
        <w:spacing w:after="0"/>
        <w:rPr>
          <w:sz w:val="20"/>
          <w:szCs w:val="20"/>
          <w:color w:val="auto"/>
        </w:rPr>
      </w:pPr>
      <w:r>
        <w:rPr>
          <w:rFonts w:ascii="Arial" w:cs="Arial" w:eastAsia="Arial" w:hAnsi="Arial"/>
          <w:sz w:val="18"/>
          <w:szCs w:val="18"/>
          <w:color w:val="auto"/>
        </w:rPr>
        <w:t>AE = adverse event; SAE = serious adverse event.</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majority of the reported AEs were nervous system disorders (23 subjects, 46% of subjects) and gastrointestinal disorders (7 subjects, 14.0%). The remaining AEs were classified as eye disorders (3 subjects, 6.0%); psychiatric disorders (3 subjects, 6.0%); respiratory, thoracic, and mediastinal disorders (3, 6.0%); skin and subcutaneous tissue disorders (3 subjects, 6.0%); general disorders and administration site conditions (2 subjects, 4.0%); cardiac disorders (1 subject, 2.0%); infections and infestations (1 subject, 2.0%); musculoskeletal and connective tissue disorders (1 subject, 2.0%); and renal disorders (1 subject, 2.0%).</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distribution of AEs by System Organ Class was similar among the cohorts with the exception of headaches and gastrointestinal disorders. Eight of the 18 (44.4%) reported headaches were in the placebo group, 6 (33.3%) were in the 1,080-mg group, 3 (16.7%) were in the 1,440-mg group, and 1 (5.6%) was in the 360-mg group. Three (42.9%) of the 7 reported gastrointestinal disorders were in the 360-mg group, 2 (28.6%) were in the placebo group, 1 (14.3%) was in the 1,080-mg group, and 1 (14.3%) was in the 1,440-mg group.</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determination of the relationship of the AE to the study drug was made when the data were blinded. Ten of the 15 AEs (66.7%) that occurred in the 360-mg AV-101 group, 10 of the 14 AEs (71.4%) that occurred in the 1,040-mg AV-101 group, 7 of the 10 AEs (70.0%) that occurred in the 1,440-mg AV-101 group, and 13 of the 17 AEs (76.5%) that occurred in the placebo group were determined to be possibly related to study drug. One (5.9%) AE in the placebo group was probably related to study drug (rash around neck). Of the 57 reported AEs, 49 (85.9%) were of mild intensity and 8 (14.0%) were of moderate intensity. There were 2 moderate intensity AEs in the 360-mg AV-101 group; 1 was unrelated pain in the right foot, and 1 was a possibly related headache. All other moderate AEs occurred in the placebo group and included nausea or vomiting (2 AEs), headache (2 AEs), and rash around the neck (1 AE). No severe AEs were reported.</w:t>
      </w:r>
    </w:p>
    <w:p>
      <w:pPr>
        <w:spacing w:after="0" w:line="16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Even though these safety studies were not designed to quantitatively assess effects on mood, during the interviews one, out of 12-13 subjects who received 360, 1080, and 1440 mg of AV-101, voluntarily acknowledged positive effects on mood. Similar comments were not made by any of the 13 placebo-group subjects.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83" w:right="239" w:bottom="901"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Phase 1b Pharmacokinetics Summary</w:t>
      </w:r>
    </w:p>
    <w:p>
      <w:pPr>
        <w:spacing w:after="0" w:line="21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Concentration-time data were obtained after dosing of the three cohorts. Plasma concentrations of L-4-Cl-KYN (AV-101) and the metabolite, 7-Cl-KYNA, were obtained from subjects that received AV-101. PK parameters were calculated by using WinNonlin Pro Version 5.3. Parameters calculated included Cmax, Tmax, AUC</w:t>
      </w:r>
      <w:r>
        <w:rPr>
          <w:rFonts w:ascii="Arial" w:cs="Arial" w:eastAsia="Arial" w:hAnsi="Arial"/>
          <w:sz w:val="24"/>
          <w:szCs w:val="24"/>
          <w:color w:val="auto"/>
          <w:vertAlign w:val="subscript"/>
        </w:rPr>
        <w:t>0-t</w:t>
      </w:r>
      <w:r>
        <w:rPr>
          <w:rFonts w:ascii="Arial" w:cs="Arial" w:eastAsia="Arial" w:hAnsi="Arial"/>
          <w:sz w:val="18"/>
          <w:szCs w:val="18"/>
          <w:color w:val="auto"/>
        </w:rPr>
        <w:t>, AUC</w:t>
      </w:r>
      <w:r>
        <w:rPr>
          <w:rFonts w:ascii="Arial" w:cs="Arial" w:eastAsia="Arial" w:hAnsi="Arial"/>
          <w:sz w:val="24"/>
          <w:szCs w:val="24"/>
          <w:color w:val="auto"/>
          <w:vertAlign w:val="subscript"/>
        </w:rPr>
        <w:t>0-∞</w:t>
      </w:r>
      <w:r>
        <w:rPr>
          <w:rFonts w:ascii="Arial" w:cs="Arial" w:eastAsia="Arial" w:hAnsi="Arial"/>
          <w:sz w:val="18"/>
          <w:szCs w:val="18"/>
          <w:color w:val="auto"/>
        </w:rPr>
        <w:t>, and t</w:t>
      </w:r>
      <w:r>
        <w:rPr>
          <w:rFonts w:ascii="Arial" w:cs="Arial" w:eastAsia="Arial" w:hAnsi="Arial"/>
          <w:sz w:val="24"/>
          <w:szCs w:val="24"/>
          <w:color w:val="auto"/>
          <w:vertAlign w:val="subscript"/>
        </w:rPr>
        <w:t>1/2</w:t>
      </w:r>
      <w:r>
        <w:rPr>
          <w:rFonts w:ascii="Arial" w:cs="Arial" w:eastAsia="Arial" w:hAnsi="Arial"/>
          <w:sz w:val="18"/>
          <w:szCs w:val="18"/>
          <w:color w:val="auto"/>
        </w:rPr>
        <w:t>.</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Plasma concentration-time profiles obtained for L-4-Cl-KYN after administration of once-daily oral doses of 360, 1,080, or 1,440 mg AV-101 were consistent with rapid absorption of the oral dose and first-order elimination of both L-4-Cl-KYN and 7-Cl-KYNA, with evidence of multicompartment kinetics, particularly for the metabolite 7-Cl-KYNA. Several subjects had plasma concentration-time profiles with a last measurable sample that appeared to be an outlier or suggested multicompartment kinetics, making it challenging to identify a terminal log-linear elimination phase. Particularly for 7-Cl-KYNA, using the last two measurable samples to calculate t</w:t>
      </w:r>
      <w:r>
        <w:rPr>
          <w:rFonts w:ascii="Arial" w:cs="Arial" w:eastAsia="Arial" w:hAnsi="Arial"/>
          <w:sz w:val="23"/>
          <w:szCs w:val="23"/>
          <w:color w:val="auto"/>
          <w:vertAlign w:val="subscript"/>
        </w:rPr>
        <w:t>1/2</w:t>
      </w:r>
      <w:r>
        <w:rPr>
          <w:rFonts w:ascii="Arial" w:cs="Arial" w:eastAsia="Arial" w:hAnsi="Arial"/>
          <w:sz w:val="17"/>
          <w:szCs w:val="17"/>
          <w:color w:val="auto"/>
        </w:rPr>
        <w:t xml:space="preserve"> resulted in unrealistic values for some subjects.</w:t>
      </w:r>
    </w:p>
    <w:p>
      <w:pPr>
        <w:spacing w:after="0" w:line="183"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Plasma concentration-time profiles for L-4-Cl-KYN were more consistently single compartment, but several had a subtle multicompartment appearance. To be consistent in the calculation of t</w:t>
      </w:r>
      <w:r>
        <w:rPr>
          <w:rFonts w:ascii="Arial" w:cs="Arial" w:eastAsia="Arial" w:hAnsi="Arial"/>
          <w:sz w:val="24"/>
          <w:szCs w:val="24"/>
          <w:color w:val="auto"/>
          <w:vertAlign w:val="subscript"/>
        </w:rPr>
        <w:t>1/2</w:t>
      </w:r>
      <w:r>
        <w:rPr>
          <w:rFonts w:ascii="Arial" w:cs="Arial" w:eastAsia="Arial" w:hAnsi="Arial"/>
          <w:sz w:val="18"/>
          <w:szCs w:val="18"/>
          <w:color w:val="auto"/>
        </w:rPr>
        <w:t xml:space="preserve"> and to report a meaningful value, the final three samples with measurable concentrations were used to calculate t</w:t>
      </w:r>
      <w:r>
        <w:rPr>
          <w:rFonts w:ascii="Arial" w:cs="Arial" w:eastAsia="Arial" w:hAnsi="Arial"/>
          <w:sz w:val="24"/>
          <w:szCs w:val="24"/>
          <w:color w:val="auto"/>
          <w:vertAlign w:val="subscript"/>
        </w:rPr>
        <w:t>1/2</w:t>
      </w:r>
      <w:r>
        <w:rPr>
          <w:rFonts w:ascii="Arial" w:cs="Arial" w:eastAsia="Arial" w:hAnsi="Arial"/>
          <w:sz w:val="18"/>
          <w:szCs w:val="18"/>
          <w:color w:val="auto"/>
        </w:rPr>
        <w:t xml:space="preserve"> for subjects for whom those samples appeared to be log-linear. Otherwise, the last sample was essentially treated as an outlier, and the prior samples in the log-linear phase were used to calculate t</w:t>
      </w:r>
      <w:r>
        <w:rPr>
          <w:rFonts w:ascii="Arial" w:cs="Arial" w:eastAsia="Arial" w:hAnsi="Arial"/>
          <w:sz w:val="24"/>
          <w:szCs w:val="24"/>
          <w:color w:val="auto"/>
          <w:vertAlign w:val="subscript"/>
        </w:rPr>
        <w:t>1/2</w:t>
      </w:r>
      <w:r>
        <w:rPr>
          <w:rFonts w:ascii="Arial" w:cs="Arial" w:eastAsia="Arial" w:hAnsi="Arial"/>
          <w:sz w:val="18"/>
          <w:szCs w:val="18"/>
          <w:color w:val="auto"/>
        </w:rPr>
        <w:t xml:space="preserve"> (these samples had a higher coefficient of determination value than the last three samples). In addition, the AUC</w:t>
      </w:r>
      <w:r>
        <w:rPr>
          <w:rFonts w:ascii="Arial" w:cs="Arial" w:eastAsia="Arial" w:hAnsi="Arial"/>
          <w:sz w:val="24"/>
          <w:szCs w:val="24"/>
          <w:color w:val="auto"/>
          <w:vertAlign w:val="subscript"/>
        </w:rPr>
        <w:t>0-∞</w:t>
      </w:r>
      <w:r>
        <w:rPr>
          <w:rFonts w:ascii="Arial" w:cs="Arial" w:eastAsia="Arial" w:hAnsi="Arial"/>
          <w:sz w:val="18"/>
          <w:szCs w:val="18"/>
          <w:color w:val="auto"/>
        </w:rPr>
        <w:t xml:space="preserve"> values reported are calculated using the predicted last value rather than observed.</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An absolute bioavailability evaluation is not possible from the data; however, an estimate of exposure can be done by comparing the AUC at the same doses. The mean AUC</w:t>
      </w:r>
      <w:r>
        <w:rPr>
          <w:rFonts w:ascii="Arial" w:cs="Arial" w:eastAsia="Arial" w:hAnsi="Arial"/>
          <w:sz w:val="24"/>
          <w:szCs w:val="24"/>
          <w:color w:val="auto"/>
          <w:vertAlign w:val="subscript"/>
        </w:rPr>
        <w:t>0-∞</w:t>
      </w:r>
      <w:r>
        <w:rPr>
          <w:rFonts w:ascii="Arial" w:cs="Arial" w:eastAsia="Arial" w:hAnsi="Arial"/>
          <w:sz w:val="18"/>
          <w:szCs w:val="18"/>
          <w:color w:val="auto"/>
        </w:rPr>
        <w:t>values in the Phase 1b study were higher at all three doses than seen in Phase 1a study, suggesting similar or even higher bioavailability than that in the Phase 1a study, i.e ≥ 31%.</w:t>
      </w:r>
    </w:p>
    <w:p>
      <w:pPr>
        <w:spacing w:after="0" w:line="20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conclusion, the PK of AV-101 was fully characterized across the range of doses in this study. Plasma concentration-time profiles obtained for L-4-Cl-KYN (AV-101) and 7-Cl-KYNA after administration of a single and multiple, once daily oral doses of 360, 1,080, or 1,440 mg were consistent with rapid absorption of the oral dose and first-order elimination of both analytes, with evidence of multi-compartment kinetics, particularly for the metabolite 7-Cl-KYNA.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 Overall Safety Conclusions</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Phase 1a and Phase 1b safety data indicate that AV-101 was safe and well tolerated at all three doses tested. Overall, 57 AEs were reported by 34 subjects, with 17 AEs (29.8%) occurring in the placebo group. There was a higher rate of AEs reported from subjects that received placebo than from subjects that received AV-101. A total of 40 AEs were reported by 24 of 37 (64.9%) subjects receiving AV-101, and 17 AEs were reported by 10 of 13 (76.9%) subject receiving placebo. Additionally, 49 of the 57 total AEs (85.9%) were considered mild, and the remaining 8 AEs (14.0%) were considered moderate. Of these AEs, headache (nervous system disorder) was the most commonly reported preferred term. All of the AEs were completely resolved.</w:t>
      </w:r>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Overall, the safety results indicate AV-101 is safe and well tolerated in healthy subjects. Subjects receiving AV-101 reported a lower percentage of AEs relative to subjects receiving placebo. Moreover, there were no AEs reported by subjects that received AV-101 that were graded as probably related to study drug. The type and distribution of AEs reported by subjects in this study was considered to be typical for a study in healthy volunteers.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7" w:name="page18"/>
    <w:bookmarkEnd w:id="17"/>
    <w:p>
      <w:pPr>
        <w:jc w:val="both"/>
        <w:spacing w:after="0" w:line="250" w:lineRule="auto"/>
        <w:rPr>
          <w:sz w:val="20"/>
          <w:szCs w:val="20"/>
          <w:color w:val="auto"/>
        </w:rPr>
      </w:pPr>
      <w:r>
        <w:rPr>
          <w:rFonts w:ascii="Arial" w:cs="Arial" w:eastAsia="Arial" w:hAnsi="Arial"/>
          <w:sz w:val="18"/>
          <w:szCs w:val="18"/>
          <w:color w:val="auto"/>
        </w:rPr>
        <w:t>A total of 40 AEs were reported by 24 of 37 (64.9%) subjects receiving AV-101, and 17 AEs were reported by 10 of 13 (76.9%) subject receiving placebo (Table 5-6).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the Phase 1 safety and pharmacokinetic studies were not designed to measure or evaluate the potential antidepressant effects of AV-101, approximately 9% (5/57) of the healthy volunteer subjects receiving AV-101 and none of the 31 subjects receiving placebo reported “feelings of wellbeing” (coded as euphoric mood), similar to the rapid-onset antidepressant effects reported in the literature with ketamine. Table 1 lists the percent of adverse events reported by the subjects in each of the two Phase 1 studies and the number of events reported as euphoric mood per number of subjects on placebo and AV-101.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Table 1. Reports of Well-Being (coded as Euphoric Mood) in Phase 1 Clinical Studies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18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Placebo</w:t>
            </w:r>
          </w:p>
        </w:tc>
        <w:tc>
          <w:tcPr>
            <w:tcW w:w="2980" w:type="dxa"/>
            <w:vAlign w:val="bottom"/>
            <w:gridSpan w:val="2"/>
          </w:tcPr>
          <w:p>
            <w:pPr>
              <w:jc w:val="center"/>
              <w:spacing w:after="0"/>
              <w:rPr>
                <w:sz w:val="20"/>
                <w:szCs w:val="20"/>
                <w:color w:val="auto"/>
              </w:rPr>
            </w:pPr>
            <w:r>
              <w:rPr>
                <w:rFonts w:ascii="Arial" w:cs="Arial" w:eastAsia="Arial" w:hAnsi="Arial"/>
                <w:sz w:val="18"/>
                <w:szCs w:val="18"/>
                <w:color w:val="auto"/>
                <w:w w:val="89"/>
              </w:rPr>
              <w:t>AV-101</w:t>
            </w:r>
          </w:p>
        </w:tc>
      </w:tr>
      <w:tr>
        <w:trPr>
          <w:trHeight w:val="229"/>
        </w:trPr>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18"/>
                <w:szCs w:val="18"/>
                <w:color w:val="auto"/>
                <w:w w:val="89"/>
              </w:rPr>
              <w:t>% of Adverse Events/N</w:t>
            </w:r>
          </w:p>
        </w:tc>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 of Adverse Events/N</w:t>
            </w:r>
          </w:p>
        </w:tc>
      </w:tr>
      <w:tr>
        <w:trPr>
          <w:trHeight w:val="217"/>
        </w:trPr>
        <w:tc>
          <w:tcPr>
            <w:tcW w:w="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8"/>
                <w:szCs w:val="8"/>
                <w:color w:val="auto"/>
                <w:w w:val="73"/>
              </w:rPr>
              <w:t>·</w:t>
            </w:r>
          </w:p>
        </w:tc>
        <w:tc>
          <w:tcPr>
            <w:tcW w:w="50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Phase 1a</w:t>
            </w:r>
          </w:p>
        </w:tc>
        <w:tc>
          <w:tcPr>
            <w:tcW w:w="15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r>
      <w:tr>
        <w:trPr>
          <w:trHeight w:val="217"/>
        </w:trPr>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5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Nonserious Adverse Events</w:t>
            </w:r>
          </w:p>
        </w:tc>
        <w:tc>
          <w:tcPr>
            <w:tcW w:w="3180" w:type="dxa"/>
            <w:vAlign w:val="bottom"/>
            <w:tcBorders>
              <w:bottom w:val="single" w:sz="8" w:color="auto"/>
            </w:tcBorders>
            <w:gridSpan w:val="2"/>
          </w:tcPr>
          <w:p>
            <w:pPr>
              <w:jc w:val="center"/>
              <w:ind w:left="92"/>
              <w:spacing w:after="0"/>
              <w:rPr>
                <w:sz w:val="20"/>
                <w:szCs w:val="20"/>
                <w:color w:val="auto"/>
              </w:rPr>
            </w:pPr>
            <w:r>
              <w:rPr>
                <w:rFonts w:ascii="Arial" w:cs="Arial" w:eastAsia="Arial" w:hAnsi="Arial"/>
                <w:sz w:val="18"/>
                <w:szCs w:val="18"/>
                <w:color w:val="auto"/>
                <w:w w:val="90"/>
              </w:rPr>
              <w:t>22% (4/18)</w:t>
            </w:r>
          </w:p>
        </w:tc>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28% (5/18)</w:t>
            </w:r>
          </w:p>
        </w:tc>
      </w:tr>
      <w:tr>
        <w:trPr>
          <w:trHeight w:val="217"/>
        </w:trPr>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Feelings of Well-being (coded as euphoric mood)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(0/18)</w:t>
            </w:r>
          </w:p>
        </w:tc>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11% (2/18)</w:t>
            </w:r>
          </w:p>
        </w:tc>
      </w:tr>
      <w:tr>
        <w:trPr>
          <w:trHeight w:val="217"/>
        </w:trPr>
        <w:tc>
          <w:tcPr>
            <w:tcW w:w="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8"/>
                <w:szCs w:val="8"/>
                <w:color w:val="auto"/>
                <w:w w:val="73"/>
              </w:rPr>
              <w:t>·</w:t>
            </w:r>
          </w:p>
        </w:tc>
        <w:tc>
          <w:tcPr>
            <w:tcW w:w="50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Phase 1b</w:t>
            </w:r>
          </w:p>
        </w:tc>
        <w:tc>
          <w:tcPr>
            <w:tcW w:w="15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r>
      <w:tr>
        <w:trPr>
          <w:trHeight w:val="217"/>
        </w:trPr>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5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Nonserious Adverse Events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(10/13)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(24/37)</w:t>
            </w:r>
          </w:p>
        </w:tc>
      </w:tr>
      <w:tr>
        <w:trPr>
          <w:trHeight w:val="217"/>
        </w:trPr>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5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Feelings of Well-being (coded as euphoric mood)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(0/13)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(3/37)</w:t>
            </w:r>
          </w:p>
        </w:tc>
      </w:tr>
      <w:tr>
        <w:trPr>
          <w:trHeight w:val="217"/>
        </w:trPr>
        <w:tc>
          <w:tcPr>
            <w:tcW w:w="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8"/>
                <w:szCs w:val="8"/>
                <w:color w:val="auto"/>
                <w:w w:val="73"/>
              </w:rPr>
              <w:t>·</w:t>
            </w:r>
          </w:p>
        </w:tc>
        <w:tc>
          <w:tcPr>
            <w:tcW w:w="502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Phase 1a and 1b</w:t>
            </w:r>
          </w:p>
        </w:tc>
        <w:tc>
          <w:tcPr>
            <w:tcW w:w="15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r>
      <w:tr>
        <w:trPr>
          <w:trHeight w:val="217"/>
        </w:trPr>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5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Feelings of Well-being (coded as euphoric mood)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(0/31)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(5/55)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 = number of subjects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five events of feeling of well-being (coded as euphoric mood) occurred in one subject each at 360 (7%, 1 of 15 subjects) and 1,080 mg (6%, 1 of 16 subjects), and three subjects at 1,440 mg (20%, 3 of 15 subjects) in the Phase 1a and Phase 1b clinical studies. Four of the five subjects reporting well-being/euphoric mood did not have any other adverse experiences, and one subject (1,080 mg) also reported a mild headache. These results suggest a dose response and that AV-101 at the higher doses may lead to an increased positive mood.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8" w:name="page19"/>
    <w:bookmarkEnd w:id="1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Stem Cell Technology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believe </w:t>
      </w:r>
      <w:r>
        <w:rPr>
          <w:rFonts w:ascii="Arial" w:cs="Arial" w:eastAsia="Arial" w:hAnsi="Arial"/>
          <w:sz w:val="16"/>
          <w:szCs w:val="16"/>
          <w:i w:val="1"/>
          <w:iCs w:val="1"/>
          <w:color w:val="auto"/>
        </w:rPr>
        <w:t>better cells lead to better medicines</w:t>
      </w:r>
      <w:r>
        <w:rPr>
          <w:rFonts w:ascii="Arial" w:cs="Arial" w:eastAsia="Arial" w:hAnsi="Arial"/>
          <w:sz w:val="16"/>
          <w:szCs w:val="16"/>
          <w:color w:val="auto"/>
        </w:rPr>
        <w:t xml:space="preserve">™ and that the key to making better cells is precisely controlling the differentiation of human pluripotent stem cells (hPSCs), which are the building blocks of all cells of the human body. Our stem cell technology platform is based on proprietary and licensed technologies for controlling the differentiation of hPSCs and producing the multiple types of mature, non-transformed, functional, adult human cells that we use, or plan to use, to reproduce complex human biology and disease and assess, </w:t>
      </w:r>
      <w:r>
        <w:rPr>
          <w:rFonts w:ascii="Arial" w:cs="Arial" w:eastAsia="Arial" w:hAnsi="Arial"/>
          <w:sz w:val="16"/>
          <w:szCs w:val="16"/>
          <w:i w:val="1"/>
          <w:iCs w:val="1"/>
          <w:color w:val="auto"/>
        </w:rPr>
        <w:t>in vitro</w:t>
      </w:r>
      <w:r>
        <w:rPr>
          <w:rFonts w:ascii="Arial" w:cs="Arial" w:eastAsia="Arial" w:hAnsi="Arial"/>
          <w:sz w:val="16"/>
          <w:szCs w:val="16"/>
          <w:color w:val="auto"/>
        </w:rPr>
        <w:t>, the potential therapeutic benefits and safety risks of new chemical entities (NCEs)..</w:t>
      </w:r>
    </w:p>
    <w:p>
      <w:pPr>
        <w:spacing w:after="0" w:line="16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We have used our hPSC-derived cardiomyocytes (human heart cells we refer to as </w:t>
      </w:r>
      <w:r>
        <w:rPr>
          <w:rFonts w:ascii="Arial" w:cs="Arial" w:eastAsia="Arial" w:hAnsi="Arial"/>
          <w:sz w:val="16"/>
          <w:szCs w:val="16"/>
          <w:i w:val="1"/>
          <w:iCs w:val="1"/>
          <w:color w:val="auto"/>
        </w:rPr>
        <w:t>VSTA-CMs</w:t>
      </w:r>
      <w:r>
        <w:rPr>
          <w:rFonts w:ascii="Arial" w:cs="Arial" w:eastAsia="Arial" w:hAnsi="Arial"/>
          <w:sz w:val="16"/>
          <w:szCs w:val="16"/>
          <w:color w:val="auto"/>
        </w:rPr>
        <w:t xml:space="preserve">™) to design and develop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our novel, customized </w:t>
      </w:r>
      <w:r>
        <w:rPr>
          <w:rFonts w:ascii="Arial" w:cs="Arial" w:eastAsia="Arial" w:hAnsi="Arial"/>
          <w:sz w:val="16"/>
          <w:szCs w:val="16"/>
          <w:i w:val="1"/>
          <w:iCs w:val="1"/>
          <w:color w:val="auto"/>
        </w:rPr>
        <w:t xml:space="preserve">in vitro </w:t>
      </w:r>
      <w:r>
        <w:rPr>
          <w:rFonts w:ascii="Arial" w:cs="Arial" w:eastAsia="Arial" w:hAnsi="Arial"/>
          <w:sz w:val="16"/>
          <w:szCs w:val="16"/>
          <w:color w:val="auto"/>
        </w:rPr>
        <w:t>bioassay system for predicting potential cardiotoxicity of new chemical entities (NCEs), including drug rescue NCEs. We believe</w:t>
      </w:r>
      <w:r>
        <w:rPr>
          <w:rFonts w:ascii="Arial" w:cs="Arial" w:eastAsia="Arial" w:hAnsi="Arial"/>
          <w:sz w:val="16"/>
          <w:szCs w:val="16"/>
          <w:i w:val="1"/>
          <w:iCs w:val="1"/>
          <w:color w:val="auto"/>
        </w:rPr>
        <w:t xml:space="preserve"> CardioSafe </w:t>
      </w:r>
      <w:r>
        <w:rPr>
          <w:rFonts w:ascii="Arial" w:cs="Arial" w:eastAsia="Arial" w:hAnsi="Arial"/>
          <w:sz w:val="16"/>
          <w:szCs w:val="16"/>
          <w:color w:val="auto"/>
        </w:rPr>
        <w:t>3D is more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comprehensive and clinically predictive than the hERG assay, currently the only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safety assay required by FDA guidelines. We use our stem cell-derived hepatocytes (human liver cells we refer to as </w:t>
      </w:r>
      <w:r>
        <w:rPr>
          <w:rFonts w:ascii="Arial" w:cs="Arial" w:eastAsia="Arial" w:hAnsi="Arial"/>
          <w:sz w:val="16"/>
          <w:szCs w:val="16"/>
          <w:i w:val="1"/>
          <w:iCs w:val="1"/>
          <w:color w:val="auto"/>
        </w:rPr>
        <w:t>VSTA-heps™)</w:t>
      </w:r>
      <w:r>
        <w:rPr>
          <w:rFonts w:ascii="Arial" w:cs="Arial" w:eastAsia="Arial" w:hAnsi="Arial"/>
          <w:sz w:val="16"/>
          <w:szCs w:val="16"/>
          <w:color w:val="auto"/>
        </w:rPr>
        <w:t xml:space="preserve"> as the foundation of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our second novel, customized bioassay system for predicting potential liver toxicity of new drug candidates, including potential drug metabolism issues and adverse drug-drug interactions. VSTA-heps are highly-functional, non-transformed, and have the majority of the functional properties of mature human hepatocytes. We believe our </w:t>
      </w:r>
      <w:r>
        <w:rPr>
          <w:rFonts w:ascii="Arial" w:cs="Arial" w:eastAsia="Arial" w:hAnsi="Arial"/>
          <w:sz w:val="16"/>
          <w:szCs w:val="16"/>
          <w:i w:val="1"/>
          <w:iCs w:val="1"/>
          <w:color w:val="auto"/>
        </w:rPr>
        <w:t>VSTA-heps</w:t>
      </w:r>
      <w:r>
        <w:rPr>
          <w:rFonts w:ascii="Arial" w:cs="Arial" w:eastAsia="Arial" w:hAnsi="Arial"/>
          <w:sz w:val="16"/>
          <w:szCs w:val="16"/>
          <w:color w:val="auto"/>
        </w:rPr>
        <w:t xml:space="preserve"> have more functionally useful life-span in culture, and overcome numerous problems related to commercially-available primary (cadaver) hepatocytes currently used in FDA-required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hepatocyte assays for drug metabolism. These commercially-available primary hepatocytes are generally in limited supply and the health status and genetic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differences of the donor are unknown. We believe our </w:t>
      </w:r>
      <w:r>
        <w:rPr>
          <w:rFonts w:ascii="Arial" w:cs="Arial" w:eastAsia="Arial" w:hAnsi="Arial"/>
          <w:sz w:val="16"/>
          <w:szCs w:val="16"/>
          <w:i w:val="1"/>
          <w:iCs w:val="1"/>
          <w:color w:val="auto"/>
        </w:rPr>
        <w:t>VSTA-CMs</w:t>
      </w:r>
      <w:r>
        <w:rPr>
          <w:rFonts w:ascii="Arial" w:cs="Arial" w:eastAsia="Arial" w:hAnsi="Arial"/>
          <w:sz w:val="16"/>
          <w:szCs w:val="16"/>
          <w:color w:val="auto"/>
        </w:rPr>
        <w:t xml:space="preserve">, </w:t>
      </w:r>
      <w:r>
        <w:rPr>
          <w:rFonts w:ascii="Arial" w:cs="Arial" w:eastAsia="Arial" w:hAnsi="Arial"/>
          <w:sz w:val="16"/>
          <w:szCs w:val="16"/>
          <w:i w:val="1"/>
          <w:iCs w:val="1"/>
          <w:color w:val="auto"/>
        </w:rPr>
        <w:t>VSTA-heps</w:t>
      </w:r>
      <w:r>
        <w:rPr>
          <w:rFonts w:ascii="Arial" w:cs="Arial" w:eastAsia="Arial" w:hAnsi="Arial"/>
          <w:sz w:val="16"/>
          <w:szCs w:val="16"/>
          <w:color w:val="auto"/>
        </w:rPr>
        <w:t xml:space="preser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offer a new paradigm for evaluating and predicting potential heart and liver toxicity of NCEs, including drug rescue NCEs, early in development, long before costly, high risk human clinical trials.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Background</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Human pluripotent stem cells (hPSCs)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Human pluripotent stem cells are either embryonic stem cells (</w:t>
      </w:r>
      <w:r>
        <w:rPr>
          <w:rFonts w:ascii="Arial" w:cs="Arial" w:eastAsia="Arial" w:hAnsi="Arial"/>
          <w:sz w:val="16"/>
          <w:szCs w:val="16"/>
          <w:i w:val="1"/>
          <w:iCs w:val="1"/>
          <w:color w:val="auto"/>
        </w:rPr>
        <w:t>hESCs</w:t>
      </w:r>
      <w:r>
        <w:rPr>
          <w:rFonts w:ascii="Arial" w:cs="Arial" w:eastAsia="Arial" w:hAnsi="Arial"/>
          <w:sz w:val="16"/>
          <w:szCs w:val="16"/>
          <w:color w:val="auto"/>
        </w:rPr>
        <w:t>) or induced pluripotent stem cells (</w:t>
      </w:r>
      <w:r>
        <w:rPr>
          <w:rFonts w:ascii="Arial" w:cs="Arial" w:eastAsia="Arial" w:hAnsi="Arial"/>
          <w:sz w:val="16"/>
          <w:szCs w:val="16"/>
          <w:i w:val="1"/>
          <w:iCs w:val="1"/>
          <w:color w:val="auto"/>
        </w:rPr>
        <w:t>iPSCs</w:t>
      </w:r>
      <w:r>
        <w:rPr>
          <w:rFonts w:ascii="Arial" w:cs="Arial" w:eastAsia="Arial" w:hAnsi="Arial"/>
          <w:sz w:val="16"/>
          <w:szCs w:val="16"/>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multiple types of these mature cells as the foundation of to design and develop novel, customized bioassay systems to test the safety and efficacy of NCEs </w:t>
      </w:r>
      <w:r>
        <w:rPr>
          <w:rFonts w:ascii="Arial" w:cs="Arial" w:eastAsia="Arial" w:hAnsi="Arial"/>
          <w:sz w:val="16"/>
          <w:szCs w:val="16"/>
          <w:i w:val="1"/>
          <w:iCs w:val="1"/>
          <w:color w:val="auto"/>
        </w:rPr>
        <w:t>in vitro</w:t>
      </w:r>
      <w:r>
        <w:rPr>
          <w:rFonts w:ascii="Arial" w:cs="Arial" w:eastAsia="Arial" w:hAnsi="Arial"/>
          <w:sz w:val="16"/>
          <w:szCs w:val="16"/>
          <w:color w:val="auto"/>
        </w:rPr>
        <w:t>. These cells also have potential for diverse regenerative medicine applications.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Embryonic Stem Cells (hESCs)</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According to the NIH, human embryonic stem cells are derived from excess embryos that develop from eggs that have been fertilized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fertilization (</w:t>
      </w:r>
      <w:r>
        <w:rPr>
          <w:rFonts w:ascii="Arial" w:cs="Arial" w:eastAsia="Arial" w:hAnsi="Arial"/>
          <w:sz w:val="18"/>
          <w:szCs w:val="18"/>
          <w:i w:val="1"/>
          <w:iCs w:val="1"/>
          <w:color w:val="auto"/>
        </w:rPr>
        <w:t>IVF</w:t>
      </w:r>
      <w:r>
        <w:rPr>
          <w:rFonts w:ascii="Arial" w:cs="Arial" w:eastAsia="Arial" w:hAnsi="Arial"/>
          <w:sz w:val="18"/>
          <w:szCs w:val="18"/>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Human embryonic stem cells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Induced Pluripotent Stem Cells (hESCs)</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It is also possible to obtain hPSC lines from individuals without the use of embryos. Induced pluripotent stem cells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the biology and differentiation capabilities of hESCs and iPSCs are likely to be comparable for most if not all purposes. There are, however, specific situations in which we may prefer to use one or the other type of hPSC. For example, we may prefer to use iPSCs for potential drug discovery applications based on the relative ease of generating iPSCs from:</w:t>
      </w:r>
    </w:p>
    <w:p>
      <w:pPr>
        <w:spacing w:after="0" w:line="188" w:lineRule="exact"/>
        <w:rPr>
          <w:sz w:val="20"/>
          <w:szCs w:val="20"/>
          <w:color w:val="auto"/>
        </w:rPr>
      </w:pPr>
    </w:p>
    <w:p>
      <w:pPr>
        <w:ind w:left="380" w:hanging="237"/>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individuals with specific inheritable diseases and conditions that predispose the individual to respond differently to drugs; or</w:t>
      </w:r>
    </w:p>
    <w:p>
      <w:pPr>
        <w:spacing w:after="0" w:line="214" w:lineRule="exact"/>
        <w:rPr>
          <w:rFonts w:ascii="Arial" w:cs="Arial" w:eastAsia="Arial" w:hAnsi="Arial"/>
          <w:sz w:val="18"/>
          <w:szCs w:val="18"/>
          <w:color w:val="auto"/>
        </w:rPr>
      </w:pPr>
    </w:p>
    <w:p>
      <w:pPr>
        <w:ind w:left="380" w:hanging="237"/>
        <w:spacing w:after="0" w:line="262"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individuals with specific variations in genes that directly affect drug levels in the body or alter the manner or efficiency of their metabolism, breakdown and/or elimination of drugs.</w:t>
      </w:r>
    </w:p>
    <w:p>
      <w:pPr>
        <w:spacing w:after="0" w:line="20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Stem Cell Differentiation Protocols</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Over fifteen years of research, together with Dr. Gordon Keller, our co-founder and Chair of our Scientific Advisory Board, we have developed proprietary differentiation protocols covering key conditions involved in the differentiation of hPSCs into multiple types of mature human cells. The human cells generated by following these proprietary differentiation protocols are integral to our stem cell technology platform. We believe they support more clinically-predictive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bioassay systems than animal testing or cellular assays currently used in drug discovery and development. Our strategic technology licenses from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Jewish Health in Denver, the Icahn School of Medicine at Mount Sinai in New York and the University Health Network in Toronto relate to proprietary stem cell differentiation protocols developed by Dr. Keller and involve precisely-coordinated temporal and quantitative conditions and interaction of biological molecules including the following:</w:t>
      </w:r>
    </w:p>
    <w:p>
      <w:pPr>
        <w:spacing w:after="0" w:line="221" w:lineRule="exact"/>
        <w:rPr>
          <w:sz w:val="20"/>
          <w:szCs w:val="20"/>
          <w:color w:val="auto"/>
        </w:rPr>
      </w:pPr>
    </w:p>
    <w:p>
      <w:pPr>
        <w:ind w:left="260" w:hanging="183"/>
        <w:spacing w:after="0" w:line="262"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specific growth and differentiation factors used in the tissue culture medium, applied in specific combinations, at critical concentrations, and at critical times unique to each desired human cell type;</w:t>
      </w:r>
    </w:p>
    <w:p>
      <w:pPr>
        <w:spacing w:after="0" w:line="180" w:lineRule="exact"/>
        <w:rPr>
          <w:rFonts w:ascii="Arial" w:cs="Arial" w:eastAsia="Arial" w:hAnsi="Arial"/>
          <w:sz w:val="18"/>
          <w:szCs w:val="18"/>
          <w:color w:val="auto"/>
        </w:rPr>
      </w:pPr>
    </w:p>
    <w:p>
      <w:pPr>
        <w:ind w:left="260" w:hanging="183"/>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experimentally controlled regulation of developmental genes, which is critical for determining what differentiation path a human cell will take; and</w:t>
      </w:r>
    </w:p>
    <w:p>
      <w:pPr>
        <w:spacing w:after="0" w:line="237" w:lineRule="exact"/>
        <w:rPr>
          <w:rFonts w:ascii="Arial" w:cs="Arial" w:eastAsia="Arial" w:hAnsi="Arial"/>
          <w:sz w:val="16"/>
          <w:szCs w:val="16"/>
          <w:color w:val="auto"/>
        </w:rPr>
      </w:pPr>
    </w:p>
    <w:p>
      <w:pPr>
        <w:ind w:left="260" w:hanging="183"/>
        <w:spacing w:after="0" w:line="262"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biological markers characteristic of precursor cells, which are committed to becoming specific human cells and tissues, and which can be used to identify, enrich and purify the desired mature human cell type.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our bioassay systems will allow us to assess the toxicity profile of NCEs for a wide range of diseases and conditions with greater speed and precision than nonclinical surrogate safety models most often currently used in drug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3D “Micro-Organ” Culture Systems</w:t>
      </w:r>
    </w:p>
    <w:p>
      <w:pPr>
        <w:spacing w:after="0" w:line="24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addition to standard two-dimensional (</w:t>
      </w:r>
      <w:r>
        <w:rPr>
          <w:rFonts w:ascii="Arial" w:cs="Arial" w:eastAsia="Arial" w:hAnsi="Arial"/>
          <w:sz w:val="16"/>
          <w:szCs w:val="16"/>
          <w:i w:val="1"/>
          <w:iCs w:val="1"/>
          <w:color w:val="auto"/>
        </w:rPr>
        <w:t>2D</w:t>
      </w:r>
      <w:r>
        <w:rPr>
          <w:rFonts w:ascii="Arial" w:cs="Arial" w:eastAsia="Arial" w:hAnsi="Arial"/>
          <w:sz w:val="16"/>
          <w:szCs w:val="16"/>
          <w:color w:val="auto"/>
        </w:rPr>
        <w:t xml:space="preserve">) cultures which work well for some cell types and cellular assays, the proprietary hPSC technologies underlying our stem cell technology platform enable us to grow large numbers of normal, non-transformed, mature human cells to produce novel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3D “micro-organ” culture systems. For example, for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we grow large numbers of normal, non-transformed, human heart cells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that are widely used by pharmaceutical companies today. We believe that the more representative human biology afforded by the 3D system will yield responses to drug candidates that are more predictive of human drug responses.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Medicinal Chemistry</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stem cell technology platform are core components of our drug rescue business model.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The limitations of current preclinical drug testing systems used by pharmaceutical companies contribute to the high failure rate of NCEs. According to articles published in the Journal of Applied Toxicology, Stem Cell Research and Current Opinion in Cardiology, unexpected cardiotoxicity is one of the top two major safety-related reasons for failure of both drugs and drug candidates. Incorporating novel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using hPSC-derived cardiomyocytes (</w:t>
      </w:r>
      <w:r>
        <w:rPr>
          <w:rFonts w:ascii="Arial" w:cs="Arial" w:eastAsia="Arial" w:hAnsi="Arial"/>
          <w:sz w:val="18"/>
          <w:szCs w:val="18"/>
          <w:i w:val="1"/>
          <w:iCs w:val="1"/>
          <w:color w:val="auto"/>
        </w:rPr>
        <w:t>hPSC-CMs</w:t>
      </w:r>
      <w:r>
        <w:rPr>
          <w:rFonts w:ascii="Arial" w:cs="Arial" w:eastAsia="Arial" w:hAnsi="Arial"/>
          <w:sz w:val="18"/>
          <w:szCs w:val="18"/>
          <w:color w:val="auto"/>
        </w:rPr>
        <w:t>) early in preclinical development offers the potential to improve clinical predictability, decrease development costs, and avoid adverse patient effects, late-stage clinical termination, and product recall from the market.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With our proprietary stem cell differentiation technology, we produce fully-functional, non-transformed hPSC-CMs, which we refer to as </w:t>
      </w:r>
      <w:r>
        <w:rPr>
          <w:rFonts w:ascii="Arial" w:cs="Arial" w:eastAsia="Arial" w:hAnsi="Arial"/>
          <w:sz w:val="16"/>
          <w:szCs w:val="16"/>
          <w:i w:val="1"/>
          <w:iCs w:val="1"/>
          <w:color w:val="auto"/>
        </w:rPr>
        <w:t>VSTA-CMs</w:t>
      </w:r>
      <w:r>
        <w:rPr>
          <w:rFonts w:ascii="Arial" w:cs="Arial" w:eastAsia="Arial" w:hAnsi="Arial"/>
          <w:sz w:val="16"/>
          <w:szCs w:val="16"/>
          <w:color w:val="auto"/>
        </w:rPr>
        <w:t xml:space="preserve">™, at a level of purity greater than 95%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6"/>
          <w:szCs w:val="16"/>
          <w:i w:val="1"/>
          <w:iCs w:val="1"/>
          <w:color w:val="auto"/>
        </w:rPr>
        <w:t xml:space="preserve">VSTA-CMs </w:t>
      </w:r>
      <w:r>
        <w:rPr>
          <w:rFonts w:ascii="Arial" w:cs="Arial" w:eastAsia="Arial" w:hAnsi="Arial"/>
          <w:sz w:val="16"/>
          <w:szCs w:val="16"/>
          <w:color w:val="auto"/>
        </w:rPr>
        <w:t>function reliably in all of our</w:t>
      </w:r>
      <w:r>
        <w:rPr>
          <w:rFonts w:ascii="Arial" w:cs="Arial" w:eastAsia="Arial" w:hAnsi="Arial"/>
          <w:sz w:val="16"/>
          <w:szCs w:val="16"/>
          <w:i w:val="1"/>
          <w:iCs w:val="1"/>
          <w:color w:val="auto"/>
        </w:rPr>
        <w:t xml:space="preserve"> CardioSafe </w:t>
      </w:r>
      <w:r>
        <w:rPr>
          <w:rFonts w:ascii="Arial" w:cs="Arial" w:eastAsia="Arial" w:hAnsi="Arial"/>
          <w:sz w:val="16"/>
          <w:szCs w:val="16"/>
          <w:color w:val="auto"/>
        </w:rPr>
        <w:t>3D cardiac toxicity assays, screening for both direct cardiomyocyte cytotoxicity and arrhythmogenesis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development of irregular beating patterns). We believe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sensitive, stable, reproducible and capable of generating data enabling a more accurate prediction of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cardiac effects of NCEs than is possible with existing preclinical testing systems, particularly the hERG assay.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Clinical Predictivity of the FDA-Required hERG Assay</w:t>
      </w:r>
    </w:p>
    <w:p>
      <w:pPr>
        <w:spacing w:after="0" w:line="24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The hERG assay, which uses either transformed hamster ovary cells or human kidney cells, is currently the only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safety assay required by FDA Guidelines (ICH57B).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Broad Clinical Predictivity of CardioSafe </w:t>
      </w:r>
      <w:r>
        <w:rPr>
          <w:rFonts w:ascii="Arial" w:cs="Arial" w:eastAsia="Arial" w:hAnsi="Arial"/>
          <w:sz w:val="18"/>
          <w:szCs w:val="18"/>
          <w:b w:val="1"/>
          <w:bCs w:val="1"/>
          <w:color w:val="auto"/>
        </w:rPr>
        <w:t>3D</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As noted above, we have developed and validated two clinically-relevant functional components of our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consists of a suite of five fluorescence or luminescence based high-throughput hPSC-CM assays. These five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assays measure the following important drug-induced cardiac biological effects:</w:t>
      </w:r>
    </w:p>
    <w:p>
      <w:pPr>
        <w:spacing w:after="0" w:line="217" w:lineRule="exact"/>
        <w:rPr>
          <w:sz w:val="20"/>
          <w:szCs w:val="20"/>
          <w:color w:val="auto"/>
        </w:rPr>
      </w:pPr>
    </w:p>
    <w:p>
      <w:pPr>
        <w:ind w:left="1640" w:hanging="212"/>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cell viability;</w:t>
      </w:r>
    </w:p>
    <w:p>
      <w:pPr>
        <w:spacing w:after="0" w:line="15" w:lineRule="exact"/>
        <w:rPr>
          <w:rFonts w:ascii="Arial" w:cs="Arial" w:eastAsia="Arial" w:hAnsi="Arial"/>
          <w:sz w:val="18"/>
          <w:szCs w:val="18"/>
          <w:color w:val="auto"/>
        </w:rPr>
      </w:pPr>
    </w:p>
    <w:p>
      <w:pPr>
        <w:ind w:left="1640" w:hanging="212"/>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apoptosis;</w:t>
      </w:r>
    </w:p>
    <w:p>
      <w:pPr>
        <w:spacing w:after="0" w:line="3" w:lineRule="exact"/>
        <w:rPr>
          <w:rFonts w:ascii="Arial" w:cs="Arial" w:eastAsia="Arial" w:hAnsi="Arial"/>
          <w:sz w:val="18"/>
          <w:szCs w:val="18"/>
          <w:color w:val="auto"/>
        </w:rPr>
      </w:pPr>
    </w:p>
    <w:p>
      <w:pPr>
        <w:ind w:left="1640" w:hanging="212"/>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mitochondrial membrane depolarization;</w:t>
      </w:r>
    </w:p>
    <w:p>
      <w:pPr>
        <w:spacing w:after="0" w:line="3" w:lineRule="exact"/>
        <w:rPr>
          <w:rFonts w:ascii="Arial" w:cs="Arial" w:eastAsia="Arial" w:hAnsi="Arial"/>
          <w:sz w:val="18"/>
          <w:szCs w:val="18"/>
          <w:color w:val="auto"/>
        </w:rPr>
      </w:pPr>
    </w:p>
    <w:p>
      <w:pPr>
        <w:ind w:left="1640" w:hanging="212"/>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oxidative stress; and</w:t>
      </w:r>
    </w:p>
    <w:p>
      <w:pPr>
        <w:spacing w:after="0" w:line="3" w:lineRule="exact"/>
        <w:rPr>
          <w:rFonts w:ascii="Arial" w:cs="Arial" w:eastAsia="Arial" w:hAnsi="Arial"/>
          <w:sz w:val="18"/>
          <w:szCs w:val="18"/>
          <w:color w:val="auto"/>
        </w:rPr>
      </w:pPr>
    </w:p>
    <w:p>
      <w:pPr>
        <w:ind w:left="1640" w:hanging="212"/>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energy metabolism disruption.</w:t>
      </w:r>
    </w:p>
    <w:p>
      <w:pPr>
        <w:spacing w:after="0" w:line="229"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 xml:space="preserve">These five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biological assays were correlated to reported clinical results using reference compounds known to be cardiotoxic in humans versus compounds known to be safe in humans. These reference compounds were representative of eight different drug classes, including:</w:t>
      </w:r>
    </w:p>
    <w:p>
      <w:pPr>
        <w:spacing w:after="0" w:line="162" w:lineRule="exact"/>
        <w:rPr>
          <w:sz w:val="20"/>
          <w:szCs w:val="20"/>
          <w:color w:val="auto"/>
        </w:rPr>
      </w:pPr>
    </w:p>
    <w:p>
      <w:pPr>
        <w:ind w:left="1580" w:hanging="214"/>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ion channel blockers: amiodarone, nifedipine;</w:t>
      </w:r>
    </w:p>
    <w:p>
      <w:pPr>
        <w:spacing w:after="0" w:line="15" w:lineRule="exact"/>
        <w:rPr>
          <w:rFonts w:ascii="Arial" w:cs="Arial" w:eastAsia="Arial" w:hAnsi="Arial"/>
          <w:sz w:val="18"/>
          <w:szCs w:val="18"/>
          <w:color w:val="auto"/>
        </w:rPr>
      </w:pPr>
    </w:p>
    <w:p>
      <w:pPr>
        <w:ind w:left="1580" w:hanging="214"/>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hERG trafficking blockers: pentamidine, amoxapine;</w:t>
      </w:r>
    </w:p>
    <w:p>
      <w:pPr>
        <w:spacing w:after="0" w:line="3" w:lineRule="exact"/>
        <w:rPr>
          <w:rFonts w:ascii="Arial" w:cs="Arial" w:eastAsia="Arial" w:hAnsi="Arial"/>
          <w:sz w:val="18"/>
          <w:szCs w:val="18"/>
          <w:color w:val="auto"/>
        </w:rPr>
      </w:pPr>
    </w:p>
    <w:p>
      <w:pPr>
        <w:ind w:left="1580" w:hanging="214"/>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α-1 adrenoreceptors: doxazosin;</w:t>
      </w:r>
    </w:p>
    <w:p>
      <w:pPr>
        <w:spacing w:after="0" w:line="3" w:lineRule="exact"/>
        <w:rPr>
          <w:rFonts w:ascii="Arial" w:cs="Arial" w:eastAsia="Arial" w:hAnsi="Arial"/>
          <w:sz w:val="18"/>
          <w:szCs w:val="18"/>
          <w:color w:val="auto"/>
        </w:rPr>
      </w:pPr>
    </w:p>
    <w:p>
      <w:pPr>
        <w:ind w:left="1580" w:hanging="214"/>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protein and DNA synthesis inhibitors: emetine;</w:t>
      </w:r>
    </w:p>
    <w:p>
      <w:pPr>
        <w:spacing w:after="0" w:line="3" w:lineRule="exact"/>
        <w:rPr>
          <w:rFonts w:ascii="Arial" w:cs="Arial" w:eastAsia="Arial" w:hAnsi="Arial"/>
          <w:sz w:val="18"/>
          <w:szCs w:val="18"/>
          <w:color w:val="auto"/>
        </w:rPr>
      </w:pPr>
    </w:p>
    <w:p>
      <w:pPr>
        <w:ind w:left="1580" w:hanging="214"/>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DNA intercalating agents: doxorubicin;</w:t>
      </w:r>
    </w:p>
    <w:p>
      <w:pPr>
        <w:spacing w:after="0" w:line="3" w:lineRule="exact"/>
        <w:rPr>
          <w:rFonts w:ascii="Arial" w:cs="Arial" w:eastAsia="Arial" w:hAnsi="Arial"/>
          <w:sz w:val="18"/>
          <w:szCs w:val="18"/>
          <w:color w:val="auto"/>
        </w:rPr>
      </w:pPr>
    </w:p>
    <w:p>
      <w:pPr>
        <w:ind w:left="1580" w:hanging="214"/>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antibiotics: ampicillin, cefazolin;</w:t>
      </w:r>
    </w:p>
    <w:p>
      <w:pPr>
        <w:spacing w:after="0" w:line="3" w:lineRule="exact"/>
        <w:rPr>
          <w:rFonts w:ascii="Arial" w:cs="Arial" w:eastAsia="Arial" w:hAnsi="Arial"/>
          <w:sz w:val="18"/>
          <w:szCs w:val="18"/>
          <w:color w:val="auto"/>
        </w:rPr>
      </w:pPr>
    </w:p>
    <w:p>
      <w:pPr>
        <w:ind w:left="1580" w:hanging="214"/>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NSAID: aspirin; and</w:t>
      </w:r>
    </w:p>
    <w:p>
      <w:pPr>
        <w:spacing w:after="0" w:line="3" w:lineRule="exact"/>
        <w:rPr>
          <w:rFonts w:ascii="Arial" w:cs="Arial" w:eastAsia="Arial" w:hAnsi="Arial"/>
          <w:sz w:val="18"/>
          <w:szCs w:val="18"/>
          <w:color w:val="auto"/>
        </w:rPr>
      </w:pPr>
    </w:p>
    <w:p>
      <w:pPr>
        <w:ind w:left="1580" w:hanging="214"/>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kinase inhibitors: staurosporine.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This suite of five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provides valuable and far more comprehensive bioanalytical tools for both assessing the effects of pharmaceutical compounds on cardiac cytotoxicity than the hERG assay and can elucidate for us and our medicinal chemistry partner specific mechanisms of cardiac toxicity, thereby laying what we believe is a novel and advantageous foundation for our drug rescue programs.</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other component of our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assay system is a sensitive and reliable medium throughput multi-electrode array (</w:t>
      </w:r>
      <w:r>
        <w:rPr>
          <w:rFonts w:ascii="Arial" w:cs="Arial" w:eastAsia="Arial" w:hAnsi="Arial"/>
          <w:sz w:val="18"/>
          <w:szCs w:val="18"/>
          <w:i w:val="1"/>
          <w:iCs w:val="1"/>
          <w:color w:val="auto"/>
        </w:rPr>
        <w:t>MEA</w:t>
      </w:r>
      <w:r>
        <w:rPr>
          <w:rFonts w:ascii="Arial" w:cs="Arial" w:eastAsia="Arial" w:hAnsi="Arial"/>
          <w:sz w:val="18"/>
          <w:szCs w:val="18"/>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has been validated with reported clinical results involving twelve drugs, each with known toxic or non-toxic cardiac effects in humans. The twelve clinical correlation study compounds are as follows:</w:t>
      </w:r>
    </w:p>
    <w:p>
      <w:pPr>
        <w:spacing w:after="0" w:line="223" w:lineRule="exact"/>
        <w:rPr>
          <w:sz w:val="20"/>
          <w:szCs w:val="20"/>
          <w:color w:val="auto"/>
        </w:rPr>
      </w:pPr>
    </w:p>
    <w:p>
      <w:pPr>
        <w:ind w:left="1700" w:hanging="215"/>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FDA-approved drug (aspirin) without cardiac liability to serve as a negative control;</w:t>
      </w:r>
    </w:p>
    <w:p>
      <w:pPr>
        <w:spacing w:after="0" w:line="15" w:lineRule="exact"/>
        <w:rPr>
          <w:rFonts w:ascii="Arial" w:cs="Arial" w:eastAsia="Arial" w:hAnsi="Arial"/>
          <w:sz w:val="18"/>
          <w:szCs w:val="18"/>
          <w:color w:val="auto"/>
        </w:rPr>
      </w:pPr>
    </w:p>
    <w:p>
      <w:pPr>
        <w:ind w:left="1700" w:hanging="215"/>
        <w:spacing w:after="0" w:line="244"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Five FDA-approved drugs (astemizole, sotalol, cisapride, terfenadine and sertindole) that were withdrawn from the market due to heart toxicity concerns;</w:t>
      </w:r>
    </w:p>
    <w:p>
      <w:pPr>
        <w:jc w:val="both"/>
        <w:ind w:left="1700" w:hanging="215"/>
        <w:spacing w:after="0" w:line="244"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Five FDA-approved drugs (fexofenadine, nifedipine, verapamil, lidocaine and propranolol) that have certain measurable non-toxic cardiac effects consistent with clinical experience with such compounds. Note: fexofenadine is a non-cardiotoxic drug variant of terfenadine; and</w:t>
      </w:r>
    </w:p>
    <w:p>
      <w:pPr>
        <w:ind w:left="1700" w:hanging="215"/>
        <w:spacing w:after="0"/>
        <w:tabs>
          <w:tab w:leader="none" w:pos="1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One research compound (E-4031) failed in Phase I human clinical study before being discontinued due to inducing heart arrhythmias.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We have validated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capable of assessing important electrophysiological activity of drugs or new drug candidates, including spike amplitude, beat period and field potential duration. Our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MEA assay, which we refer to as </w:t>
      </w:r>
      <w:r>
        <w:rPr>
          <w:rFonts w:ascii="Arial" w:cs="Arial" w:eastAsia="Arial" w:hAnsi="Arial"/>
          <w:sz w:val="16"/>
          <w:szCs w:val="16"/>
          <w:i w:val="1"/>
          <w:iCs w:val="1"/>
          <w:color w:val="auto"/>
        </w:rPr>
        <w:t>ECG in a test tube</w:t>
      </w:r>
      <w:r>
        <w:rPr>
          <w:rFonts w:ascii="Arial" w:cs="Arial" w:eastAsia="Arial" w:hAnsi="Arial"/>
          <w:sz w:val="16"/>
          <w:szCs w:val="16"/>
          <w:color w:val="auto"/>
        </w:rPr>
        <w:t xml:space="preserve">™, was reproducible and consistent with the known human cardiac effects of all twelve compounds studied, based on the mechanisms of action and dosage of the compounds. For instance, by using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we were able to distinguish between the arrhythmogenic cardiac effects of terfenadine (Seldane™), withdrawn by the FDA due to cardiotoxicity,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the cardiac effects of the closely structurally-related compound, fexofenadine (Allegra™), a safe variant of terfenadine, which remains on the market. We believe our correlation data demonstrate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3Dprovides valuable and more comprehensive bioanalytical tools for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safety screening than the hERG assay. We believe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contribute to our efficient and rapid identification of novel, potentially safer proprietary NCEs in our drug rescue programs.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Going Far Beyond the hERG Assay</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table below reflects the broad cardiotoxicity screening capabilities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which we believe go far beyond what is possible to assess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using the FDA-required hERG assay: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Detects cardiac effects mediated by:</w:t>
            </w:r>
          </w:p>
        </w:tc>
        <w:tc>
          <w:tcPr>
            <w:tcW w:w="2520" w:type="dxa"/>
            <w:vAlign w:val="bottom"/>
            <w:tcBorders>
              <w:bottom w:val="single" w:sz="8" w:color="auto"/>
            </w:tcBorders>
          </w:tcPr>
          <w:p>
            <w:pPr>
              <w:jc w:val="center"/>
              <w:ind w:right="432"/>
              <w:spacing w:after="0"/>
              <w:rPr>
                <w:sz w:val="20"/>
                <w:szCs w:val="20"/>
                <w:color w:val="auto"/>
              </w:rPr>
            </w:pPr>
            <w:r>
              <w:rPr>
                <w:rFonts w:ascii="Arial" w:cs="Arial" w:eastAsia="Arial" w:hAnsi="Arial"/>
                <w:sz w:val="18"/>
                <w:szCs w:val="18"/>
                <w:b w:val="1"/>
                <w:bCs w:val="1"/>
                <w:color w:val="auto"/>
                <w:w w:val="87"/>
              </w:rPr>
              <w:t>hERG assay</w:t>
            </w: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9"/>
              </w:rPr>
              <w:t xml:space="preserve">CardioSafe </w:t>
            </w:r>
            <w:r>
              <w:rPr>
                <w:rFonts w:ascii="Arial" w:cs="Arial" w:eastAsia="Arial" w:hAnsi="Arial"/>
                <w:sz w:val="18"/>
                <w:szCs w:val="18"/>
                <w:b w:val="1"/>
                <w:bCs w:val="1"/>
                <w:color w:val="auto"/>
                <w:w w:val="89"/>
              </w:rPr>
              <w:t>3D™</w:t>
            </w:r>
          </w:p>
        </w:tc>
      </w:tr>
      <w:tr>
        <w:trPr>
          <w:trHeight w:val="211"/>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hERG potassium ion channels</w:t>
            </w:r>
          </w:p>
        </w:tc>
        <w:tc>
          <w:tcPr>
            <w:tcW w:w="2520" w:type="dxa"/>
            <w:vAlign w:val="bottom"/>
            <w:shd w:val="clear" w:color="auto" w:fill="CCEEFF"/>
          </w:tcPr>
          <w:p>
            <w:pPr>
              <w:jc w:val="center"/>
              <w:ind w:right="432"/>
              <w:spacing w:after="0"/>
              <w:rPr>
                <w:sz w:val="20"/>
                <w:szCs w:val="20"/>
                <w:color w:val="auto"/>
              </w:rPr>
            </w:pPr>
            <w:r>
              <w:rPr>
                <w:rFonts w:ascii="Arial" w:cs="Arial" w:eastAsia="Arial" w:hAnsi="Arial"/>
                <w:sz w:val="18"/>
                <w:szCs w:val="18"/>
                <w:color w:val="auto"/>
                <w:w w:val="79"/>
              </w:rPr>
              <w:t>ü</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r>
      <w:tr>
        <w:trPr>
          <w:trHeight w:val="211"/>
        </w:trPr>
        <w:tc>
          <w:tcPr>
            <w:tcW w:w="5640" w:type="dxa"/>
            <w:vAlign w:val="bottom"/>
          </w:tcPr>
          <w:p>
            <w:pPr>
              <w:spacing w:after="0"/>
              <w:rPr>
                <w:sz w:val="20"/>
                <w:szCs w:val="20"/>
                <w:color w:val="auto"/>
              </w:rPr>
            </w:pPr>
            <w:r>
              <w:rPr>
                <w:rFonts w:ascii="Arial" w:cs="Arial" w:eastAsia="Arial" w:hAnsi="Arial"/>
                <w:sz w:val="18"/>
                <w:szCs w:val="18"/>
                <w:color w:val="auto"/>
              </w:rPr>
              <w:t>Other potassium ion channels</w:t>
            </w:r>
          </w:p>
        </w:tc>
        <w:tc>
          <w:tcPr>
            <w:tcW w:w="252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11"/>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Calcium ion channels</w:t>
            </w:r>
          </w:p>
        </w:tc>
        <w:tc>
          <w:tcPr>
            <w:tcW w:w="2520" w:type="dxa"/>
            <w:vAlign w:val="bottom"/>
            <w:shd w:val="clear" w:color="auto" w:fill="CCEEFF"/>
          </w:tcPr>
          <w:p>
            <w:pPr>
              <w:spacing w:after="0"/>
              <w:rPr>
                <w:sz w:val="18"/>
                <w:szCs w:val="18"/>
                <w:color w:val="auto"/>
              </w:rPr>
            </w:pP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r>
      <w:tr>
        <w:trPr>
          <w:trHeight w:val="211"/>
        </w:trPr>
        <w:tc>
          <w:tcPr>
            <w:tcW w:w="5640" w:type="dxa"/>
            <w:vAlign w:val="bottom"/>
          </w:tcPr>
          <w:p>
            <w:pPr>
              <w:spacing w:after="0"/>
              <w:rPr>
                <w:sz w:val="20"/>
                <w:szCs w:val="20"/>
                <w:color w:val="auto"/>
              </w:rPr>
            </w:pPr>
            <w:r>
              <w:rPr>
                <w:rFonts w:ascii="Arial" w:cs="Arial" w:eastAsia="Arial" w:hAnsi="Arial"/>
                <w:sz w:val="18"/>
                <w:szCs w:val="18"/>
                <w:color w:val="auto"/>
              </w:rPr>
              <w:t>Sodium ion channels</w:t>
            </w:r>
          </w:p>
        </w:tc>
        <w:tc>
          <w:tcPr>
            <w:tcW w:w="252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11"/>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Interactions between ion channels</w:t>
            </w:r>
          </w:p>
        </w:tc>
        <w:tc>
          <w:tcPr>
            <w:tcW w:w="2520" w:type="dxa"/>
            <w:vAlign w:val="bottom"/>
            <w:shd w:val="clear" w:color="auto" w:fill="CCEEFF"/>
          </w:tcPr>
          <w:p>
            <w:pPr>
              <w:spacing w:after="0"/>
              <w:rPr>
                <w:sz w:val="18"/>
                <w:szCs w:val="18"/>
                <w:color w:val="auto"/>
              </w:rPr>
            </w:pP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r>
      <w:tr>
        <w:trPr>
          <w:trHeight w:val="211"/>
        </w:trPr>
        <w:tc>
          <w:tcPr>
            <w:tcW w:w="5640" w:type="dxa"/>
            <w:vAlign w:val="bottom"/>
          </w:tcPr>
          <w:p>
            <w:pPr>
              <w:spacing w:after="0"/>
              <w:rPr>
                <w:sz w:val="20"/>
                <w:szCs w:val="20"/>
                <w:color w:val="auto"/>
              </w:rPr>
            </w:pPr>
            <w:r>
              <w:rPr>
                <w:rFonts w:ascii="Arial" w:cs="Arial" w:eastAsia="Arial" w:hAnsi="Arial"/>
                <w:sz w:val="18"/>
                <w:szCs w:val="18"/>
                <w:color w:val="auto"/>
              </w:rPr>
              <w:t>Channel regulatory proteins</w:t>
            </w:r>
          </w:p>
        </w:tc>
        <w:tc>
          <w:tcPr>
            <w:tcW w:w="252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11"/>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Cell viability</w:t>
            </w:r>
          </w:p>
        </w:tc>
        <w:tc>
          <w:tcPr>
            <w:tcW w:w="2520" w:type="dxa"/>
            <w:vAlign w:val="bottom"/>
            <w:shd w:val="clear" w:color="auto" w:fill="CCEEFF"/>
          </w:tcPr>
          <w:p>
            <w:pPr>
              <w:spacing w:after="0"/>
              <w:rPr>
                <w:sz w:val="18"/>
                <w:szCs w:val="18"/>
                <w:color w:val="auto"/>
              </w:rPr>
            </w:pP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r>
      <w:tr>
        <w:trPr>
          <w:trHeight w:val="211"/>
        </w:trPr>
        <w:tc>
          <w:tcPr>
            <w:tcW w:w="5640" w:type="dxa"/>
            <w:vAlign w:val="bottom"/>
          </w:tcPr>
          <w:p>
            <w:pPr>
              <w:spacing w:after="0"/>
              <w:rPr>
                <w:sz w:val="20"/>
                <w:szCs w:val="20"/>
                <w:color w:val="auto"/>
              </w:rPr>
            </w:pPr>
            <w:r>
              <w:rPr>
                <w:rFonts w:ascii="Arial" w:cs="Arial" w:eastAsia="Arial" w:hAnsi="Arial"/>
                <w:sz w:val="18"/>
                <w:szCs w:val="18"/>
                <w:color w:val="auto"/>
              </w:rPr>
              <w:t>Apoptosis</w:t>
            </w:r>
          </w:p>
        </w:tc>
        <w:tc>
          <w:tcPr>
            <w:tcW w:w="252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11"/>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Mitochondria</w:t>
            </w:r>
          </w:p>
        </w:tc>
        <w:tc>
          <w:tcPr>
            <w:tcW w:w="2520" w:type="dxa"/>
            <w:vAlign w:val="bottom"/>
            <w:shd w:val="clear" w:color="auto" w:fill="CCEEFF"/>
          </w:tcPr>
          <w:p>
            <w:pPr>
              <w:spacing w:after="0"/>
              <w:rPr>
                <w:sz w:val="18"/>
                <w:szCs w:val="18"/>
                <w:color w:val="auto"/>
              </w:rPr>
            </w:pP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r>
      <w:tr>
        <w:trPr>
          <w:trHeight w:val="211"/>
        </w:trPr>
        <w:tc>
          <w:tcPr>
            <w:tcW w:w="5640" w:type="dxa"/>
            <w:vAlign w:val="bottom"/>
          </w:tcPr>
          <w:p>
            <w:pPr>
              <w:spacing w:after="0"/>
              <w:rPr>
                <w:sz w:val="20"/>
                <w:szCs w:val="20"/>
                <w:color w:val="auto"/>
              </w:rPr>
            </w:pPr>
            <w:r>
              <w:rPr>
                <w:rFonts w:ascii="Arial" w:cs="Arial" w:eastAsia="Arial" w:hAnsi="Arial"/>
                <w:sz w:val="18"/>
                <w:szCs w:val="18"/>
                <w:color w:val="auto"/>
              </w:rPr>
              <w:t>Energy</w:t>
            </w:r>
          </w:p>
        </w:tc>
        <w:tc>
          <w:tcPr>
            <w:tcW w:w="252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11"/>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Oxidative Stress</w:t>
            </w:r>
          </w:p>
        </w:tc>
        <w:tc>
          <w:tcPr>
            <w:tcW w:w="2520" w:type="dxa"/>
            <w:vAlign w:val="bottom"/>
            <w:shd w:val="clear" w:color="auto" w:fill="CCEEFF"/>
          </w:tcPr>
          <w:p>
            <w:pPr>
              <w:spacing w:after="0"/>
              <w:rPr>
                <w:sz w:val="18"/>
                <w:szCs w:val="18"/>
                <w:color w:val="auto"/>
              </w:rPr>
            </w:pP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r>
      <w:tr>
        <w:trPr>
          <w:trHeight w:val="447"/>
        </w:trPr>
        <w:tc>
          <w:tcPr>
            <w:tcW w:w="5640" w:type="dxa"/>
            <w:vAlign w:val="bottom"/>
          </w:tcPr>
          <w:p>
            <w:pPr>
              <w:spacing w:after="0"/>
              <w:rPr>
                <w:sz w:val="20"/>
                <w:szCs w:val="20"/>
                <w:color w:val="auto"/>
              </w:rPr>
            </w:pPr>
            <w:r>
              <w:rPr>
                <w:rFonts w:ascii="Arial" w:cs="Arial" w:eastAsia="Arial" w:hAnsi="Arial"/>
                <w:sz w:val="18"/>
                <w:szCs w:val="18"/>
                <w:b w:val="1"/>
                <w:bCs w:val="1"/>
                <w:i w:val="1"/>
                <w:iCs w:val="1"/>
                <w:color w:val="auto"/>
                <w:w w:val="94"/>
              </w:rPr>
              <w:t xml:space="preserve">CardioSafe </w:t>
            </w:r>
            <w:r>
              <w:rPr>
                <w:rFonts w:ascii="Arial" w:cs="Arial" w:eastAsia="Arial" w:hAnsi="Arial"/>
                <w:sz w:val="18"/>
                <w:szCs w:val="18"/>
                <w:b w:val="1"/>
                <w:bCs w:val="1"/>
                <w:color w:val="auto"/>
                <w:w w:val="94"/>
              </w:rPr>
              <w:t>3D A</w:t>
            </w:r>
            <w:r>
              <w:rPr>
                <w:rFonts w:ascii="Arial" w:cs="Arial" w:eastAsia="Arial" w:hAnsi="Arial"/>
                <w:sz w:val="18"/>
                <w:szCs w:val="18"/>
                <w:b w:val="1"/>
                <w:bCs w:val="1"/>
                <w:i w:val="1"/>
                <w:iCs w:val="1"/>
                <w:color w:val="auto"/>
                <w:w w:val="94"/>
              </w:rPr>
              <w:t>ssessment of Kinase Inhibitor-Induced Cardiotoxicity</w:t>
            </w:r>
          </w:p>
        </w:tc>
        <w:tc>
          <w:tcPr>
            <w:tcW w:w="2520" w:type="dxa"/>
            <w:vAlign w:val="bottom"/>
          </w:tcPr>
          <w:p>
            <w:pPr>
              <w:spacing w:after="0"/>
              <w:rPr>
                <w:sz w:val="24"/>
                <w:szCs w:val="24"/>
                <w:color w:val="auto"/>
              </w:rPr>
            </w:pPr>
          </w:p>
        </w:tc>
        <w:tc>
          <w:tcPr>
            <w:tcW w:w="3260" w:type="dxa"/>
            <w:vAlign w:val="bottom"/>
          </w:tcPr>
          <w:p>
            <w:pPr>
              <w:spacing w:after="0"/>
              <w:rPr>
                <w:sz w:val="24"/>
                <w:szCs w:val="24"/>
                <w:color w:val="auto"/>
              </w:rPr>
            </w:pPr>
          </w:p>
        </w:tc>
      </w:tr>
    </w:tbl>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To further evaluate the potential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predict cardiac toxicity of drug candidates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including </w:t>
      </w:r>
      <w:r>
        <w:rPr>
          <w:rFonts w:ascii="Arial" w:cs="Arial" w:eastAsia="Arial" w:hAnsi="Arial"/>
          <w:sz w:val="16"/>
          <w:szCs w:val="16"/>
          <w:i w:val="1"/>
          <w:iCs w:val="1"/>
          <w:color w:val="auto"/>
        </w:rPr>
        <w:t>Drug Rescue Variants</w:t>
      </w:r>
      <w:r>
        <w:rPr>
          <w:rFonts w:ascii="Arial" w:cs="Arial" w:eastAsia="Arial" w:hAnsi="Arial"/>
          <w:sz w:val="16"/>
          <w:szCs w:val="16"/>
          <w:color w:val="auto"/>
        </w:rPr>
        <w:t>, we have assessed cardiac effects induced by small molecule kinase inhibitors (</w:t>
      </w:r>
      <w:r>
        <w:rPr>
          <w:rFonts w:ascii="Arial" w:cs="Arial" w:eastAsia="Arial" w:hAnsi="Arial"/>
          <w:sz w:val="16"/>
          <w:szCs w:val="16"/>
          <w:i w:val="1"/>
          <w:iCs w:val="1"/>
          <w:color w:val="auto"/>
        </w:rPr>
        <w:t>KI</w:t>
      </w:r>
      <w:r>
        <w:rPr>
          <w:rFonts w:ascii="Arial" w:cs="Arial" w:eastAsia="Arial" w:hAnsi="Arial"/>
          <w:sz w:val="16"/>
          <w:szCs w:val="16"/>
          <w:color w:val="auto"/>
        </w:rPr>
        <w:t>s), which belong to a new category of drugs that have revolutionized cancer therapy due to decreased systemic toxicity and an increased anti-tumor cell specific effect compared to classic cancer drugs. Since 1998, the FDA has approved numerous small molecule KIs for cancer therapy. However, many of these FDA-approved KIs have been implicated in causing serious adverse cardiac events in patients which were not identified during drug development using traditional preclinical testing systems.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our KI-induced cardiotoxicity study, we evaluated well-known anti-cancer KIs with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some of which are FDA-approved and have been documented as cardiotoxic. This important validation set of anti-cancer KI compounds is as follows:</w:t>
      </w:r>
    </w:p>
    <w:p>
      <w:pPr>
        <w:spacing w:after="0" w:line="207" w:lineRule="exact"/>
        <w:rPr>
          <w:sz w:val="20"/>
          <w:szCs w:val="20"/>
          <w:color w:val="auto"/>
        </w:rPr>
      </w:pPr>
    </w:p>
    <w:p>
      <w:pPr>
        <w:ind w:left="640" w:hanging="25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Inhibitors of growth factor receptors: sunitinib, axitinib, imatinib, dasatinib, sorafenib, erlotinib, lapatinib, tyrphostin and AG1478;</w:t>
      </w:r>
    </w:p>
    <w:p>
      <w:pPr>
        <w:spacing w:after="0" w:line="15" w:lineRule="exact"/>
        <w:rPr>
          <w:rFonts w:ascii="Arial" w:cs="Arial" w:eastAsia="Arial" w:hAnsi="Arial"/>
          <w:sz w:val="18"/>
          <w:szCs w:val="18"/>
          <w:color w:val="auto"/>
        </w:rPr>
      </w:pPr>
    </w:p>
    <w:p>
      <w:pPr>
        <w:ind w:left="640" w:hanging="25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Inhibitors of the mTOR pathway: everolimus, temsirolimus;</w:t>
      </w:r>
    </w:p>
    <w:p>
      <w:pPr>
        <w:spacing w:after="0" w:line="3" w:lineRule="exact"/>
        <w:rPr>
          <w:rFonts w:ascii="Arial" w:cs="Arial" w:eastAsia="Arial" w:hAnsi="Arial"/>
          <w:sz w:val="18"/>
          <w:szCs w:val="18"/>
          <w:color w:val="auto"/>
        </w:rPr>
      </w:pPr>
    </w:p>
    <w:p>
      <w:pPr>
        <w:ind w:left="640" w:hanging="25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Inhibitors of cell cycle regulators: tozasertib, barasertib, alvocidib;</w:t>
      </w:r>
    </w:p>
    <w:p>
      <w:pPr>
        <w:spacing w:after="0" w:line="3" w:lineRule="exact"/>
        <w:rPr>
          <w:rFonts w:ascii="Arial" w:cs="Arial" w:eastAsia="Arial" w:hAnsi="Arial"/>
          <w:sz w:val="18"/>
          <w:szCs w:val="18"/>
          <w:color w:val="auto"/>
        </w:rPr>
      </w:pPr>
    </w:p>
    <w:p>
      <w:pPr>
        <w:ind w:left="640" w:hanging="25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Inhibitors of the PI3K pathway : perifosine, LY294002, XL765;</w:t>
      </w:r>
    </w:p>
    <w:p>
      <w:pPr>
        <w:spacing w:after="0" w:line="3" w:lineRule="exact"/>
        <w:rPr>
          <w:rFonts w:ascii="Arial" w:cs="Arial" w:eastAsia="Arial" w:hAnsi="Arial"/>
          <w:sz w:val="18"/>
          <w:szCs w:val="18"/>
          <w:color w:val="auto"/>
        </w:rPr>
      </w:pPr>
    </w:p>
    <w:p>
      <w:pPr>
        <w:ind w:left="640" w:hanging="25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Inhibitors of the MEK pathway: PD325901, AZD6264; and</w:t>
      </w:r>
    </w:p>
    <w:p>
      <w:pPr>
        <w:spacing w:after="0" w:line="3" w:lineRule="exact"/>
        <w:rPr>
          <w:rFonts w:ascii="Arial" w:cs="Arial" w:eastAsia="Arial" w:hAnsi="Arial"/>
          <w:sz w:val="18"/>
          <w:szCs w:val="18"/>
          <w:color w:val="auto"/>
        </w:rPr>
      </w:pPr>
    </w:p>
    <w:p>
      <w:pPr>
        <w:ind w:left="640" w:hanging="25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Inhibitors of the JAK and other pathways: lestaurtinib.</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Our validation data indicate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successfully detected cardiotoxicity induced by each of the representative compounds, consistent with adverse cardiac events observed in the clinic.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assay system is able to distinguish between cardiotoxic and safe compounds, and even between those compounds which inhibit the same kinase pathways. For instance, both sunitinib and axitinib inhibit VEGFR, PDGFR and c-Kit pathways, whereas our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assays indicate that sunitinib is cardiotoxic and axitinib is safe, which is consistent with the reported clinical outcomes.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Importantly, the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profile of each KI provided us clues to the potential biological mechanism(s) causing cardiac cytotoxicity. For example, cardiac cytotoxicity induced by perifosine was most potent for producing apoptotic responses, while imatinib was most potent for producing oxidative stress. In addition, no cardiac toxicity or alteration in electrophysiology was detected with drugs that do not have a cardiac liability, emphasizing the specificity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Having information on the biological pathways associated with the cardiac cytotoxic effects of compounds provides important clues for novel medicinal chemistry approaches and compound modifications for our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drug rescue programs.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Another example of the capability of our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assay system enabling the sensitive measurement of drug effects that are consistent with reported clinical responses are the results with sunitinib and dasatinib.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correctly identified that both compounds would cause QT prolongation, arrhythmia, and/or altered contraction rates, which are consistent with clinical observations.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 xml:space="preserve">We believe our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correlation data demonstrate that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will improve clinical predictivity as a more comprehensive and clinically-relevant </w:t>
      </w:r>
      <w:r>
        <w:rPr>
          <w:rFonts w:ascii="Arial" w:cs="Arial" w:eastAsia="Arial" w:hAnsi="Arial"/>
          <w:sz w:val="15"/>
          <w:szCs w:val="15"/>
          <w:i w:val="1"/>
          <w:iCs w:val="1"/>
          <w:color w:val="auto"/>
        </w:rPr>
        <w:t xml:space="preserve">in vitro </w:t>
      </w:r>
      <w:r>
        <w:rPr>
          <w:rFonts w:ascii="Arial" w:cs="Arial" w:eastAsia="Arial" w:hAnsi="Arial"/>
          <w:sz w:val="15"/>
          <w:szCs w:val="15"/>
          <w:color w:val="auto"/>
        </w:rPr>
        <w:t>cardiac safety assay system than the hERG assay, helping not only to identify potential cardiac toxicities early in development, but also to discover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important potential biological mechanisms of cardiac cytotoxicity. We believe the results of our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validation studies indicate that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may be effectively used to identify NCEs with reduced cardiotoxicity for our pipeline by providing more accurate and timely indications of alterations in electrophysiological activity, as well as a more clinically relevant assessment of potential cardiac biological effects of drug candidates contributing to cardiac cytotoxicity, than animal models or the hERG assay currently used by pharmaceutical companies. We believe the results of our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validation studies support the central premise of our drug rescue business model: by using our hPSC-derived human heart and liver cell bioassay systems at the front end of the drug development process, we have the opportunity to take advantage of substantial prior investment by pharmaceutical companies and others in drug discovery and </w:t>
      </w:r>
      <w:r>
        <w:rPr>
          <w:rFonts w:ascii="Arial" w:cs="Arial" w:eastAsia="Arial" w:hAnsi="Arial"/>
          <w:sz w:val="15"/>
          <w:szCs w:val="15"/>
          <w:i w:val="1"/>
          <w:iCs w:val="1"/>
          <w:color w:val="auto"/>
        </w:rPr>
        <w:t>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vitro </w:t>
      </w:r>
      <w:r>
        <w:rPr>
          <w:rFonts w:ascii="Arial" w:cs="Arial" w:eastAsia="Arial" w:hAnsi="Arial"/>
          <w:sz w:val="15"/>
          <w:szCs w:val="15"/>
          <w:color w:val="auto"/>
        </w:rPr>
        <w:t>efficacy optimization of still-promising drug candidates that have been terminated prior to FDA approval due to unexpected heart or liver toxicity concerns.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LiverSafe 3D</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refer to the highly-functional, non-transformed, mature hPSC-derived hepatocytes we produce as </w:t>
      </w:r>
      <w:r>
        <w:rPr>
          <w:rFonts w:ascii="Arial" w:cs="Arial" w:eastAsia="Arial" w:hAnsi="Arial"/>
          <w:sz w:val="18"/>
          <w:szCs w:val="18"/>
          <w:i w:val="1"/>
          <w:iCs w:val="1"/>
          <w:color w:val="auto"/>
        </w:rPr>
        <w:t>VSTA-heps</w:t>
      </w:r>
      <w:r>
        <w:rPr>
          <w:rFonts w:ascii="Arial" w:cs="Arial" w:eastAsia="Arial" w:hAnsi="Arial"/>
          <w:sz w:val="18"/>
          <w:szCs w:val="18"/>
          <w:color w:val="auto"/>
        </w:rPr>
        <w:t xml:space="preserve">™. </w:t>
      </w:r>
      <w:r>
        <w:rPr>
          <w:rFonts w:ascii="Arial" w:cs="Arial" w:eastAsia="Arial" w:hAnsi="Arial"/>
          <w:sz w:val="18"/>
          <w:szCs w:val="18"/>
          <w:i w:val="1"/>
          <w:iCs w:val="1"/>
          <w:color w:val="auto"/>
        </w:rPr>
        <w:t>VSTA-heps</w:t>
      </w:r>
      <w:r>
        <w:rPr>
          <w:rFonts w:ascii="Arial" w:cs="Arial" w:eastAsia="Arial" w:hAnsi="Arial"/>
          <w:sz w:val="18"/>
          <w:szCs w:val="18"/>
          <w:color w:val="auto"/>
        </w:rPr>
        <w:t xml:space="preserve"> are the foundation of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a powerful new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hepatotoxicity assay system that we believe goes a step beyond in vitro assays using commercially-available primary (human cadaver cell-based) hepatocytes. By combining the flexibility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non-transformed human hepatocyte-based assay system with genetically-consistent, functionally-reliable, and essentially unlimited production based on hPSCs, </w:t>
      </w:r>
      <w:r>
        <w:rPr>
          <w:rFonts w:ascii="Arial" w:cs="Arial" w:eastAsia="Arial" w:hAnsi="Arial"/>
          <w:sz w:val="18"/>
          <w:szCs w:val="18"/>
          <w:i w:val="1"/>
          <w:iCs w:val="1"/>
          <w:color w:val="auto"/>
        </w:rPr>
        <w:t>VSTA-heps</w:t>
      </w:r>
      <w:r>
        <w:rPr>
          <w:rFonts w:ascii="Arial" w:cs="Arial" w:eastAsia="Arial" w:hAnsi="Arial"/>
          <w:sz w:val="18"/>
          <w:szCs w:val="18"/>
          <w:color w:val="auto"/>
        </w:rPr>
        <w:t>, can be maintained in a healthy state for much longer than the primary hepatocytes used in FDA-required drug metabolism assays, greatly enhancing the reliability and predictability of our hepatotoxicity testing for our drug rescue programs.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Until now, reliable human cell-based hepatotoxicity screening platforms have been difficult to establish for high throughput drug development with currently available primary hepatocyte systems. Commercially-available primary (cadaver) hepatocytes are in short supply, are genetically variable, functionally inconsistent, and have a short lifespan in culture, during which they rapidly lose their drug metabolizing capabilities and develop signs of cellular stress. Commercially-available primary hepatocytes also have significant batch-to-batch genetic and functional activity that varies widely batch-to-batch. Primary hepatocytes are derived from individuals with significant genetic differences, unknown differences in health status, and widely different drug exposures, each potentially contributing significant but unquantifiable effects on hepatocyte function, resulting in very large unpredictable ranges of drug metabolism activity. Consequently, it is difficult to maintain reproducible quantitative measurements in drug testing assays using currently available primary (cadaver) hepatocyte assays. This leads to limitations in the quality, reliability, and clinical predictivity of the results and conclusions drawn assays based on primary (cadaver) hepatocytes.</w:t>
      </w:r>
    </w:p>
    <w:p>
      <w:pPr>
        <w:spacing w:after="0" w:line="22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 xml:space="preserve">We believe </w:t>
      </w:r>
      <w:r>
        <w:rPr>
          <w:rFonts w:ascii="Arial" w:cs="Arial" w:eastAsia="Arial" w:hAnsi="Arial"/>
          <w:sz w:val="16"/>
          <w:szCs w:val="16"/>
          <w:i w:val="1"/>
          <w:iCs w:val="1"/>
          <w:color w:val="auto"/>
        </w:rPr>
        <w:t>VSTA-heps</w:t>
      </w:r>
      <w:r>
        <w:rPr>
          <w:rFonts w:ascii="Arial" w:cs="Arial" w:eastAsia="Arial" w:hAnsi="Arial"/>
          <w:sz w:val="16"/>
          <w:szCs w:val="16"/>
          <w:color w:val="auto"/>
        </w:rPr>
        <w:t xml:space="preserve"> overcome the foregoing limitations of primary hepatocytes. Our </w:t>
      </w:r>
      <w:r>
        <w:rPr>
          <w:rFonts w:ascii="Arial" w:cs="Arial" w:eastAsia="Arial" w:hAnsi="Arial"/>
          <w:sz w:val="16"/>
          <w:szCs w:val="16"/>
          <w:i w:val="1"/>
          <w:iCs w:val="1"/>
          <w:color w:val="auto"/>
        </w:rPr>
        <w:t>VSTA-heps</w:t>
      </w:r>
      <w:r>
        <w:rPr>
          <w:rFonts w:ascii="Arial" w:cs="Arial" w:eastAsia="Arial" w:hAnsi="Arial"/>
          <w:sz w:val="16"/>
          <w:szCs w:val="16"/>
          <w:color w:val="auto"/>
        </w:rPr>
        <w:t xml:space="preserve"> are derived from the same hPSC line, are genetically identical, normal, non-transformed (that is, not tumor-derived) human cells capable of being produced in essentially unlimited supply. Importantly, </w:t>
      </w:r>
      <w:r>
        <w:rPr>
          <w:rFonts w:ascii="Arial" w:cs="Arial" w:eastAsia="Arial" w:hAnsi="Arial"/>
          <w:sz w:val="16"/>
          <w:szCs w:val="16"/>
          <w:i w:val="1"/>
          <w:iCs w:val="1"/>
          <w:color w:val="auto"/>
        </w:rPr>
        <w:t>VSTA-heps</w:t>
      </w:r>
      <w:r>
        <w:rPr>
          <w:rFonts w:ascii="Arial" w:cs="Arial" w:eastAsia="Arial" w:hAnsi="Arial"/>
          <w:sz w:val="16"/>
          <w:szCs w:val="16"/>
          <w:color w:val="auto"/>
        </w:rPr>
        <w:t xml:space="preserve"> can be indefinitely produced and, we believe, frozen for storage into large, uniform, quality-controlled cell banks.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table below reflects important characteristics of </w:t>
      </w:r>
      <w:r>
        <w:rPr>
          <w:rFonts w:ascii="Arial" w:cs="Arial" w:eastAsia="Arial" w:hAnsi="Arial"/>
          <w:sz w:val="18"/>
          <w:szCs w:val="18"/>
          <w:i w:val="1"/>
          <w:iCs w:val="1"/>
          <w:color w:val="auto"/>
        </w:rPr>
        <w:t>VSTA-heps</w:t>
      </w:r>
      <w:r>
        <w:rPr>
          <w:rFonts w:ascii="Arial" w:cs="Arial" w:eastAsia="Arial" w:hAnsi="Arial"/>
          <w:sz w:val="18"/>
          <w:szCs w:val="18"/>
          <w:color w:val="auto"/>
        </w:rPr>
        <w:t xml:space="preserve"> compared to commercially-available primary hepatocytes used in FDA-required drug metabolism studies: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 xml:space="preserve">Characteristics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hepatocyte assays:</w:t>
            </w:r>
          </w:p>
        </w:tc>
        <w:tc>
          <w:tcPr>
            <w:tcW w:w="35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88"/>
              </w:rPr>
              <w:t>Primary hepatocytes</w:t>
            </w:r>
          </w:p>
        </w:tc>
        <w:tc>
          <w:tcPr>
            <w:tcW w:w="3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i w:val="1"/>
                <w:iCs w:val="1"/>
                <w:color w:val="auto"/>
                <w:w w:val="87"/>
              </w:rPr>
              <w:t>VSTA-heps™</w:t>
            </w: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Human cells</w:t>
            </w:r>
          </w:p>
        </w:tc>
        <w:tc>
          <w:tcPr>
            <w:tcW w:w="35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79"/>
              </w:rPr>
              <w:t>ü</w:t>
            </w:r>
          </w:p>
        </w:tc>
        <w:tc>
          <w:tcPr>
            <w:tcW w:w="30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ü</w:t>
            </w:r>
          </w:p>
        </w:tc>
      </w:tr>
      <w:tr>
        <w:trPr>
          <w:trHeight w:val="211"/>
        </w:trPr>
        <w:tc>
          <w:tcPr>
            <w:tcW w:w="4820" w:type="dxa"/>
            <w:vAlign w:val="bottom"/>
          </w:tcPr>
          <w:p>
            <w:pPr>
              <w:spacing w:after="0"/>
              <w:rPr>
                <w:sz w:val="20"/>
                <w:szCs w:val="20"/>
                <w:color w:val="auto"/>
              </w:rPr>
            </w:pPr>
            <w:r>
              <w:rPr>
                <w:rFonts w:ascii="Arial" w:cs="Arial" w:eastAsia="Arial" w:hAnsi="Arial"/>
                <w:sz w:val="18"/>
                <w:szCs w:val="18"/>
                <w:color w:val="auto"/>
              </w:rPr>
              <w:t>Liver enzyme activity</w:t>
            </w:r>
          </w:p>
        </w:tc>
        <w:tc>
          <w:tcPr>
            <w:tcW w:w="3580" w:type="dxa"/>
            <w:vAlign w:val="bottom"/>
          </w:tcPr>
          <w:p>
            <w:pPr>
              <w:jc w:val="center"/>
              <w:ind w:left="12"/>
              <w:spacing w:after="0"/>
              <w:rPr>
                <w:sz w:val="20"/>
                <w:szCs w:val="20"/>
                <w:color w:val="auto"/>
              </w:rPr>
            </w:pPr>
            <w:r>
              <w:rPr>
                <w:rFonts w:ascii="Arial" w:cs="Arial" w:eastAsia="Arial" w:hAnsi="Arial"/>
                <w:sz w:val="18"/>
                <w:szCs w:val="18"/>
                <w:color w:val="auto"/>
                <w:w w:val="79"/>
              </w:rPr>
              <w:t>ü</w:t>
            </w:r>
          </w:p>
        </w:tc>
        <w:tc>
          <w:tcPr>
            <w:tcW w:w="3020" w:type="dxa"/>
            <w:vAlign w:val="bottom"/>
          </w:tcPr>
          <w:p>
            <w:pPr>
              <w:jc w:val="center"/>
              <w:ind w:right="12"/>
              <w:spacing w:after="0"/>
              <w:rPr>
                <w:sz w:val="20"/>
                <w:szCs w:val="20"/>
                <w:color w:val="auto"/>
              </w:rPr>
            </w:pPr>
            <w:r>
              <w:rPr>
                <w:rFonts w:ascii="Arial" w:cs="Arial" w:eastAsia="Arial" w:hAnsi="Arial"/>
                <w:sz w:val="18"/>
                <w:szCs w:val="18"/>
                <w:color w:val="auto"/>
                <w:w w:val="79"/>
              </w:rPr>
              <w:t>ü</w:t>
            </w: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Within batch reproducibility</w:t>
            </w:r>
          </w:p>
        </w:tc>
        <w:tc>
          <w:tcPr>
            <w:tcW w:w="35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79"/>
              </w:rPr>
              <w:t>ü</w:t>
            </w:r>
          </w:p>
        </w:tc>
        <w:tc>
          <w:tcPr>
            <w:tcW w:w="30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ü</w:t>
            </w:r>
          </w:p>
        </w:tc>
      </w:tr>
      <w:tr>
        <w:trPr>
          <w:trHeight w:val="211"/>
        </w:trPr>
        <w:tc>
          <w:tcPr>
            <w:tcW w:w="4820" w:type="dxa"/>
            <w:vAlign w:val="bottom"/>
          </w:tcPr>
          <w:p>
            <w:pPr>
              <w:spacing w:after="0"/>
              <w:rPr>
                <w:sz w:val="20"/>
                <w:szCs w:val="20"/>
                <w:color w:val="auto"/>
              </w:rPr>
            </w:pPr>
            <w:r>
              <w:rPr>
                <w:rFonts w:ascii="Arial" w:cs="Arial" w:eastAsia="Arial" w:hAnsi="Arial"/>
                <w:sz w:val="18"/>
                <w:szCs w:val="18"/>
                <w:color w:val="auto"/>
              </w:rPr>
              <w:t>Batch-to-batch reproducibility</w:t>
            </w:r>
          </w:p>
        </w:tc>
        <w:tc>
          <w:tcPr>
            <w:tcW w:w="3580" w:type="dxa"/>
            <w:vAlign w:val="bottom"/>
          </w:tcPr>
          <w:p>
            <w:pPr>
              <w:spacing w:after="0"/>
              <w:rPr>
                <w:sz w:val="18"/>
                <w:szCs w:val="18"/>
                <w:color w:val="auto"/>
              </w:rPr>
            </w:pPr>
          </w:p>
        </w:tc>
        <w:tc>
          <w:tcPr>
            <w:tcW w:w="3020" w:type="dxa"/>
            <w:vAlign w:val="bottom"/>
          </w:tcPr>
          <w:p>
            <w:pPr>
              <w:jc w:val="center"/>
              <w:ind w:right="12"/>
              <w:spacing w:after="0"/>
              <w:rPr>
                <w:sz w:val="20"/>
                <w:szCs w:val="20"/>
                <w:color w:val="auto"/>
              </w:rPr>
            </w:pPr>
            <w:r>
              <w:rPr>
                <w:rFonts w:ascii="Arial" w:cs="Arial" w:eastAsia="Arial" w:hAnsi="Arial"/>
                <w:sz w:val="18"/>
                <w:szCs w:val="18"/>
                <w:color w:val="auto"/>
                <w:w w:val="79"/>
              </w:rPr>
              <w:t>ü</w:t>
            </w: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Long term culture</w:t>
            </w:r>
          </w:p>
        </w:tc>
        <w:tc>
          <w:tcPr>
            <w:tcW w:w="3580" w:type="dxa"/>
            <w:vAlign w:val="bottom"/>
            <w:shd w:val="clear" w:color="auto" w:fill="CCEEFF"/>
          </w:tcPr>
          <w:p>
            <w:pPr>
              <w:spacing w:after="0"/>
              <w:rPr>
                <w:sz w:val="18"/>
                <w:szCs w:val="18"/>
                <w:color w:val="auto"/>
              </w:rPr>
            </w:pPr>
          </w:p>
        </w:tc>
        <w:tc>
          <w:tcPr>
            <w:tcW w:w="30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ü</w:t>
            </w:r>
          </w:p>
        </w:tc>
      </w:tr>
      <w:tr>
        <w:trPr>
          <w:trHeight w:val="211"/>
        </w:trPr>
        <w:tc>
          <w:tcPr>
            <w:tcW w:w="4820" w:type="dxa"/>
            <w:vAlign w:val="bottom"/>
          </w:tcPr>
          <w:p>
            <w:pPr>
              <w:spacing w:after="0"/>
              <w:rPr>
                <w:sz w:val="20"/>
                <w:szCs w:val="20"/>
                <w:color w:val="auto"/>
              </w:rPr>
            </w:pPr>
            <w:r>
              <w:rPr>
                <w:rFonts w:ascii="Arial" w:cs="Arial" w:eastAsia="Arial" w:hAnsi="Arial"/>
                <w:sz w:val="18"/>
                <w:szCs w:val="18"/>
                <w:color w:val="auto"/>
              </w:rPr>
              <w:t>Maintenance of function in culture</w:t>
            </w:r>
          </w:p>
        </w:tc>
        <w:tc>
          <w:tcPr>
            <w:tcW w:w="3580" w:type="dxa"/>
            <w:vAlign w:val="bottom"/>
          </w:tcPr>
          <w:p>
            <w:pPr>
              <w:spacing w:after="0"/>
              <w:rPr>
                <w:sz w:val="18"/>
                <w:szCs w:val="18"/>
                <w:color w:val="auto"/>
              </w:rPr>
            </w:pPr>
          </w:p>
        </w:tc>
        <w:tc>
          <w:tcPr>
            <w:tcW w:w="3020" w:type="dxa"/>
            <w:vAlign w:val="bottom"/>
          </w:tcPr>
          <w:p>
            <w:pPr>
              <w:jc w:val="center"/>
              <w:ind w:right="12"/>
              <w:spacing w:after="0"/>
              <w:rPr>
                <w:sz w:val="20"/>
                <w:szCs w:val="20"/>
                <w:color w:val="auto"/>
              </w:rPr>
            </w:pPr>
            <w:r>
              <w:rPr>
                <w:rFonts w:ascii="Arial" w:cs="Arial" w:eastAsia="Arial" w:hAnsi="Arial"/>
                <w:sz w:val="18"/>
                <w:szCs w:val="18"/>
                <w:color w:val="auto"/>
                <w:w w:val="79"/>
              </w:rPr>
              <w:t>ü</w:t>
            </w: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Parental cells can be expanded into large batches</w:t>
            </w:r>
          </w:p>
        </w:tc>
        <w:tc>
          <w:tcPr>
            <w:tcW w:w="3580" w:type="dxa"/>
            <w:vAlign w:val="bottom"/>
            <w:shd w:val="clear" w:color="auto" w:fill="CCEEFF"/>
          </w:tcPr>
          <w:p>
            <w:pPr>
              <w:spacing w:after="0"/>
              <w:rPr>
                <w:sz w:val="18"/>
                <w:szCs w:val="18"/>
                <w:color w:val="auto"/>
              </w:rPr>
            </w:pPr>
          </w:p>
        </w:tc>
        <w:tc>
          <w:tcPr>
            <w:tcW w:w="30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ü</w:t>
            </w:r>
          </w:p>
        </w:tc>
      </w:tr>
      <w:tr>
        <w:trPr>
          <w:trHeight w:val="211"/>
        </w:trPr>
        <w:tc>
          <w:tcPr>
            <w:tcW w:w="4820" w:type="dxa"/>
            <w:vAlign w:val="bottom"/>
          </w:tcPr>
          <w:p>
            <w:pPr>
              <w:spacing w:after="0"/>
              <w:rPr>
                <w:sz w:val="20"/>
                <w:szCs w:val="20"/>
                <w:color w:val="auto"/>
              </w:rPr>
            </w:pPr>
            <w:r>
              <w:rPr>
                <w:rFonts w:ascii="Arial" w:cs="Arial" w:eastAsia="Arial" w:hAnsi="Arial"/>
                <w:sz w:val="18"/>
                <w:szCs w:val="18"/>
                <w:color w:val="auto"/>
              </w:rPr>
              <w:t>Uniform genetic background between batches</w:t>
            </w:r>
          </w:p>
        </w:tc>
        <w:tc>
          <w:tcPr>
            <w:tcW w:w="3580" w:type="dxa"/>
            <w:vAlign w:val="bottom"/>
          </w:tcPr>
          <w:p>
            <w:pPr>
              <w:spacing w:after="0"/>
              <w:rPr>
                <w:sz w:val="18"/>
                <w:szCs w:val="18"/>
                <w:color w:val="auto"/>
              </w:rPr>
            </w:pPr>
          </w:p>
        </w:tc>
        <w:tc>
          <w:tcPr>
            <w:tcW w:w="3020" w:type="dxa"/>
            <w:vAlign w:val="bottom"/>
          </w:tcPr>
          <w:p>
            <w:pPr>
              <w:jc w:val="center"/>
              <w:ind w:right="12"/>
              <w:spacing w:after="0"/>
              <w:rPr>
                <w:sz w:val="20"/>
                <w:szCs w:val="20"/>
                <w:color w:val="auto"/>
              </w:rPr>
            </w:pPr>
            <w:r>
              <w:rPr>
                <w:rFonts w:ascii="Arial" w:cs="Arial" w:eastAsia="Arial" w:hAnsi="Arial"/>
                <w:sz w:val="18"/>
                <w:szCs w:val="18"/>
                <w:color w:val="auto"/>
                <w:w w:val="79"/>
              </w:rPr>
              <w:t>ü</w:t>
            </w: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Uniform donor health status between batches</w:t>
            </w:r>
          </w:p>
        </w:tc>
        <w:tc>
          <w:tcPr>
            <w:tcW w:w="3580" w:type="dxa"/>
            <w:vAlign w:val="bottom"/>
            <w:shd w:val="clear" w:color="auto" w:fill="CCEEFF"/>
          </w:tcPr>
          <w:p>
            <w:pPr>
              <w:spacing w:after="0"/>
              <w:rPr>
                <w:sz w:val="18"/>
                <w:szCs w:val="18"/>
                <w:color w:val="auto"/>
              </w:rPr>
            </w:pPr>
          </w:p>
        </w:tc>
        <w:tc>
          <w:tcPr>
            <w:tcW w:w="30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ü</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Gene “reporters” can be genetically inserted</w:t>
            </w:r>
          </w:p>
        </w:tc>
        <w:tc>
          <w:tcPr>
            <w:tcW w:w="3580" w:type="dxa"/>
            <w:vAlign w:val="bottom"/>
          </w:tcPr>
          <w:p>
            <w:pPr>
              <w:spacing w:after="0"/>
              <w:rPr>
                <w:sz w:val="19"/>
                <w:szCs w:val="19"/>
                <w:color w:val="auto"/>
              </w:rPr>
            </w:pPr>
          </w:p>
        </w:tc>
        <w:tc>
          <w:tcPr>
            <w:tcW w:w="3020" w:type="dxa"/>
            <w:vAlign w:val="bottom"/>
          </w:tcPr>
          <w:p>
            <w:pPr>
              <w:jc w:val="center"/>
              <w:ind w:right="12"/>
              <w:spacing w:after="0"/>
              <w:rPr>
                <w:sz w:val="20"/>
                <w:szCs w:val="20"/>
                <w:color w:val="auto"/>
              </w:rPr>
            </w:pPr>
            <w:r>
              <w:rPr>
                <w:rFonts w:ascii="Arial" w:cs="Arial" w:eastAsia="Arial" w:hAnsi="Arial"/>
                <w:sz w:val="18"/>
                <w:szCs w:val="18"/>
                <w:color w:val="auto"/>
                <w:w w:val="79"/>
              </w:rPr>
              <w:t>ü</w:t>
            </w:r>
          </w:p>
        </w:tc>
      </w:tr>
      <w:tr>
        <w:trPr>
          <w:trHeight w:val="580"/>
        </w:trPr>
        <w:tc>
          <w:tcPr>
            <w:tcW w:w="4820" w:type="dxa"/>
            <w:vAlign w:val="bottom"/>
          </w:tcPr>
          <w:p>
            <w:pPr>
              <w:spacing w:after="0"/>
              <w:rPr>
                <w:sz w:val="24"/>
                <w:szCs w:val="24"/>
                <w:color w:val="auto"/>
              </w:rPr>
            </w:pPr>
          </w:p>
        </w:tc>
        <w:tc>
          <w:tcPr>
            <w:tcW w:w="3580" w:type="dxa"/>
            <w:vAlign w:val="bottom"/>
          </w:tcPr>
          <w:p>
            <w:pPr>
              <w:jc w:val="right"/>
              <w:ind w:right="2452"/>
              <w:spacing w:after="0"/>
              <w:rPr>
                <w:sz w:val="20"/>
                <w:szCs w:val="20"/>
                <w:color w:val="auto"/>
              </w:rPr>
            </w:pPr>
            <w:r>
              <w:rPr>
                <w:rFonts w:ascii="Arial" w:cs="Arial" w:eastAsia="Arial" w:hAnsi="Arial"/>
                <w:sz w:val="18"/>
                <w:szCs w:val="18"/>
                <w:color w:val="auto"/>
              </w:rPr>
              <w:t>-22-</w:t>
            </w:r>
          </w:p>
        </w:tc>
        <w:tc>
          <w:tcPr>
            <w:tcW w:w="3020" w:type="dxa"/>
            <w:vAlign w:val="bottom"/>
          </w:tcPr>
          <w:p>
            <w:pPr>
              <w:spacing w:after="0"/>
              <w:rPr>
                <w:sz w:val="24"/>
                <w:szCs w:val="24"/>
                <w:color w:val="auto"/>
              </w:rPr>
            </w:pPr>
          </w:p>
        </w:tc>
      </w:tr>
      <w:tr>
        <w:trPr>
          <w:trHeight w:val="116"/>
        </w:trPr>
        <w:tc>
          <w:tcPr>
            <w:tcW w:w="482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4" w:name="page25"/>
    <w:bookmarkEnd w:id="2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VSTA-heps </w:t>
      </w:r>
      <w:r>
        <w:rPr>
          <w:rFonts w:ascii="Arial" w:cs="Arial" w:eastAsia="Arial" w:hAnsi="Arial"/>
          <w:sz w:val="18"/>
          <w:szCs w:val="18"/>
          <w:b w:val="1"/>
          <w:bCs w:val="1"/>
          <w:color w:val="auto"/>
        </w:rPr>
        <w:t>and CYP3A4 Enzyme Expression for Drug Metabolism</w:t>
      </w:r>
    </w:p>
    <w:p>
      <w:pPr>
        <w:spacing w:after="0" w:line="24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In the past, the challenge to using hPSC-derived hepatocytes has been differentiating the stem cells into mature hepatocytes that express a full complement of functional drug metabolizing enzymes, nuclear receptors, and transporters at least as well as primary hepatocytes. While many groups have taken on this challenge in recent years, published reports indicate that current hPSC differentiation protocols yield immature hepatocytes, especially with respect to extremely low expression of certain key adult drug metabolizing enzymes, such as </w:t>
      </w:r>
      <w:r>
        <w:rPr>
          <w:rFonts w:ascii="Arial" w:cs="Arial" w:eastAsia="Arial" w:hAnsi="Arial"/>
          <w:sz w:val="16"/>
          <w:szCs w:val="16"/>
          <w:i w:val="1"/>
          <w:iCs w:val="1"/>
          <w:color w:val="auto"/>
        </w:rPr>
        <w:t>CYP3A4</w:t>
      </w:r>
      <w:r>
        <w:rPr>
          <w:rFonts w:ascii="Arial" w:cs="Arial" w:eastAsia="Arial" w:hAnsi="Arial"/>
          <w:sz w:val="16"/>
          <w:szCs w:val="16"/>
          <w:color w:val="auto"/>
        </w:rPr>
        <w:t xml:space="preserve">. </w:t>
      </w:r>
      <w:r>
        <w:rPr>
          <w:rFonts w:ascii="Arial" w:cs="Arial" w:eastAsia="Arial" w:hAnsi="Arial"/>
          <w:sz w:val="16"/>
          <w:szCs w:val="16"/>
          <w:i w:val="1"/>
          <w:iCs w:val="1"/>
          <w:color w:val="auto"/>
        </w:rPr>
        <w:t>CYP3A4</w:t>
      </w:r>
      <w:r>
        <w:rPr>
          <w:rFonts w:ascii="Arial" w:cs="Arial" w:eastAsia="Arial" w:hAnsi="Arial"/>
          <w:sz w:val="16"/>
          <w:szCs w:val="16"/>
          <w:color w:val="auto"/>
        </w:rPr>
        <w:t xml:space="preserve"> is a critical liver enzyme responsible for metabolizing approximately one-third of the FDA-approved drugs currently available on the market. It is an important and well-accepted functional gene found almost exclusively in mature, adult hepatocytes. </w:t>
      </w:r>
      <w:r>
        <w:rPr>
          <w:rFonts w:ascii="Arial" w:cs="Arial" w:eastAsia="Arial" w:hAnsi="Arial"/>
          <w:sz w:val="16"/>
          <w:szCs w:val="16"/>
          <w:i w:val="1"/>
          <w:iCs w:val="1"/>
          <w:color w:val="auto"/>
        </w:rPr>
        <w:t>CYP3A4</w:t>
      </w:r>
      <w:r>
        <w:rPr>
          <w:rFonts w:ascii="Arial" w:cs="Arial" w:eastAsia="Arial" w:hAnsi="Arial"/>
          <w:sz w:val="16"/>
          <w:szCs w:val="16"/>
          <w:color w:val="auto"/>
        </w:rPr>
        <w:t xml:space="preserve"> is the key functional marker that we have used to optimize our </w:t>
      </w:r>
      <w:r>
        <w:rPr>
          <w:rFonts w:ascii="Arial" w:cs="Arial" w:eastAsia="Arial" w:hAnsi="Arial"/>
          <w:sz w:val="16"/>
          <w:szCs w:val="16"/>
          <w:i w:val="1"/>
          <w:iCs w:val="1"/>
          <w:color w:val="auto"/>
        </w:rPr>
        <w:t>VSTA-hep</w:t>
      </w:r>
      <w:r>
        <w:rPr>
          <w:rFonts w:ascii="Arial" w:cs="Arial" w:eastAsia="Arial" w:hAnsi="Arial"/>
          <w:sz w:val="16"/>
          <w:szCs w:val="16"/>
          <w:color w:val="auto"/>
        </w:rPr>
        <w:t xml:space="preserve"> differentiation cultures for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We believe our optimized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assay system enables us to generate more mature hPSC-derived hepatocytes than are currently available from others in the field and that our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system provides the unique ability to specifically select for mature </w:t>
      </w:r>
      <w:r>
        <w:rPr>
          <w:rFonts w:ascii="Arial" w:cs="Arial" w:eastAsia="Arial" w:hAnsi="Arial"/>
          <w:sz w:val="16"/>
          <w:szCs w:val="16"/>
          <w:i w:val="1"/>
          <w:iCs w:val="1"/>
          <w:color w:val="auto"/>
        </w:rPr>
        <w:t>CYP3A4</w:t>
      </w:r>
      <w:r>
        <w:rPr>
          <w:rFonts w:ascii="Arial" w:cs="Arial" w:eastAsia="Arial" w:hAnsi="Arial"/>
          <w:sz w:val="16"/>
          <w:szCs w:val="16"/>
          <w:color w:val="auto"/>
        </w:rPr>
        <w:t>-expressing human hepatocytes.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We developed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using hPSC differentiation protocols adapted from the laboratory of our co-founder, Dr. Gordon Keller, and our proprietary hPSC cell line, 3A4BLA. This 3A4BLA cell line is a hESC line that contains a humanized BLA “reporter” that is placed in the </w:t>
      </w:r>
      <w:r>
        <w:rPr>
          <w:rFonts w:ascii="Arial" w:cs="Arial" w:eastAsia="Arial" w:hAnsi="Arial"/>
          <w:sz w:val="16"/>
          <w:szCs w:val="16"/>
          <w:i w:val="1"/>
          <w:iCs w:val="1"/>
          <w:color w:val="auto"/>
        </w:rPr>
        <w:t>CYP3A4</w:t>
      </w:r>
      <w:r>
        <w:rPr>
          <w:rFonts w:ascii="Arial" w:cs="Arial" w:eastAsia="Arial" w:hAnsi="Arial"/>
          <w:sz w:val="16"/>
          <w:szCs w:val="16"/>
          <w:color w:val="auto"/>
        </w:rPr>
        <w:t xml:space="preserve"> gene in a manner resulting in the expression of BLA only in cells that also express </w:t>
      </w:r>
      <w:r>
        <w:rPr>
          <w:rFonts w:ascii="Arial" w:cs="Arial" w:eastAsia="Arial" w:hAnsi="Arial"/>
          <w:sz w:val="16"/>
          <w:szCs w:val="16"/>
          <w:i w:val="1"/>
          <w:iCs w:val="1"/>
          <w:color w:val="auto"/>
        </w:rPr>
        <w:t>CYP3A4</w:t>
      </w:r>
      <w:r>
        <w:rPr>
          <w:rFonts w:ascii="Arial" w:cs="Arial" w:eastAsia="Arial" w:hAnsi="Arial"/>
          <w:sz w:val="16"/>
          <w:szCs w:val="16"/>
          <w:color w:val="auto"/>
        </w:rPr>
        <w:t xml:space="preserve">. This allows us to visualize by fluorescence cells that express </w:t>
      </w:r>
      <w:r>
        <w:rPr>
          <w:rFonts w:ascii="Arial" w:cs="Arial" w:eastAsia="Arial" w:hAnsi="Arial"/>
          <w:sz w:val="16"/>
          <w:szCs w:val="16"/>
          <w:i w:val="1"/>
          <w:iCs w:val="1"/>
          <w:color w:val="auto"/>
        </w:rPr>
        <w:t>CYP3A4</w:t>
      </w:r>
      <w:r>
        <w:rPr>
          <w:rFonts w:ascii="Arial" w:cs="Arial" w:eastAsia="Arial" w:hAnsi="Arial"/>
          <w:sz w:val="16"/>
          <w:szCs w:val="16"/>
          <w:color w:val="auto"/>
        </w:rPr>
        <w:t xml:space="preserve"> based on expression of the BLA reporter. By producing a cell line capable of tracking </w:t>
      </w:r>
      <w:r>
        <w:rPr>
          <w:rFonts w:ascii="Arial" w:cs="Arial" w:eastAsia="Arial" w:hAnsi="Arial"/>
          <w:sz w:val="16"/>
          <w:szCs w:val="16"/>
          <w:i w:val="1"/>
          <w:iCs w:val="1"/>
          <w:color w:val="auto"/>
        </w:rPr>
        <w:t>CYP3A4</w:t>
      </w:r>
      <w:r>
        <w:rPr>
          <w:rFonts w:ascii="Arial" w:cs="Arial" w:eastAsia="Arial" w:hAnsi="Arial"/>
          <w:sz w:val="16"/>
          <w:szCs w:val="16"/>
          <w:color w:val="auto"/>
        </w:rPr>
        <w:t xml:space="preserve"> expression, we have been able to optimize our hPSC differentiation protocols to increase expression of mature hepatocyte markers and drug metabolizing enzymes and to enrich for </w:t>
      </w:r>
      <w:r>
        <w:rPr>
          <w:rFonts w:ascii="Arial" w:cs="Arial" w:eastAsia="Arial" w:hAnsi="Arial"/>
          <w:sz w:val="16"/>
          <w:szCs w:val="16"/>
          <w:i w:val="1"/>
          <w:iCs w:val="1"/>
          <w:color w:val="auto"/>
        </w:rPr>
        <w:t>CYP3A4</w:t>
      </w:r>
      <w:r>
        <w:rPr>
          <w:rFonts w:ascii="Arial" w:cs="Arial" w:eastAsia="Arial" w:hAnsi="Arial"/>
          <w:sz w:val="16"/>
          <w:szCs w:val="16"/>
          <w:color w:val="auto"/>
        </w:rPr>
        <w:t xml:space="preserve">-expressing cells by cell sorting. However, even in the absence of cell sorting, our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hepatocyte populations contain greater than 80% albumin-positive cells and greater than 40% </w:t>
      </w:r>
      <w:r>
        <w:rPr>
          <w:rFonts w:ascii="Arial" w:cs="Arial" w:eastAsia="Arial" w:hAnsi="Arial"/>
          <w:sz w:val="16"/>
          <w:szCs w:val="16"/>
          <w:i w:val="1"/>
          <w:iCs w:val="1"/>
          <w:color w:val="auto"/>
        </w:rPr>
        <w:t>CYP3A4</w:t>
      </w:r>
      <w:r>
        <w:rPr>
          <w:rFonts w:ascii="Arial" w:cs="Arial" w:eastAsia="Arial" w:hAnsi="Arial"/>
          <w:sz w:val="16"/>
          <w:szCs w:val="16"/>
          <w:color w:val="auto"/>
        </w:rPr>
        <w:t xml:space="preserve">-positive cells, with </w:t>
      </w:r>
      <w:r>
        <w:rPr>
          <w:rFonts w:ascii="Arial" w:cs="Arial" w:eastAsia="Arial" w:hAnsi="Arial"/>
          <w:sz w:val="16"/>
          <w:szCs w:val="16"/>
          <w:i w:val="1"/>
          <w:iCs w:val="1"/>
          <w:color w:val="auto"/>
        </w:rPr>
        <w:t>CYP3A4</w:t>
      </w:r>
      <w:r>
        <w:rPr>
          <w:rFonts w:ascii="Arial" w:cs="Arial" w:eastAsia="Arial" w:hAnsi="Arial"/>
          <w:sz w:val="16"/>
          <w:szCs w:val="16"/>
          <w:color w:val="auto"/>
        </w:rPr>
        <w:t xml:space="preserve"> mRNA expression reaching levels nearly 60-fold higher than side-by-side 38-week human fetal liver controls. Our </w:t>
      </w:r>
      <w:r>
        <w:rPr>
          <w:rFonts w:ascii="Arial" w:cs="Arial" w:eastAsia="Arial" w:hAnsi="Arial"/>
          <w:sz w:val="16"/>
          <w:szCs w:val="16"/>
          <w:i w:val="1"/>
          <w:iCs w:val="1"/>
          <w:color w:val="auto"/>
        </w:rPr>
        <w:t>VSTA-heps</w:t>
      </w:r>
      <w:r>
        <w:rPr>
          <w:rFonts w:ascii="Arial" w:cs="Arial" w:eastAsia="Arial" w:hAnsi="Arial"/>
          <w:sz w:val="16"/>
          <w:szCs w:val="16"/>
          <w:color w:val="auto"/>
        </w:rPr>
        <w:t xml:space="preserve"> secrete urea and albumin, functional markers of hepatocytes, at levels that exceed commercially-available primary (cadaver) hepatocytes. They also store both glycogen and lipids, which are additional characteristics required of functional, mature adult hepatocytes. Importantly, expression of fetal liver markers decreases over the time course of maturation of our </w:t>
      </w:r>
      <w:r>
        <w:rPr>
          <w:rFonts w:ascii="Arial" w:cs="Arial" w:eastAsia="Arial" w:hAnsi="Arial"/>
          <w:sz w:val="16"/>
          <w:szCs w:val="16"/>
          <w:i w:val="1"/>
          <w:iCs w:val="1"/>
          <w:color w:val="auto"/>
        </w:rPr>
        <w:t>VSTA-heps</w:t>
      </w:r>
      <w:r>
        <w:rPr>
          <w:rFonts w:ascii="Arial" w:cs="Arial" w:eastAsia="Arial" w:hAnsi="Arial"/>
          <w:sz w:val="16"/>
          <w:szCs w:val="16"/>
          <w:color w:val="auto"/>
        </w:rPr>
        <w:t xml:space="preserve">. This transition to a more mature state with decreased fetal gene expression is expected and essential for the production of adult functional hepatocytes, but it has rarely been reported by others in publications describing their hPSC-derived hepatocytes. With the addition of cell sorting, our </w:t>
      </w:r>
      <w:r>
        <w:rPr>
          <w:rFonts w:ascii="Arial" w:cs="Arial" w:eastAsia="Arial" w:hAnsi="Arial"/>
          <w:sz w:val="16"/>
          <w:szCs w:val="16"/>
          <w:i w:val="1"/>
          <w:iCs w:val="1"/>
          <w:color w:val="auto"/>
        </w:rPr>
        <w:t xml:space="preserve">VSTA-heps </w:t>
      </w:r>
      <w:r>
        <w:rPr>
          <w:rFonts w:ascii="Arial" w:cs="Arial" w:eastAsia="Arial" w:hAnsi="Arial"/>
          <w:sz w:val="16"/>
          <w:szCs w:val="16"/>
          <w:color w:val="auto"/>
        </w:rPr>
        <w:t>can be highly enriched for</w:t>
      </w:r>
      <w:r>
        <w:rPr>
          <w:rFonts w:ascii="Arial" w:cs="Arial" w:eastAsia="Arial" w:hAnsi="Arial"/>
          <w:sz w:val="16"/>
          <w:szCs w:val="16"/>
          <w:i w:val="1"/>
          <w:iCs w:val="1"/>
          <w:color w:val="auto"/>
        </w:rPr>
        <w:t xml:space="preserve"> CYP3A4</w:t>
      </w:r>
      <w:r>
        <w:rPr>
          <w:rFonts w:ascii="Arial" w:cs="Arial" w:eastAsia="Arial" w:hAnsi="Arial"/>
          <w:sz w:val="16"/>
          <w:szCs w:val="16"/>
          <w:color w:val="auto"/>
        </w:rPr>
        <w:t>-BLA-positive cells, with</w:t>
      </w:r>
      <w:r>
        <w:rPr>
          <w:rFonts w:ascii="Arial" w:cs="Arial" w:eastAsia="Arial" w:hAnsi="Arial"/>
          <w:sz w:val="16"/>
          <w:szCs w:val="16"/>
          <w:i w:val="1"/>
          <w:iCs w:val="1"/>
          <w:color w:val="auto"/>
        </w:rPr>
        <w:t xml:space="preserve"> CYP3A4 </w:t>
      </w:r>
      <w:r>
        <w:rPr>
          <w:rFonts w:ascii="Arial" w:cs="Arial" w:eastAsia="Arial" w:hAnsi="Arial"/>
          <w:sz w:val="16"/>
          <w:szCs w:val="16"/>
          <w:color w:val="auto"/>
        </w:rPr>
        <w:t>message in the positive cell population reaching greater than 30% that of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adult human liver pool control. To our knowledge, this level of </w:t>
      </w:r>
      <w:r>
        <w:rPr>
          <w:rFonts w:ascii="Arial" w:cs="Arial" w:eastAsia="Arial" w:hAnsi="Arial"/>
          <w:sz w:val="16"/>
          <w:szCs w:val="16"/>
          <w:i w:val="1"/>
          <w:iCs w:val="1"/>
          <w:color w:val="auto"/>
        </w:rPr>
        <w:t>CYP3A4</w:t>
      </w:r>
      <w:r>
        <w:rPr>
          <w:rFonts w:ascii="Arial" w:cs="Arial" w:eastAsia="Arial" w:hAnsi="Arial"/>
          <w:sz w:val="16"/>
          <w:szCs w:val="16"/>
          <w:color w:val="auto"/>
        </w:rPr>
        <w:t xml:space="preserve"> expression exceeds levels reported by others in the literature.</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The most important capabilities of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relate to “Phase I” and “Phase II” drug metabolism, which are functional characteristics of mature adult hepatocytes. We have validated these capabilities of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by demonstrating its ability to metabolize known substrates, such as testosterone, and its ability to respond properly to known inducers of Phase I-mediated </w:t>
      </w:r>
      <w:r>
        <w:rPr>
          <w:rFonts w:ascii="Arial" w:cs="Arial" w:eastAsia="Arial" w:hAnsi="Arial"/>
          <w:sz w:val="16"/>
          <w:szCs w:val="16"/>
          <w:i w:val="1"/>
          <w:iCs w:val="1"/>
          <w:color w:val="auto"/>
        </w:rPr>
        <w:t>CYP3A4</w:t>
      </w:r>
      <w:r>
        <w:rPr>
          <w:rFonts w:ascii="Arial" w:cs="Arial" w:eastAsia="Arial" w:hAnsi="Arial"/>
          <w:sz w:val="16"/>
          <w:szCs w:val="16"/>
          <w:color w:val="auto"/>
        </w:rPr>
        <w:t xml:space="preserve"> metabolism, such as rifampicin. Moreover, our </w:t>
      </w:r>
      <w:r>
        <w:rPr>
          <w:rFonts w:ascii="Arial" w:cs="Arial" w:eastAsia="Arial" w:hAnsi="Arial"/>
          <w:sz w:val="16"/>
          <w:szCs w:val="16"/>
          <w:i w:val="1"/>
          <w:iCs w:val="1"/>
          <w:color w:val="auto"/>
        </w:rPr>
        <w:t>VSTA-heps</w:t>
      </w:r>
      <w:r>
        <w:rPr>
          <w:rFonts w:ascii="Arial" w:cs="Arial" w:eastAsia="Arial" w:hAnsi="Arial"/>
          <w:sz w:val="16"/>
          <w:szCs w:val="16"/>
          <w:color w:val="auto"/>
        </w:rPr>
        <w:t xml:space="preserve"> demonstrate Phase II-mediated testosterone metabolism levels that exceed commercially-available primary hepatocytes. These functional characteristics of mature adult hepatocytes are critical to the development of a reliable and clinically predictive hepatotoxicity screening platform for our drug rescue programs. We are currently focused on expanding our panel of validation assays and compounds to include more P450 substrates, inducers, and inhibitors, as well as adapting the cellular toxicity assays that have been developed for our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assay system to our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assay system and to apply specific functional screening, such as albumin and urea secretion assays.</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We believe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with </w:t>
      </w:r>
      <w:r>
        <w:rPr>
          <w:rFonts w:ascii="Arial" w:cs="Arial" w:eastAsia="Arial" w:hAnsi="Arial"/>
          <w:sz w:val="16"/>
          <w:szCs w:val="16"/>
          <w:i w:val="1"/>
          <w:iCs w:val="1"/>
          <w:color w:val="auto"/>
        </w:rPr>
        <w:t>VSTA-heps</w:t>
      </w:r>
      <w:r>
        <w:rPr>
          <w:rFonts w:ascii="Arial" w:cs="Arial" w:eastAsia="Arial" w:hAnsi="Arial"/>
          <w:sz w:val="16"/>
          <w:szCs w:val="16"/>
          <w:color w:val="auto"/>
        </w:rPr>
        <w:t xml:space="preserve"> offers the capability of producing a genetically-identical, renewable, and reproducible hepatotoxicity assay system for drug rescue and development that provides advantages over in vitro assays using commercially-available primary hepatocytes. In addition, it offers the ability to produce hepatocyte assays that contain common genetic variations in drug metabolizing genes that are expressed in subsets of individuals, and therefore drug development. We have demonstrated that our </w:t>
      </w:r>
      <w:r>
        <w:rPr>
          <w:rFonts w:ascii="Arial" w:cs="Arial" w:eastAsia="Arial" w:hAnsi="Arial"/>
          <w:sz w:val="16"/>
          <w:szCs w:val="16"/>
          <w:i w:val="1"/>
          <w:iCs w:val="1"/>
          <w:color w:val="auto"/>
        </w:rPr>
        <w:t>VSTA-heps</w:t>
      </w:r>
      <w:r>
        <w:rPr>
          <w:rFonts w:ascii="Arial" w:cs="Arial" w:eastAsia="Arial" w:hAnsi="Arial"/>
          <w:sz w:val="16"/>
          <w:szCs w:val="16"/>
          <w:color w:val="auto"/>
        </w:rPr>
        <w:t xml:space="preserve">, even in the absence of cell sorting, secrete adult hepatocyte levels of albumin and urea and contain greater than 40% </w:t>
      </w:r>
      <w:r>
        <w:rPr>
          <w:rFonts w:ascii="Arial" w:cs="Arial" w:eastAsia="Arial" w:hAnsi="Arial"/>
          <w:sz w:val="16"/>
          <w:szCs w:val="16"/>
          <w:i w:val="1"/>
          <w:iCs w:val="1"/>
          <w:color w:val="auto"/>
        </w:rPr>
        <w:t>CYP3A4</w:t>
      </w:r>
      <w:r>
        <w:rPr>
          <w:rFonts w:ascii="Arial" w:cs="Arial" w:eastAsia="Arial" w:hAnsi="Arial"/>
          <w:sz w:val="16"/>
          <w:szCs w:val="16"/>
          <w:color w:val="auto"/>
        </w:rPr>
        <w:t xml:space="preserve">-positive cells, historically difficult to achieve in hPSC differentiation cultures. The proprietary 3A4BLA cell line component of </w:t>
      </w:r>
      <w:r>
        <w:rPr>
          <w:rFonts w:ascii="Arial" w:cs="Arial" w:eastAsia="Arial" w:hAnsi="Arial"/>
          <w:sz w:val="16"/>
          <w:szCs w:val="16"/>
          <w:i w:val="1"/>
          <w:iCs w:val="1"/>
          <w:color w:val="auto"/>
        </w:rPr>
        <w:t xml:space="preserve">LiverSafe </w:t>
      </w:r>
      <w:r>
        <w:rPr>
          <w:rFonts w:ascii="Arial" w:cs="Arial" w:eastAsia="Arial" w:hAnsi="Arial"/>
          <w:sz w:val="16"/>
          <w:szCs w:val="16"/>
          <w:color w:val="auto"/>
        </w:rPr>
        <w:t>3D allows us the unique opportunity to enrich</w:t>
      </w:r>
      <w:r>
        <w:rPr>
          <w:rFonts w:ascii="Arial" w:cs="Arial" w:eastAsia="Arial" w:hAnsi="Arial"/>
          <w:sz w:val="16"/>
          <w:szCs w:val="16"/>
          <w:i w:val="1"/>
          <w:iCs w:val="1"/>
          <w:color w:val="auto"/>
        </w:rPr>
        <w:t xml:space="preserve"> CYP3A4</w:t>
      </w:r>
      <w:r>
        <w:rPr>
          <w:rFonts w:ascii="Arial" w:cs="Arial" w:eastAsia="Arial" w:hAnsi="Arial"/>
          <w:sz w:val="16"/>
          <w:szCs w:val="16"/>
          <w:color w:val="auto"/>
        </w:rPr>
        <w:t>-positive cells, resulting in</w:t>
      </w:r>
      <w:r>
        <w:rPr>
          <w:rFonts w:ascii="Arial" w:cs="Arial" w:eastAsia="Arial" w:hAnsi="Arial"/>
          <w:sz w:val="16"/>
          <w:szCs w:val="16"/>
          <w:i w:val="1"/>
          <w:iCs w:val="1"/>
          <w:color w:val="auto"/>
        </w:rPr>
        <w:t xml:space="preserve"> CYP3A4 </w:t>
      </w:r>
      <w:r>
        <w:rPr>
          <w:rFonts w:ascii="Arial" w:cs="Arial" w:eastAsia="Arial" w:hAnsi="Arial"/>
          <w:sz w:val="16"/>
          <w:szCs w:val="16"/>
          <w:color w:val="auto"/>
        </w:rPr>
        <w:t>expression reaching greater than 30% of an adult human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liver pool, and to the best of our knowledge, a level higher than described in current literature. Most importantly, for drug rescue and development purposes, our </w:t>
      </w:r>
      <w:r>
        <w:rPr>
          <w:rFonts w:ascii="Arial" w:cs="Arial" w:eastAsia="Arial" w:hAnsi="Arial"/>
          <w:sz w:val="16"/>
          <w:szCs w:val="16"/>
          <w:i w:val="1"/>
          <w:iCs w:val="1"/>
          <w:color w:val="auto"/>
        </w:rPr>
        <w:t xml:space="preserve">VSTA-heps </w:t>
      </w:r>
      <w:r>
        <w:rPr>
          <w:rFonts w:ascii="Arial" w:cs="Arial" w:eastAsia="Arial" w:hAnsi="Arial"/>
          <w:sz w:val="16"/>
          <w:szCs w:val="16"/>
          <w:color w:val="auto"/>
        </w:rPr>
        <w:t>are the foundation of</w:t>
      </w:r>
      <w:r>
        <w:rPr>
          <w:rFonts w:ascii="Arial" w:cs="Arial" w:eastAsia="Arial" w:hAnsi="Arial"/>
          <w:sz w:val="16"/>
          <w:szCs w:val="16"/>
          <w:i w:val="1"/>
          <w:iCs w:val="1"/>
          <w:color w:val="auto"/>
        </w:rPr>
        <w:t xml:space="preserve"> LiverSafe </w:t>
      </w:r>
      <w:r>
        <w:rPr>
          <w:rFonts w:ascii="Arial" w:cs="Arial" w:eastAsia="Arial" w:hAnsi="Arial"/>
          <w:sz w:val="16"/>
          <w:szCs w:val="16"/>
          <w:color w:val="auto"/>
        </w:rPr>
        <w:t>3D and metabolize known substrates and respond to known inducers in a manner expected only of mature adult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hepatocytes, paving the way for our final validation of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system as a novel, clinically-relevant hepatotoxicity assay system that can improve clinical predictivity, decrease the cost of drug development, reduce reliance on live animal studies, and improve drug safety.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Using Stem Cell Technology to Produce and Develop Drug Rescue NCEs</w:t>
      </w:r>
    </w:p>
    <w:p>
      <w:pPr>
        <w:spacing w:after="0" w:line="24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We believe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for our drug rescue programs is the highest-value near term commercial application of the human cells we produce and the novel, customized bioassay systems we have designed and developed. Our drug rescue activities are focused on producing for our internal pipeline proprietary, safer variants of still-promising NCEs previously discovered, optimized and tested for efficacy by pharmaceutical companies and others but terminated before FDA approval due to unexpected heart toxicity or liver toxicity. Our drug rescue strategy involves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to assess the toxicity that caused certain NCEs available in the public to be terminated, and use that biological insight to produce and develop a new, potentially safer, and proprietary NCEs for our pipeline.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Our current drug rescue emphasis is on NCEs discontinued prior to FDA market approval due to unexpected cardiac safety concerns. By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enhance our understanding of the cardiac liability profile of NCEs, biological insight not previously available when the NCEs were originally discovered, optimized for efficacy and developed, we believe we can demonstrate preclincial proof-of-concept (POC) as to the efficacy and safety of new, safer drug rescue NCEs in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as well as in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have assessed, and established a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cardiotoxicity profile for several drug rescue candidates.</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are now preparing to commence our initial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drug rescue program. Our goal in each drug rescue program will be to produce a proprietary drug rescue NCE and establish its preclinical POC, using standard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and safety models, as well as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 this context, POC means that the lead drug rescue NCE, as compared to the original, previously-terminated NCE</w:t>
      </w:r>
      <w:r>
        <w:rPr>
          <w:rFonts w:ascii="Arial" w:cs="Arial" w:eastAsia="Arial" w:hAnsi="Arial"/>
          <w:sz w:val="16"/>
          <w:szCs w:val="16"/>
          <w:i w:val="1"/>
          <w:iCs w:val="1"/>
          <w:color w:val="auto"/>
        </w:rPr>
        <w:t>,</w:t>
      </w:r>
      <w:r>
        <w:rPr>
          <w:rFonts w:ascii="Arial" w:cs="Arial" w:eastAsia="Arial" w:hAnsi="Arial"/>
          <w:sz w:val="16"/>
          <w:szCs w:val="16"/>
          <w:color w:val="auto"/>
        </w:rPr>
        <w:t xml:space="preserve"> demonstrates both (i) equal or superior efficacy in the same, or a similar,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efficacy models used by the initial developer of the previously-terminated NCE before it was terminated for safety reasons, and (ii) significant reduction of concentration dependent cardiotoxicity in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We believe our focus on producing proprietary drug rescue NCEs for our internal pipeline based on previously-terminated NCEs with therapeutic and commercial potential established by others, and our ability to build on that valuable head start with our novel biological and electrophysiological insight regarding cardiac effects of NCEs that we can generate with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help us and our medicinal chemistry partner produce and optimize drug rescue NCEs without incurring many of the high costs and risks typically inherent in new drug discovery and preclinical development. Although we plan to continue to identify NCEs for our drug rescue programs in the public domain, we may also seek to acquire rights to previously-terminated, but still-promising, NCEs not available to us in the public domain by entering into contractual arrangements with third-parties.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Development and Commercialization of Drug Rescue NCEs</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a result of research and development productivity issues and diminishing product pipelines, as well as generic competition for established products that are no longer patent protected, we believe there is and will continue to be a critical need among pharmaceutical companies to acquire or in-license the new, safer drug rescue NCEs we are focused on producing and developing, including companies that originally discovered, developed and ultimately discontinued the previously-terminated NCEs we select for drug rescue.</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Once we optimize a patentable drug rescue NCE, we intend to develop it internally to establish preclinical POC in established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and safety models, as well as in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After we establish preclinical POC of a patentable drug rescue NCE, we will decide between continuing to develop it internally and out-licensing it to a pharmaceutical company. If we license it to the pharmaceutical company, it will be responsible for all subsequent development, manufacturing, regulatory approval, marketing and sale of the drug rescue NCE and we will generate revenue through payments to us from the license upon signing the license agreement, achievement of development and regulatory milestones, and, if approved and marketed, upon commercial sales, although no assurances can be given that we will seek and complete a partnership, or that the terms of such a beneficial arrangement will be available or offered to us.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Regenerative Medicine and Drug Discovery</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Although we believe the best and most valuable near term commercial application of our stem cell technology platform is for small molecule drug rescue, we also believe stem cell technology-based drug discovery and regenerative medicine has the potential to transform healthcare in the U.S. over the next decade by providing new approaches for treating the fundamental mechanisms of disease. We currently intend to explore opportunities to leverage our stem cell technology platform, our expertise in human biology, differentiation of human pluripotent stem cells to develop functional adult human cells and tissues involved in human disease, including blood, bone, cartilage, heart and liver cells, and our expertise in designing and developing novel, customized biological assay systems with the cells we produce, for regenerative medicine purposes, with emphasis on developing novel human disease models for discovery of small molecule drugs with regenerative and therapeutic potential. Among our key objectives will be to assess our regenerative medicine opportunities through exploratory nonclinical POC studies.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Transactions and Relationships</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Strategic collaborations are an important cornerstone of our corporate development strategy. We believe that our strategic outsourcing and sponsorship of application-focused research gives us flexible access to medicinal chemistry, hPSC research and development,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217" w:lineRule="exact"/>
        <w:rPr>
          <w:sz w:val="20"/>
          <w:szCs w:val="20"/>
          <w:color w:val="auto"/>
        </w:rPr>
      </w:pPr>
    </w:p>
    <w:p>
      <w:pPr>
        <w:ind w:left="240" w:hanging="169"/>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academic research institutions, such as the University Health Network (</w:t>
      </w:r>
      <w:r>
        <w:rPr>
          <w:rFonts w:ascii="Arial" w:cs="Arial" w:eastAsia="Arial" w:hAnsi="Arial"/>
          <w:sz w:val="18"/>
          <w:szCs w:val="18"/>
          <w:i w:val="1"/>
          <w:iCs w:val="1"/>
          <w:color w:val="auto"/>
        </w:rPr>
        <w:t>UHN</w:t>
      </w:r>
      <w:r>
        <w:rPr>
          <w:rFonts w:ascii="Arial" w:cs="Arial" w:eastAsia="Arial" w:hAnsi="Arial"/>
          <w:sz w:val="18"/>
          <w:szCs w:val="18"/>
          <w:color w:val="auto"/>
        </w:rPr>
        <w:t>) for hPSC technology research and development;</w:t>
      </w:r>
    </w:p>
    <w:p>
      <w:pPr>
        <w:spacing w:after="0" w:line="214" w:lineRule="exact"/>
        <w:rPr>
          <w:rFonts w:ascii="Arial" w:cs="Arial" w:eastAsia="Arial" w:hAnsi="Arial"/>
          <w:sz w:val="18"/>
          <w:szCs w:val="18"/>
          <w:color w:val="auto"/>
        </w:rPr>
      </w:pPr>
    </w:p>
    <w:p>
      <w:pPr>
        <w:ind w:left="240" w:hanging="169"/>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 medicinal chemistry companies, such as Synterys, Inc., to design, produce and analyze drug rescue NCEs; and</w:t>
      </w:r>
    </w:p>
    <w:p>
      <w:pPr>
        <w:spacing w:after="0" w:line="214" w:lineRule="exact"/>
        <w:rPr>
          <w:rFonts w:ascii="Arial" w:cs="Arial" w:eastAsia="Arial" w:hAnsi="Arial"/>
          <w:sz w:val="18"/>
          <w:szCs w:val="18"/>
          <w:color w:val="auto"/>
        </w:rPr>
      </w:pPr>
    </w:p>
    <w:p>
      <w:pPr>
        <w:ind w:left="240" w:hanging="169"/>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contract clinical development and regulatory organizations (</w:t>
      </w:r>
      <w:r>
        <w:rPr>
          <w:rFonts w:ascii="Arial" w:cs="Arial" w:eastAsia="Arial" w:hAnsi="Arial"/>
          <w:sz w:val="16"/>
          <w:szCs w:val="16"/>
          <w:i w:val="1"/>
          <w:iCs w:val="1"/>
          <w:color w:val="auto"/>
        </w:rPr>
        <w:t>CROs</w:t>
      </w:r>
      <w:r>
        <w:rPr>
          <w:rFonts w:ascii="Arial" w:cs="Arial" w:eastAsia="Arial" w:hAnsi="Arial"/>
          <w:sz w:val="16"/>
          <w:szCs w:val="16"/>
          <w:color w:val="auto"/>
        </w:rPr>
        <w:t>), such as Cato Research, Ltd., for regulatory expertise and clinical development support.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Research</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Cato Research is a CRO with international resources dedicated to helping biotechnology and pharmaceutical companies navigate the regulatory approval process in order to bring new biologics, drugs and medical devices to markets throughout the world. Cato Research is our CRO for development of AV-101.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25 years of experience interacting with the FDA and international regulatory agencies and a successful track record of product approvals. Based on our long-term working relationship with Cato Research in connection with the development of AV-101, should we elect to advance development of Drug Rescue Variants internally, as we have done with AV-101, rather than license or sell them to pharmaceutical companies or others, we believe our long term strategic relationship with Cato Research provides us with real time access to the global connections, insight and knowledge necessary to effectively plan, execute and manage successful nonclinical and clinical development programs throughout the world without incurring the substantial expenses typically associated with establishing and maintaining a wide range of drug development capabilities in-house.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BioVentures</w:t>
      </w:r>
    </w:p>
    <w:p>
      <w:pPr>
        <w:spacing w:after="0" w:line="241"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Cato Holding Company, doing business as Cato BioVentures (Cato BioVentures), is the venture capital affiliate of Cato Research. Through strategic CRO service agreements with Cato Research, Cato BioVentures invests in therapeutics and medical devices, as well as platform technologies such as our stem cell technology-based Human Clinical Trials in a Test Tube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As a result of the access Cato Research has to potential drug rescue NCEs from its biotechnology and pharmaceutical industry network, as well as Cato BioVentures’ strategic long term equity interest in the Company,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drug rescue NCEs </w:t>
      </w:r>
      <w:r>
        <w:rPr>
          <w:rFonts w:ascii="Arial" w:cs="Arial" w:eastAsia="Arial" w:hAnsi="Arial"/>
          <w:sz w:val="18"/>
          <w:szCs w:val="18"/>
          <w:i w:val="1"/>
          <w:iCs w:val="1"/>
          <w:color w:val="auto"/>
        </w:rPr>
        <w:t>s</w:t>
      </w:r>
      <w:r>
        <w:rPr>
          <w:rFonts w:ascii="Arial" w:cs="Arial" w:eastAsia="Arial" w:hAnsi="Arial"/>
          <w:sz w:val="18"/>
          <w:szCs w:val="18"/>
          <w:color w:val="auto"/>
        </w:rPr>
        <w:t xml:space="preserve"> internally rather than out-license them to strategic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Health Network, McEwen Centre for Regenerative Medicine</w:t>
      </w:r>
    </w:p>
    <w:p>
      <w:pPr>
        <w:spacing w:after="0" w:line="24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University Health Network (UHN)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McEwen Centre for Regenerative Medicine (McEwen Centre)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 See “Sponsored Research Collaborations and Intellectual Property Rights – University Health Network, McEwen Centre for Regenerative Medicine, Toronto, Ontario”, “Intellectual Property – National Jewish Health Exclusive Licenses” and “Intellectual Property – Icahn School of Medicine at Mount Sinai Exclusive Licenses.”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Cardiac Safety Research Consortium</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joined the Cardiac Safety Research Consortium (CSRC)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Cardiac Safety Technical Committee of the Health and Environmental Sciences Institute – FDA’s CIPA Initiative</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also joined the Cardiac Safety Technical Committee, Cardiac Stem Cell Working Group, and Proarrhythmia Working Group of the Health and Environmental Sciences Institute (HESI) to help advance, among other goals, the FDA’s Comprehensive In Vitro Proarrhythmia Assay (CIPA) initiative, which is focused on developing innovative preclinical systems for cardiac safety assessment during drug development. HESI is a global branch of the International Life Sciences Institute (ILSI), whose members include most of the world’s largest pharmaceutical and biotechnology companies.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Centre for Commercialization of Regenerative Medicine</w:t>
      </w:r>
    </w:p>
    <w:p>
      <w:pPr>
        <w:spacing w:after="0" w:line="24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Toronto-based Centre for Commercialization of Regenerative Medicine (CCRM)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December 2012, we formalized our membership in the CCRM’s Industry Consortium. Other members of CCRM’s Industry Consortium include such leading global companies as Pfizer, GE Healthcare and Lonza.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a solid foundation and unique opportunities for expanding the commercial applications of our stem cell technology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National Institutes of Health</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our inception in 1998, the U.S. National Institutes of Health (NIH) has awarded us $11.3 million in non-dilutive research and development grants, including $2.3 million to support research and development of our stem cell technology platform and $8.8 million for nonclinical and Phase 1 clinical development of AV-101.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National Institute of Mental Health</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U.S. National Institute of Mental Health (NIMH), part of the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In February 2015, we entered into a Cooperative Research and Development Agreement with the NIH providing for an AV-101 Phase 2 efficacy and safety study to be conducted at the NIMH by Dr. Carlos Zarate and fully-funded by the NIH. Dr. Zarate is the NIMH’s Chief of Experimental Therapeutics &amp; Pathophysiology Branch and Section on Neurobiology and Treatment of Mood and Anxiety Disorders.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Synterys, Inc.</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entered into a strategic medicinal chemistry collaboration agreement with Synterys, Inc. (Synterys), a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drug rescue 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developed a portfolio of intellectual property assets around AV-101 that involves both patents and trade secrets. We obtained a multi-patent license to certain pharmaceutical formulations of AV-101 and related compounds when we acquired the original licensee, Artemis Neuroscience, Inc. A composition and therapeutic method patent relevant to AV-101 was originally issued to Merrell Pharmaceuticals and expired in 2011. In early 2013, we filed a provisional application based on discoveries related to specific dosages and dosage ranges of AV-101, as well as to methods of treating depression and hyperalgesia pain. This case is now pending as a PCT application, and, for example, includes the following claim:</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ind w:firstLine="541"/>
        <w:spacing w:after="0" w:line="262" w:lineRule="auto"/>
        <w:tabs>
          <w:tab w:leader="none" w:pos="766"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 pharmaceutical composition that per unit dose consists essentially of L-4-chlorokynurenine in an amount of about 360, 1,080 or 1,440 mg, together with pharmaceutically acceptable ingredients such as carriers and excipients.</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This PCT patent application also presents method-of-use claims associated with such dosages. And it includes other claims based on discoveries related to novel clinical activities that are not limited by dose range, for example:</w:t>
      </w:r>
    </w:p>
    <w:p>
      <w:pPr>
        <w:spacing w:after="0" w:line="180" w:lineRule="exact"/>
        <w:rPr>
          <w:sz w:val="20"/>
          <w:szCs w:val="20"/>
          <w:color w:val="auto"/>
        </w:rPr>
      </w:pPr>
    </w:p>
    <w:p>
      <w:pPr>
        <w:ind w:left="700" w:hanging="212"/>
        <w:spacing w:after="0"/>
        <w:tabs>
          <w:tab w:leader="none" w:pos="7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 method of treating depression by administering a therapeutically effective amount of L-4-chlorokynurenine.</w:t>
      </w:r>
    </w:p>
    <w:p>
      <w:pPr>
        <w:spacing w:after="0" w:line="214" w:lineRule="exact"/>
        <w:rPr>
          <w:rFonts w:ascii="Arial" w:cs="Arial" w:eastAsia="Arial" w:hAnsi="Arial"/>
          <w:sz w:val="18"/>
          <w:szCs w:val="18"/>
          <w:i w:val="1"/>
          <w:iCs w:val="1"/>
          <w:color w:val="auto"/>
        </w:rPr>
      </w:pPr>
    </w:p>
    <w:p>
      <w:pPr>
        <w:ind w:left="700" w:hanging="212"/>
        <w:spacing w:after="0"/>
        <w:tabs>
          <w:tab w:leader="none" w:pos="70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 method of treating hyperalgesia by administering a therapeutically effective amount of L-4-chlorokynurenine.</w:t>
      </w:r>
    </w:p>
    <w:p>
      <w:pPr>
        <w:spacing w:after="0" w:line="214" w:lineRule="exact"/>
        <w:rPr>
          <w:rFonts w:ascii="Arial" w:cs="Arial" w:eastAsia="Arial" w:hAnsi="Arial"/>
          <w:sz w:val="18"/>
          <w:szCs w:val="18"/>
          <w:i w:val="1"/>
          <w:iCs w:val="1"/>
          <w:color w:val="auto"/>
        </w:rPr>
      </w:pPr>
    </w:p>
    <w:p>
      <w:pPr>
        <w:ind w:left="780" w:hanging="292"/>
        <w:spacing w:after="0"/>
        <w:tabs>
          <w:tab w:leader="none" w:pos="78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A method for reducing L-DOPA associated dyskinesias comprising the administration of a therapeutically effective amount of 7-chlorokynurenine.</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course of our research and development prior to our Phase 1 clinical studies, our CROs developed two novel methods of synthesizing AV-101, based on extensive research into a range of synthetic routes. As a result, in 2013, we filed two additional provisional applications to these commercially useful production methods, both of which are also now pending as PCT patent applications (WO2014/152752 and WO2014/152835). One of these two PCT patent applications includes pharmaceutical composition claims to a sulfated derivative of 4-chlorokynurenine.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fourth patent application related to additional and expanded clinical uses of AV-101 was recently filed in the U.S. as a provisional application.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plan to pursue national phase applications broadly for all three pending cases in appropriate global markets.</w:t>
      </w:r>
    </w:p>
    <w:p>
      <w:pPr>
        <w:spacing w:after="0" w:line="24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addition, among the key components of our commercial protection strategy with respect to AV-101 is the New Drug Product Exclusivity provided by the FDA under section 505(c)(3)(E) and 505(j)(5)(F) of the Federal Food, Drug, and Cosmetic Act (</w:t>
      </w:r>
      <w:r>
        <w:rPr>
          <w:rFonts w:ascii="Arial" w:cs="Arial" w:eastAsia="Arial" w:hAnsi="Arial"/>
          <w:sz w:val="16"/>
          <w:szCs w:val="16"/>
          <w:i w:val="1"/>
          <w:iCs w:val="1"/>
          <w:color w:val="auto"/>
        </w:rPr>
        <w:t>FDCA</w:t>
      </w:r>
      <w:r>
        <w:rPr>
          <w:rFonts w:ascii="Arial" w:cs="Arial" w:eastAsia="Arial" w:hAnsi="Arial"/>
          <w:sz w:val="16"/>
          <w:szCs w:val="16"/>
          <w:color w:val="auto"/>
        </w:rPr>
        <w:t>). The FDA’s New Drug Product Exclusivity is available for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such as AV-101, which, by definition, are innovative and have not been approved previously by the FDA, either alone or in combination. The FDA’s New Drug Product Exclusivity protection provides the holder of an FDA-approved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up to five (5) years of protection from new competition in the U.S. marketplace for the innovation represented by its approved new drug product. This protection precludes FDA approval of certain generic drug applications under section 505(b)(2) of the FDCA, as well certain abbreviated new drug applications (</w:t>
      </w:r>
      <w:r>
        <w:rPr>
          <w:rFonts w:ascii="Arial" w:cs="Arial" w:eastAsia="Arial" w:hAnsi="Arial"/>
          <w:sz w:val="16"/>
          <w:szCs w:val="16"/>
          <w:i w:val="1"/>
          <w:iCs w:val="1"/>
          <w:color w:val="auto"/>
        </w:rPr>
        <w:t>ANDAs</w:t>
      </w:r>
      <w:r>
        <w:rPr>
          <w:rFonts w:ascii="Arial" w:cs="Arial" w:eastAsia="Arial" w:hAnsi="Arial"/>
          <w:sz w:val="16"/>
          <w:szCs w:val="16"/>
          <w:color w:val="auto"/>
        </w:rPr>
        <w:t>), during the up to five-year exclusivity period, except that such applications may be submitted after four years if they contain a certification of patent invalidity or non-infringement.</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license agreement related to AV-101 with the University of Maryland requires us to make royalty payments on 2% of net sales of products covered by the licensed patent rights, which have expired. Additionally, the license agreement requires us to pay a 1% royalty on net sales of combination products covered by the patent rights, which have expired. There are no license, milestone or maintenance fees under the agreement. The agreement provides that these royalty obligations will remain in force until 10 years after the first commercial sale of the first product even if the licensed patent rights have expired. However, the U.S. Supreme Court’s recent decision in Kimble v. Marvel Entertainment, LLC determined that patent license royalties that extend beyond a patent’s expiration are not enforceable. Management will be reviewing the impact of this court decision on our license.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Stem Cell Technology</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established intellectual property rights to stem cell technology through a combination of exclusive and non-exclusive licenses, patents, and trade secrets. To our knowledge, we are the first stem cell company focused on stem cell technology-based drug rescue. We have assembled an intellectual property portfolio around the use of pluripotent stem cell technologies in drug discovery and development and with specific application to drug rescue. The differentiation protocols we have licensed direct the differentiation of pluripotent stem cells through:</w:t>
      </w:r>
    </w:p>
    <w:p>
      <w:pPr>
        <w:spacing w:after="0" w:line="217" w:lineRule="exact"/>
        <w:rPr>
          <w:sz w:val="20"/>
          <w:szCs w:val="20"/>
          <w:color w:val="auto"/>
        </w:rPr>
      </w:pPr>
    </w:p>
    <w:p>
      <w:pPr>
        <w:ind w:left="380" w:hanging="237"/>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combination of growth factors (molecules that stimulate the growth of cells);</w:t>
      </w:r>
    </w:p>
    <w:p>
      <w:pPr>
        <w:spacing w:after="0" w:line="214" w:lineRule="exact"/>
        <w:rPr>
          <w:rFonts w:ascii="Arial" w:cs="Arial" w:eastAsia="Arial" w:hAnsi="Arial"/>
          <w:sz w:val="18"/>
          <w:szCs w:val="18"/>
          <w:color w:val="auto"/>
        </w:rPr>
      </w:pPr>
    </w:p>
    <w:p>
      <w:pPr>
        <w:ind w:left="380" w:hanging="237"/>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experimentally controlled regulation of developmental genes, which is critical for determining what differentiation path a human cell will take; and</w:t>
      </w:r>
    </w:p>
    <w:p>
      <w:pPr>
        <w:spacing w:after="0" w:line="237" w:lineRule="exact"/>
        <w:rPr>
          <w:rFonts w:ascii="Arial" w:cs="Arial" w:eastAsia="Arial" w:hAnsi="Arial"/>
          <w:sz w:val="16"/>
          <w:szCs w:val="16"/>
          <w:color w:val="auto"/>
        </w:rPr>
      </w:pPr>
    </w:p>
    <w:p>
      <w:pPr>
        <w:ind w:left="380" w:hanging="237"/>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precise selection of immature cell populations for further growth and development.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By influencing key branch points in the cellular differentiation process, our pluripotent stem cell technologies can produce fully differentiated, non-transformed, highly functional human cells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 an efficient, highly pure and reproducible process.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date of this report, we either own or exclusively license six issued U.S. patents and four U.S. patent applications, and certain foreign counterparts, relating to stem cell technologies associated with the cells we produce, as well as three international Patent Cooperation Treaty (</w:t>
      </w:r>
      <w:r>
        <w:rPr>
          <w:rFonts w:ascii="Arial" w:cs="Arial" w:eastAsia="Arial" w:hAnsi="Arial"/>
          <w:sz w:val="18"/>
          <w:szCs w:val="18"/>
          <w:i w:val="1"/>
          <w:iCs w:val="1"/>
          <w:color w:val="auto"/>
        </w:rPr>
        <w:t>PCT</w:t>
      </w:r>
      <w:r>
        <w:rPr>
          <w:rFonts w:ascii="Arial" w:cs="Arial" w:eastAsia="Arial" w:hAnsi="Arial"/>
          <w:sz w:val="18"/>
          <w:szCs w:val="18"/>
          <w:color w:val="auto"/>
        </w:rPr>
        <w:t>) patent applications and one U.S. patent application relating to AV-101.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Jewish Health (NJH) Exclusive License</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exclusive licenses to seven issued U.S. patents held by NJH, certain of which were not essential to our current operations and which expired in November 2014. No foreign counterparts to these U.S. patents and patent application have been obtained. These U.S. patents contain claims covering composition of matter relating to specific populations of cells and precursors, methods to produce such cells, and applications of such cells for ES Cell-derived immature pluripotent precursors of all the cells of the mesoderm and endoderm lineages. Among other cell types, this covers cells of the heart, liver, pancreas, blood, connective tissues, vascular system, gut and lung cells.</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license agreement requires us to pay NJH 1% of our total revenues up to $30 million in each calendar year and 0.5% of all revenues for amounts greater than $30 million, with minimum annual payments of $25,000. Additionally, this license agreement requires us to make certain royalty payments on sales of products based on NJH’s patents or the sublicensing of such technology. However, the license agreement also includes anti-stacking provisions which reduce our payment obligations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School of Medicine at Mount Sinai School (MSSM) Exclusive License</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an exclusive, field restricted, license to two U.S. patents and two U.S. patent applications, and their foreign counterparts filed by MSSM. Foreign counterparts have been filed in Australia (two), Canada (two), Europe (two), Japan (two), Hong Kong and Singapore. Two of the U.S. applications have been issued and the foreign counterparts in Australia and Singapore have been issued, while the two counterparts in Europe are pending. These patent applications have claims covering composition of matter relating to specific populations of cells and precursors, methods to produce such cells, and applications of such cells, including:</w:t>
      </w:r>
    </w:p>
    <w:p>
      <w:pPr>
        <w:spacing w:after="0" w:line="221" w:lineRule="exact"/>
        <w:rPr>
          <w:sz w:val="20"/>
          <w:szCs w:val="20"/>
          <w:color w:val="auto"/>
        </w:rPr>
      </w:pPr>
    </w:p>
    <w:p>
      <w:pPr>
        <w:ind w:left="380" w:hanging="215"/>
        <w:spacing w:after="0" w:line="262" w:lineRule="auto"/>
        <w:tabs>
          <w:tab w:leader="none" w:pos="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use of certain growth factors to generate mesoderm (that is, the precursors capable of developing into cells of the heart, blood system, connective tissues, and vascular system) from hESCs;</w:t>
      </w:r>
    </w:p>
    <w:p>
      <w:pPr>
        <w:spacing w:after="0" w:line="180" w:lineRule="exact"/>
        <w:rPr>
          <w:rFonts w:ascii="Arial" w:cs="Arial" w:eastAsia="Arial" w:hAnsi="Arial"/>
          <w:sz w:val="18"/>
          <w:szCs w:val="18"/>
          <w:color w:val="auto"/>
        </w:rPr>
      </w:pPr>
    </w:p>
    <w:p>
      <w:pPr>
        <w:ind w:left="380" w:hanging="237"/>
        <w:spacing w:after="0" w:line="262"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use of certain growth factors to generate endoderm (that is, the precursors capable of developing into cells of the liver, pancreas, lungs, gut, intestines, thymus, thyroid gland, bladder, and parts of the auditory system) from hESCs; and</w:t>
      </w:r>
    </w:p>
    <w:p>
      <w:pPr>
        <w:spacing w:after="0" w:line="180" w:lineRule="exact"/>
        <w:rPr>
          <w:rFonts w:ascii="Arial" w:cs="Arial" w:eastAsia="Arial" w:hAnsi="Arial"/>
          <w:sz w:val="18"/>
          <w:szCs w:val="18"/>
          <w:color w:val="auto"/>
        </w:rPr>
      </w:pPr>
    </w:p>
    <w:p>
      <w:pPr>
        <w:ind w:left="380" w:hanging="237"/>
        <w:spacing w:after="0" w:line="262"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applications of cells derived from mesoderm and endoderm precursors, especially those relating to drug discovery and testing for applications in the field of </w:t>
      </w:r>
      <w:r>
        <w:rPr>
          <w:rFonts w:ascii="Arial" w:cs="Arial" w:eastAsia="Arial" w:hAnsi="Arial"/>
          <w:sz w:val="18"/>
          <w:szCs w:val="18"/>
          <w:i w:val="1"/>
          <w:iCs w:val="1"/>
          <w:color w:val="auto"/>
        </w:rPr>
        <w:t xml:space="preserve">in vitro </w:t>
      </w:r>
      <w:r>
        <w:rPr>
          <w:rFonts w:ascii="Arial" w:cs="Arial" w:eastAsia="Arial" w:hAnsi="Arial"/>
          <w:sz w:val="18"/>
          <w:szCs w:val="18"/>
          <w:color w:val="auto"/>
        </w:rPr>
        <w:t>drug discovery and development applications.</w:t>
      </w: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license agreement requires us to pay annual license and patent prosecution and maintenance fees and royalty payments that vary based on product sales and services that are covered by the MSSM patent applications, as well as for any revenues received from sublicensing. Any drug candidates that we develop, including any drug rescue NCEs, will only require royalty payments to the extent they require the practice of the licensed technology. To the extent we incur royalty 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filed two U.S. patent applications on liver stem cells and their applications in drug development relating to toxicity testing; one patent has issued and a second patent application is pending. Of the related international filings, European, Canadian and Korean patents were issued. The European patent has been registered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material patents currently related to the generation of human heart and liver cells for use in connection with our drug rescue activities are set forth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Territory</w:t>
            </w:r>
          </w:p>
        </w:tc>
        <w:tc>
          <w:tcPr>
            <w:tcW w:w="300" w:type="dxa"/>
            <w:vAlign w:val="bottom"/>
          </w:tcPr>
          <w:p>
            <w:pPr>
              <w:spacing w:after="0"/>
              <w:rPr>
                <w:sz w:val="20"/>
                <w:szCs w:val="20"/>
                <w:color w:val="auto"/>
              </w:rPr>
            </w:pPr>
          </w:p>
        </w:tc>
        <w:tc>
          <w:tcPr>
            <w:tcW w:w="16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Patent No.</w:t>
            </w:r>
          </w:p>
        </w:tc>
        <w:tc>
          <w:tcPr>
            <w:tcW w:w="280" w:type="dxa"/>
            <w:vAlign w:val="bottom"/>
          </w:tcPr>
          <w:p>
            <w:pPr>
              <w:spacing w:after="0"/>
              <w:rPr>
                <w:sz w:val="20"/>
                <w:szCs w:val="20"/>
                <w:color w:val="auto"/>
              </w:rPr>
            </w:pPr>
          </w:p>
        </w:tc>
        <w:tc>
          <w:tcPr>
            <w:tcW w:w="522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General Subject Matter</w:t>
            </w:r>
          </w:p>
        </w:tc>
        <w:tc>
          <w:tcPr>
            <w:tcW w:w="28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Expiration</w:t>
            </w:r>
          </w:p>
        </w:tc>
      </w:tr>
      <w:tr>
        <w:trPr>
          <w:trHeight w:val="211"/>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US</w:t>
            </w:r>
          </w:p>
        </w:tc>
        <w:tc>
          <w:tcPr>
            <w:tcW w:w="1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7,763,466</w:t>
            </w:r>
          </w:p>
        </w:tc>
        <w:tc>
          <w:tcPr>
            <w:tcW w:w="5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Method to produce endoderm cells</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2025</w:t>
            </w:r>
          </w:p>
        </w:tc>
      </w:tr>
      <w:tr>
        <w:trPr>
          <w:trHeight w:val="211"/>
        </w:trPr>
        <w:tc>
          <w:tcPr>
            <w:tcW w:w="162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920" w:type="dxa"/>
            <w:vAlign w:val="bottom"/>
            <w:gridSpan w:val="2"/>
          </w:tcPr>
          <w:p>
            <w:pPr>
              <w:jc w:val="right"/>
              <w:ind w:right="292"/>
              <w:spacing w:after="0"/>
              <w:rPr>
                <w:sz w:val="20"/>
                <w:szCs w:val="20"/>
                <w:color w:val="auto"/>
              </w:rPr>
            </w:pPr>
            <w:r>
              <w:rPr>
                <w:rFonts w:ascii="Arial" w:cs="Arial" w:eastAsia="Arial" w:hAnsi="Arial"/>
                <w:sz w:val="18"/>
                <w:szCs w:val="18"/>
                <w:color w:val="auto"/>
              </w:rPr>
              <w:t>7,955,849</w:t>
            </w:r>
          </w:p>
        </w:tc>
        <w:tc>
          <w:tcPr>
            <w:tcW w:w="5500" w:type="dxa"/>
            <w:vAlign w:val="bottom"/>
            <w:gridSpan w:val="2"/>
          </w:tcPr>
          <w:p>
            <w:pPr>
              <w:ind w:left="280"/>
              <w:spacing w:after="0"/>
              <w:rPr>
                <w:sz w:val="20"/>
                <w:szCs w:val="20"/>
                <w:color w:val="auto"/>
              </w:rPr>
            </w:pPr>
            <w:r>
              <w:rPr>
                <w:rFonts w:ascii="Arial" w:cs="Arial" w:eastAsia="Arial" w:hAnsi="Arial"/>
                <w:sz w:val="18"/>
                <w:szCs w:val="18"/>
                <w:color w:val="auto"/>
              </w:rPr>
              <w:t>Method of enriching population of mesoderm cells</w:t>
            </w:r>
          </w:p>
        </w:tc>
        <w:tc>
          <w:tcPr>
            <w:tcW w:w="2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2023</w:t>
            </w:r>
          </w:p>
        </w:tc>
      </w:tr>
      <w:tr>
        <w:trPr>
          <w:trHeight w:val="211"/>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US</w:t>
            </w:r>
          </w:p>
        </w:tc>
        <w:tc>
          <w:tcPr>
            <w:tcW w:w="1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8,143,009</w:t>
            </w:r>
          </w:p>
        </w:tc>
        <w:tc>
          <w:tcPr>
            <w:tcW w:w="5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Toxicity typing using liver stem cells</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AV-101, we have filed four new patent applications, as noted above.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 Collaborations and Intellectual Property Rights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Health Network, McEwen Centre for Regenerative Medicine, Toronto, Ontario</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 long-term strategic stem cell research collaboration with our co-founder, Dr. Gordon Keller, Director of the UHN’s McEwen Centre, focused on, among other things, developing improved methods for differentiation of cardiomyocytes (heart cells) from pluripotent stem cells, and their uses in biological assay systems for drug discovery and drug development, including drug rescue. Pursuant to our sponsored research collaboration agreement with UHN, we have the right to acquire exclusive worldwide rights to any inventions arising from studies we sponsor, under pre-negotiated license terms. Such pre-negotiated terms provide for royalty payments equal to 3% of the first $25.0 million of certain revenues received under the agreement, and 2% thereafter, based on product sales that incorporate the licensed technology and milestone payments based on the achievement of certain events. Any drug rescue NCEs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sponsored research collaboration agreement (SRCA) with UHN, as amended, has a term of ten years, ending on September 18, 2017. We are currently in discussions with Dr. Keller and UHN regarding the scope of our future sponsored research projects under the agreement.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UHN Licenses for Stem Cell Culture Technology</w:t>
      </w:r>
    </w:p>
    <w:p>
      <w:pPr>
        <w:spacing w:after="0" w:line="21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 October 2011, we licensed stem cell culture technology from UHN’s McEwen Centre pursuant to the SCRA. This exclusive license conveyed rights to a patent application entitled “Methods for enriching pluripotent stem cell derived cardiomyocyte progenitor cells and cardiomyocyte (heart) cells based on SIRPA expression” covered by U.S. Provisional 61/377,665 and WO/2012/024782 applications, and any future patent application claiming priority from these. This technology has identified a heretofore unknown cell surface protein, SIRPA (signal-regulatory protein alpha) that is expressed by early immature precursor for cardiomyocytes. Antibodies specific to SIRPA allow the identification and enrichment of these early cardiomyocyte precursors, which we believe will provide benefits in terms of purity, functionality and reproducibility for not only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safety assays for drug screening and development, but also potentially for production of cardiomyocytes for cell therapy and regenerative medicine applications.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In April 2012, we licensed stem cell culture technology from UHN’s McEwen Centre pursuant to the SCRA. The licensed technology may be used to develop hematopoietic precursor stem cells from human pluripotent stem cells, with the goal of developing drug discovery screening and regenerative medicine applications for human blood system disorders. This technology is included in a U.S. patent application. We believe this stem cell technology dramatically advances our ability to produce and purify this important blood stem cell precursor for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we are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In December 2014, we licensed stem cell culture technology from UHN’s McEwen Centre pursuant to the SCRA. This exclusive license conveyed rights to a patent application entitled “Methods for generating hepatocytes and cholangiocytes from pluripotent stem cells” covered by WO/2014/124527 application, and any future patent application claiming priority from these. The licensed technology describes advanced methods for the production of mature hepatocytes and cholangiocytes, the primary cell types of the liver. The liver plays an important role in many bodily functions including protein production, blood clotting, as well as glucose, iron and lipid metabolism. Hepatocytes are the major cells responsible for metabolizing drugs, drug-drug interactions, and are the target for a variety of liver diseases including drug-induced liver failure, Cirrhosis, and viral infections. Cholangiocytes are the precursors for the biliary system found in the liver, i.e. bile ducts and gallbladder. The biliary system is a significant target for many conditions, including drug toxicities, cholecystitis, and liver-related abnormal function associated with the cystic fibrosis mutation. The licensed technology now enables us to more efficiently produce, human hepatocytes and cholangiocytes with more adult-like functions for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drug discovery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toxicity assays to support our drug rescue programs, as well as the therapeutic potential for cell-based therapies.</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December 2014, we licensed stem cell culture technology from UHN’s McEwen Centre pursuant to the SCRA. This exclusive license conveyed rights to patent application entitled “Methods and Compositions for Generating Epicardium Cells” covered by WO/2015/035506 application, and any future patent application claiming priority from these. The epicardium is the outer cell layer on top of the heart muscle (cardiomyocytes), and is essential for proper development of the heart and plays an important role in cardiac recovery during disease. The epicardium plays a critical role in the differentiation, expansion, and maturation of cardiomyocytes during development, or during cardiac repair responses. This technology will be important to developing the next generation of engineered cardiac tissue, or their function in cell therapy approaches.</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December 2014, we licensed stem cell culture technology from UHN’s McEwen Centre pursuant to the SCRA. This exclusive license conveyed rights to patent application entitled “Methods and compositions for generating chondrocyte lineage cells and/or cartilage like tissue” covered by WO/2014/161075 application, and any future patent application claiming priority from these. There are two type of chondrocytes, “articular” and “growth plate”. Articular chondrocytes are responsible for cartilage that lines our joints, whereas growth plate chondrocytes are involved with new bone formation. Osteoarthritis is debilitating joint diseases resulting from the degeneration of articular cartilage leading to inappropriate bone development (spurs) in the joint. These technologies will allow us to develop in vitro assays to study the process of the degeneration of articular cartilage, and provides novel tools for testing drugs that have the potential to reduce this degeneration. These cells also provide the necessary cells for developing cell therapy approaches for treating osteoarthritis.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Currently, there are no FDA-approved therapies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(ECT), are sometimes used instead of antidepressant medications to treat patients with MDD.</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the field of new generation antidepressants focused on modulation of the NMDA receptor, our principal competitor is Naurex, Inc., which is developing GLYX-13 and NRX-1074 for treatment-resistant MDD. Although each of these drug candidates is a peptide and may not be orally-active (GLYX-13 is only administered intravenously and, we believe, NRX-1074 has not yet been administered orally to human subjects), both are new generation NMDA modulators focused on the glycine binding site of the NMDA receptor.</w:t>
      </w:r>
    </w:p>
    <w:p>
      <w:pPr>
        <w:sectPr>
          <w:pgSz w:w="11900" w:h="16838" w:orient="portrait"/>
          <w:cols w:equalWidth="0" w:num="1">
            <w:col w:w="11420"/>
          </w:cols>
          <w:pgMar w:left="240" w:top="130"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3" w:name="page34"/>
    <w:bookmarkEnd w:id="3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epilepsy, neuropathic pain, Parkinson’s disease and other neurological conditions and diseases, including, but not limited to, Abbott Laboratories, Actavis, Astra Zeneca, Eli Lilly, GlaxoSmithKline, Johnson &amp; Johnson, Lundbeck, Merck, Novartis, Otsuka, Pfizer, Roche,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We expect that AV-101 will have to compete with a variety of therapeutic products and procedures.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believe that our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xml:space="preserve">) technology platform,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drug discovery and safety testing, contract predictive toxicology drug screening services for third parties, internal drug discovery, drug development and drug rescue of new , and regenerative medicine, including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cell therapy research and development. A representative list of such biopharmaceutical companies pursuing one or more of these potential applications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adult and/or hPSCl technology includes the following: Acea Biosciences, Advanced Cell Technology, Athersys, BioTime, Cellectis Bioresearch, Cellerant Therapeutics, Cytori Therapeutics, Fujifilm Holdings,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product candidates must be approved by the FDA through the NDA process before they may be legally marketed in the United States. The process required by the FDA before a drug may be marketed in the United States generally involves the following:</w:t>
      </w:r>
    </w:p>
    <w:p>
      <w:pPr>
        <w:spacing w:after="0" w:line="207" w:lineRule="exact"/>
        <w:rPr>
          <w:sz w:val="20"/>
          <w:szCs w:val="20"/>
          <w:color w:val="auto"/>
        </w:rPr>
      </w:pPr>
    </w:p>
    <w:p>
      <w:pPr>
        <w:ind w:left="640" w:hanging="341"/>
        <w:spacing w:after="0" w:line="262"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Completion of extensive non-clinical, sometimes referred to as non-clinical laboratory tests, non-clinical animal studies and formulation studies in accordance with applicable regulations, including the FDA’s current Good Laboratory Practice, or GLP, regulations;</w:t>
      </w:r>
    </w:p>
    <w:p>
      <w:pPr>
        <w:spacing w:after="0" w:line="206" w:lineRule="exact"/>
        <w:rPr>
          <w:rFonts w:ascii="Arial" w:cs="Arial" w:eastAsia="Arial" w:hAnsi="Arial"/>
          <w:sz w:val="18"/>
          <w:szCs w:val="18"/>
          <w:color w:val="auto"/>
        </w:rPr>
      </w:pPr>
    </w:p>
    <w:p>
      <w:pPr>
        <w:ind w:left="640" w:hanging="34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human clinical trials may begin;</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or ethics committee at each clinical trial site before each trial may be initiated;</w:t>
      </w:r>
    </w:p>
    <w:p>
      <w:pPr>
        <w:spacing w:after="0" w:line="263" w:lineRule="exact"/>
        <w:rPr>
          <w:rFonts w:ascii="Arial" w:cs="Arial" w:eastAsia="Arial" w:hAnsi="Arial"/>
          <w:sz w:val="16"/>
          <w:szCs w:val="16"/>
          <w:color w:val="auto"/>
        </w:rPr>
      </w:pPr>
    </w:p>
    <w:p>
      <w:pPr>
        <w:ind w:left="640" w:hanging="341"/>
        <w:spacing w:after="0" w:line="324"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each proposed indication;</w:t>
      </w:r>
    </w:p>
    <w:p>
      <w:pPr>
        <w:spacing w:after="0" w:line="161" w:lineRule="exact"/>
        <w:rPr>
          <w:rFonts w:ascii="Arial" w:cs="Arial" w:eastAsia="Arial" w:hAnsi="Arial"/>
          <w:sz w:val="16"/>
          <w:szCs w:val="16"/>
          <w:color w:val="auto"/>
        </w:rPr>
      </w:pPr>
    </w:p>
    <w:p>
      <w:pPr>
        <w:ind w:left="640" w:hanging="34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240" w:lineRule="exact"/>
        <w:rPr>
          <w:rFonts w:ascii="Arial" w:cs="Arial" w:eastAsia="Arial" w:hAnsi="Arial"/>
          <w:sz w:val="18"/>
          <w:szCs w:val="18"/>
          <w:color w:val="auto"/>
        </w:rPr>
      </w:pPr>
    </w:p>
    <w:p>
      <w:pPr>
        <w:ind w:left="640" w:hanging="341"/>
        <w:spacing w:after="0" w:line="324"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where the drug is produced to assess compliance with cGMP requirements to assure that the facilities, methods and controls are adequate to preserve the drug’s identity, strength, quality and purity;</w:t>
      </w:r>
    </w:p>
    <w:p>
      <w:pPr>
        <w:spacing w:after="0" w:line="161" w:lineRule="exact"/>
        <w:rPr>
          <w:rFonts w:ascii="Arial" w:cs="Arial" w:eastAsia="Arial" w:hAnsi="Arial"/>
          <w:sz w:val="16"/>
          <w:szCs w:val="16"/>
          <w:color w:val="auto"/>
        </w:rPr>
      </w:pPr>
    </w:p>
    <w:p>
      <w:pPr>
        <w:ind w:left="640" w:hanging="34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FDA audit of the non-clinical and/or clinical trial sites that generated the data in support of the NDA; and</w:t>
      </w:r>
    </w:p>
    <w:p>
      <w:pPr>
        <w:spacing w:after="0" w:line="240"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review and approval of the NDA, including consideration of the views of any FDA advisory committee, prior to any commercial marketing or sale of the drug in the United States.</w:t>
      </w:r>
    </w:p>
    <w:p>
      <w:pPr>
        <w:spacing w:after="0" w:line="20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non-clinical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 assess the characteristics and potential safety and efficacy of the product.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data required to support an NDA is generated in two distinct development stages: non-clinical and clinical. For new chemical entities, the non-clinical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non-clinical tests must comply with federal regulations,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Some non-clinical testing may continue even after the IND is submitted, but an IND must become effective before human clinical trials may begin. The central focus of an IND submission is on the general investigational plan and the protocol(s) for human trials. The IND automatically becomes effective 30 days after receipt by the FDA, unless the FDA raises concerns or questions regarding the proposed clinical trials, including subjects will be exposed to unreasonable health risks,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are generally conducted in three sequential phases that may overlap, known as Phase 1, Phase 2 and Phase 3 clinical trials.</w:t>
      </w:r>
    </w:p>
    <w:p>
      <w:pPr>
        <w:spacing w:after="0" w:line="214" w:lineRule="exact"/>
        <w:rPr>
          <w:sz w:val="20"/>
          <w:szCs w:val="20"/>
          <w:color w:val="auto"/>
        </w:rPr>
      </w:pPr>
    </w:p>
    <w:p>
      <w:pPr>
        <w:ind w:left="260" w:hanging="152"/>
        <w:spacing w:after="0" w:line="324" w:lineRule="auto"/>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w:t>
      </w:r>
    </w:p>
    <w:p>
      <w:pPr>
        <w:spacing w:after="0" w:line="161" w:lineRule="exact"/>
        <w:rPr>
          <w:rFonts w:ascii="Arial" w:cs="Arial" w:eastAsia="Arial" w:hAnsi="Arial"/>
          <w:sz w:val="16"/>
          <w:szCs w:val="16"/>
          <w:color w:val="auto"/>
        </w:rPr>
      </w:pPr>
    </w:p>
    <w:p>
      <w:pPr>
        <w:jc w:val="both"/>
        <w:ind w:left="260" w:hanging="152"/>
        <w:spacing w:after="0" w:line="253"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w:t>
      </w:r>
    </w:p>
    <w:p>
      <w:pPr>
        <w:spacing w:after="0" w:line="214" w:lineRule="exact"/>
        <w:rPr>
          <w:rFonts w:ascii="Arial" w:cs="Arial" w:eastAsia="Arial" w:hAnsi="Arial"/>
          <w:sz w:val="18"/>
          <w:szCs w:val="18"/>
          <w:color w:val="auto"/>
        </w:rPr>
      </w:pPr>
    </w:p>
    <w:p>
      <w:pPr>
        <w:jc w:val="both"/>
        <w:ind w:left="260" w:hanging="152"/>
        <w:spacing w:after="0" w:line="291" w:lineRule="auto"/>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Phase 3 clinical trials generally involve large numbers of patients at multiple sites (from several hundred to several thousand subjects) and are designed to provide the data necessary to demonstrate the effectiveness of the product for its intended use,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a condition of approval of an NDA.</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written IND safety reports must be submitted to the FDA and the investigators for serious and unexpected suspected adverse events, finding from other studies, or any finding from animal or in vitro testing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we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and FDA review process</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results of non-clinical studies and of the clinical trials,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The FDA reviews an NDA to determine, among other things, whether a drug is safe and effective for its intended use and whether the product is being manufactured in accordance with cGMP to assure and preserve the product’s identity, strength, quality and purity. FDA approval of an NDA must be obtained before a drug may be offered for sale in the United States.</w:t>
      </w:r>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addition, under the Pediatric Research Equity Act, or PREA, an NDA or supplement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the Prescription Drug User Fee Act, or PDUFA, as amended, each NDA must be accompanied by a user fee. The FDA adjusts the PDUFA user fees on an annual basis. According to the FDA’s fee schedule, effective through December 31, 2014, the user fee for an application requiring clinical data, such as an NDA, is $2.2 million. PDUFA also imposes an annual product fee for human drugs of $0.1 million and an annual establishment fee of $0.6 million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7" w:name="page38"/>
    <w:bookmarkEnd w:id="3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the applicant during the review process. The review and evaluation of an NDA by the FDA is extensive and time consuming and may take longer than originally planned to complete, and we may not receive a timely approval, if at all.</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After the FDA evaluates an NDA,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post-marketing testing or clinical trials and surveillance to monitor the effects of approved products. For example, the FDA may require Phase 4 testing which involves clinical trials designed to further assess a drug’s safety and efficacy and may require testing and surveillance programs to monitor the safety of approved products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requirements or if problems occur following initial marketing.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than that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4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as a Fast Track product at any time during the clinical development of the product. Unique to a Fast Track product, the FDA may review sections of the marketing application on a rolling basis before the complete NDA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offers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 product may also be eligible for accelerated approval. Drugs studied for their safety and efficacy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202" w:lineRule="exact"/>
        <w:rPr>
          <w:sz w:val="20"/>
          <w:szCs w:val="20"/>
          <w:color w:val="auto"/>
        </w:rPr>
      </w:pPr>
    </w:p>
    <w:p>
      <w:pPr>
        <w:ind w:left="1480" w:hanging="52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 restricted to certain facilities or physicians with special training or experience; or</w:t>
      </w:r>
    </w:p>
    <w:p>
      <w:pPr>
        <w:spacing w:after="0" w:line="240" w:lineRule="exact"/>
        <w:rPr>
          <w:rFonts w:ascii="Arial" w:cs="Arial" w:eastAsia="Arial" w:hAnsi="Arial"/>
          <w:sz w:val="18"/>
          <w:szCs w:val="18"/>
          <w:color w:val="auto"/>
        </w:rPr>
      </w:pPr>
    </w:p>
    <w:p>
      <w:pPr>
        <w:ind w:left="1480" w:hanging="52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 conditioned on the performance of specified medical procedures.</w:t>
      </w:r>
    </w:p>
    <w:p>
      <w:pPr>
        <w:spacing w:after="0" w:line="24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 Additionally, a drug may be eligible for designation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indications. The benefits of breakthrough therapy designation includes the same benefits as fast track designation, plus intensive guidance from FDA to ensure an efficient drug development program. Fast Track designation, priority review, accelerated approval and breakthrough designation do not change the standards for approval, but may expedite the development or approval process.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trials</w:t>
      </w:r>
    </w:p>
    <w:p>
      <w:pPr>
        <w:spacing w:after="0" w:line="24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Food and Drug Administration Safety and Innovation Act, or FDASIA,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Following approval of a new product, a pharmaceutical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non-clinical studies and clinical trials. As with new NDAs, the review process is often significantly extended by FDA requests for additional information or clarification. Any distribution of prescription drug products and pharmaceutical samples must comply with the U.S. Prescription Drug Marketing Act, or the PDMA, a part of the FDCA.</w:t>
      </w:r>
    </w:p>
    <w:p>
      <w:pPr>
        <w:spacing w:after="0" w:line="200" w:lineRule="exact"/>
        <w:rPr>
          <w:sz w:val="20"/>
          <w:szCs w:val="20"/>
          <w:color w:val="auto"/>
        </w:rPr>
      </w:pP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the United States, once a product is approved, its manufacture is subject to comprehensive and continuing regulation by the FDA. The FDA regulations require that products be manufactured in specific approved facilities and in accordance with cGMP. We rely, and expect to continue to rely, on third parties for the production of clinical and commercial quantities of our products in accordance with cGMP regulations.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recall or withdrawal of the product from the market.</w:t>
      </w:r>
    </w:p>
    <w:p>
      <w:pPr>
        <w:spacing w:after="0" w:line="19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24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United States Department of Justice,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the Patient Protection and Affordable Health Care Act, as amended by the Health Care and Education Reconciliation Act of 2010, or collectively the ACA, among other things, amends the intent requirement of the federal Anti-Kickback Statute and criminal healthcare fraud statutes created by the federal Health Insurance Portability and Accountability Act of 1996, or HIPAA. A person or entity no longer needs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Although we would not submit claims directly to payors, drug manufacturers can be held liable under the federal False Claims Act, which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The government may deem manufacturers to have “caused”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Penalties for a False Claims Act violation include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Pricing and rebate programs must comply with the Medicaid rebate requirements of the U.S. Omnibus Budget Reconciliation Act of 1990 and more recent requirements in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22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24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 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European Union, our future products may also be subject to extensive regulatory requirements. As in the United States, medicinal products can only be marketed if a marketing authorization from the competent regulatory agencies has been obtained.</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Similar to the United States, the various phases of non-clinical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22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EU clinical trials legislation is currently undergoing a revision process mainly aimed at harmonizing and streamlining the clinical trials authorization process, simplifying adverse event reporting procedures, improving the supervision of clinical trials, and increasing their transparency.</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European Economic Area, or EEA, (which is comprised of the 27 Member States of the European Union (excluding Croatia) plus Norway, Iceland and Liechtenstein), medicinal products can only be commercialized after obtaining a Marketing Authorization, or MA. There are two types of marketing authorizations:</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Community MA is issued by the European Commission through the Centralized Procedure, based on the opinion of the Committee for Medicinal Products for Human Use, or CHMP, of the European Medicines Agency, or EMA, and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9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new chemical entity exclusivity</w:t>
      </w: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orphan designation and exclusivity</w:t>
      </w: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European Union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medicinal product.</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the world regulation</w:t>
      </w:r>
    </w:p>
    <w:p>
      <w:pPr>
        <w:spacing w:after="0" w:line="241"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For other countries outside of the European Union and the United States, such as countries in Eastern Europe, Latin America or Asia, the requirements governing the conduct of clinical trials, product licensing, pricing and reimbursement vary from country to country. In all cases, the clinical trials must be conducted in accordance with cGCP requirements and the applicable regulatory requirements and the ethical principles that have their origin in the Declaration of Helsinki.</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Third-party payors are increasingly reducing reimbursements for medical products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 or a decision by a third-party payor to not cover our product candidate could reduce physician usage of the product candidate and have a material adverse effect on our sales, results of operations and financial condition.</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product candidate, if any such product or the condition that it is intended to treat is the subject of a trial. It is also possible that comparative effectiveness research demonstrating benefits in a competitor’s product could adversely affect the sales of our product candidate. If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ACA is expected to have a significant impact on the health care industry. The ACA is expected to expand coverage for the uninsured while at the same time containing overall healthcare costs. With regard to pharmaceutical products, among other things, the ACA is expected to expand and increase industry rebates for drugs covered under Medicaid programs and make changes to the coverage requirements under the Medicare Part D program. We cannot predict the full impact of the ACA on our business as many of the ACA reforms require the promulgation of detailed regulations implementing the statutory provisions that has not yet occurred. For example, the ACA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were required to submit reports to CMS by March 31, 2014 (and by the 90th day of each subsequent calendar year). In addition, many states have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federal and state regulation of payments made to physicians. Certain states mandate implementation of compliance programs, impose restrictions on drug manufacturers’ marketing practices and/or require the tracking and reporting of gifts, compensation and other remuneration to physicians. 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 January 2, 2013, President Obama signed into law the American Taxpayer Relief Act of 2012, or the ATRA,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9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Stem Cell Technology - United States</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All procedures we use to obtain clinical samples, and the procedures we use to isolate hESCs, are consistent with the informed consent and ethical guidelines promulgated by either the U.S. National Academy of Science, the International Society of Stem Cell Research (</w:t>
      </w:r>
      <w:r>
        <w:rPr>
          <w:rFonts w:ascii="Arial" w:cs="Arial" w:eastAsia="Arial" w:hAnsi="Arial"/>
          <w:sz w:val="18"/>
          <w:szCs w:val="18"/>
          <w:i w:val="1"/>
          <w:iCs w:val="1"/>
          <w:color w:val="auto"/>
        </w:rPr>
        <w:t>ISSCR</w:t>
      </w:r>
      <w:r>
        <w:rPr>
          <w:rFonts w:ascii="Arial" w:cs="Arial" w:eastAsia="Arial" w:hAnsi="Arial"/>
          <w:sz w:val="18"/>
          <w:szCs w:val="18"/>
          <w:color w:val="auto"/>
        </w:rPr>
        <w:t>), or the NIH. These procedures and documentation have been reviewed by an external Stem Cell Research Oversight Committee, and all cell lines we use have been approved under one or more of these guidelines.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Stem Cell Technology - Canada</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6"/>
          <w:szCs w:val="16"/>
          <w:i w:val="1"/>
          <w:iCs w:val="1"/>
          <w:color w:val="auto"/>
        </w:rPr>
        <w:t>Guidelines</w:t>
      </w:r>
      <w:r>
        <w:rPr>
          <w:rFonts w:ascii="Arial" w:cs="Arial" w:eastAsia="Arial" w:hAnsi="Arial"/>
          <w:sz w:val="16"/>
          <w:szCs w:val="16"/>
          <w:color w:val="auto"/>
        </w:rPr>
        <w:t>) issued by the Canadian Institutes of Health Research; the Tri-Council Statement: Ethical Conduct for Research Involving Humans (</w:t>
      </w:r>
      <w:r>
        <w:rPr>
          <w:rFonts w:ascii="Arial" w:cs="Arial" w:eastAsia="Arial" w:hAnsi="Arial"/>
          <w:sz w:val="16"/>
          <w:szCs w:val="16"/>
          <w:i w:val="1"/>
          <w:iCs w:val="1"/>
          <w:color w:val="auto"/>
        </w:rPr>
        <w:t>TCPS</w:t>
      </w:r>
      <w:r>
        <w:rPr>
          <w:rFonts w:ascii="Arial" w:cs="Arial" w:eastAsia="Arial" w:hAnsi="Arial"/>
          <w:sz w:val="16"/>
          <w:szCs w:val="16"/>
          <w:color w:val="auto"/>
        </w:rPr>
        <w:t>); and the Assisted Human Reproduction Act (</w:t>
      </w:r>
      <w:r>
        <w:rPr>
          <w:rFonts w:ascii="Arial" w:cs="Arial" w:eastAsia="Arial" w:hAnsi="Arial"/>
          <w:sz w:val="16"/>
          <w:szCs w:val="16"/>
          <w:i w:val="1"/>
          <w:iCs w:val="1"/>
          <w:color w:val="auto"/>
        </w:rPr>
        <w:t>Act</w:t>
      </w:r>
      <w:r>
        <w:rPr>
          <w:rFonts w:ascii="Arial" w:cs="Arial" w:eastAsia="Arial" w:hAnsi="Arial"/>
          <w:sz w:val="16"/>
          <w:szCs w:val="16"/>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Act subjects all research conducted in Canada involving the human embryo, including hESC derivation (but not the stem cells once derived), to a licensing process overseen by a federal licensing agency. However, as of the date of this report, the provisions of the Act regarding the licensing of hESC derivation were not in force</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not currently conducting stem cell research in Canada. We have, however, sponsored pluripotent stem cell research in Canada by Dr. Gordon Keller at UHN’s McEwen Centre. We anticipate conducting additional pluripotent stem cell research (with both hESCs and hiPSCs), in collaboration with Dr. Keller and his research team, at UHN’s McEwen Centre during 2015 and beyond. Should the provisions of the Act come into force, we may have to apply for a license for all hESC research we may sponsor or conduct in Canada and ensure compliance of such research with the provisions of the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and Inter-Corporate Relationships</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Canada should we elect to expand our U.S. operations into Canada; and Artemis Neuroscience, Inc., a corporation incorporated pursuant to the laws of the State of Maryland. The operations of VistaGen Therapeutics, Inc., a California corporation, and each of its two wholly owned subsidiaries are managed by our senior management team based in South San Francisco, California.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June 15, 2015, we employed nine full-time employees, three of whom have doctorate degrees. Six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 real-time, as-needed basis, including human resources and payroll, information technology, facilities, legal, stock plan administration, investor relations and website maintenance, regulatory affairs, and FDA program management.</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never had a work stoppage, and none of our employees is represented by a labor organization or under any collective bargaining agreement. We consider our employee relations to be is good.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lease our office and laboratory space, which consists of approximately 10,000 square feet located in South San Francisco, California. Our lease expires on July 31, 2017.</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0"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As of the date of this Annual Report on Form 10-K, we were not party to any legal matters or claims. In the future, we may become party to legal matters and claims arising in the ordinary course of business, the resolution of which we do not anticipate would have a material adverse impact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business does not require us to comply with any particular unique environmental regulations.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7" w:name="page48"/>
    <w:bookmarkEnd w:id="4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Investing in our securities involves a high degree of risk. You should consider carefully the risks and uncertainties described below, together with all of the other information in this Annual Report on Form 10-K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currently have no drug products for sale and may never be able to develop marketable drug products. Our business depends heavily on the successful non-clinical and clinical development, regulatory approval and commercialization of AV-101 for Major Depressive Disorder (MDD) and other CNS indications, as well as our ability to produce develop and commercialize new chemical entities (NCEs) from our drug rescue programs. AV-101 will require substantial additional clinical development, testing and regulatory approval before we are permitted to commence its commercialization. Each drug rescue NCE will require substantial non-clinical development, clinical development, testing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clinical trials. This process can take many years and may include post-marketing studies and surveillance, which will require the expenditure of substantial resources beyond the proceeds we have raised to date. Of the large number of drugs in development in the United States, only a small percentage will successfully complete the U.S. Food and Drug Administration, or FDA, regulatory approval process and will be commercialized. Accordingly, even if we are able to obtain the requisite financing to continue to fund our development and non-clinical studies and clinical trials, we cannot assure you that AV-101 or any of our product candidates will be successfully developed or commercialized.</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not permitted to market our product candidates in the United States until we receive approval of a New Drug Application, or an NDA, from the FDA, or in any foreign countries until we receive the requisite approval from such countries. We are preparing to initiate a Phase 2 clinical trial to study safety, tolerability and efficacy of AV-101 in patients with MDD. If our Phase 2 clinical trial of AV-101 is successful, we expect that the FDA will require us to complete at least one pivotal trial in order to submit an NDA for AV-101 as a treatment for MDD patients. However, the FDA may require that we conduct additional pivotal trials before we can submit an NDA for AV-101. The FDA may also require that we conduct additional toxicity studies and additional non-clinical studies before submitting an NDA for AV-101.</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Obtaining approval of an NDA is a complex, lengthy, expensive and uncertain process, and the FDA may delay, limit or deny approval of any of our product candidates for many reasons, including, among others:</w:t>
      </w:r>
    </w:p>
    <w:p>
      <w:pPr>
        <w:spacing w:after="0" w:line="207" w:lineRule="exact"/>
        <w:rPr>
          <w:sz w:val="20"/>
          <w:szCs w:val="20"/>
          <w:color w:val="auto"/>
        </w:rPr>
      </w:pPr>
    </w:p>
    <w:p>
      <w:pPr>
        <w:ind w:left="640" w:hanging="34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demonstrate that AV-101 is safe and effective in treating MDD, to the satisfaction of the FDA;</w:t>
      </w:r>
    </w:p>
    <w:p>
      <w:pPr>
        <w:spacing w:after="0" w:line="240"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our non-clinical studies and clinical trials may not meet the level of statistical or clinical significance required by the FDA for marketing approval;</w:t>
      </w:r>
    </w:p>
    <w:p>
      <w:pPr>
        <w:spacing w:after="0" w:line="206" w:lineRule="exact"/>
        <w:rPr>
          <w:rFonts w:ascii="Arial" w:cs="Arial" w:eastAsia="Arial" w:hAnsi="Arial"/>
          <w:sz w:val="18"/>
          <w:szCs w:val="18"/>
          <w:color w:val="auto"/>
        </w:rPr>
      </w:pPr>
    </w:p>
    <w:p>
      <w:pPr>
        <w:ind w:left="640" w:hanging="34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non-clinical studies and clinical trials;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may require that we conduct additional non-clinical studies and clinical trials;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not approve the formulation, labeling or specifications of any of our product candidates;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ind w:left="640" w:hanging="341"/>
        <w:spacing w:after="0" w:line="262"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non-clinical studies and clinical trials may take actions outside of our control that materially adversely impact our non-clinical studies and clinical trials;</w:t>
      </w:r>
    </w:p>
    <w:p>
      <w:pPr>
        <w:spacing w:after="0" w:line="206"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find the data from non-clinical studies and clinical trials insufficient to demonstrate that our product candidates’ clinical and other benefits outweigh their safety risks;</w:t>
      </w:r>
    </w:p>
    <w:p>
      <w:pPr>
        <w:spacing w:after="0" w:line="206" w:lineRule="exact"/>
        <w:rPr>
          <w:rFonts w:ascii="Arial" w:cs="Arial" w:eastAsia="Arial" w:hAnsi="Arial"/>
          <w:sz w:val="18"/>
          <w:szCs w:val="18"/>
          <w:color w:val="auto"/>
        </w:rPr>
      </w:pPr>
    </w:p>
    <w:p>
      <w:pPr>
        <w:ind w:left="640" w:hanging="34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non-clinical studies and clinical trials;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not accept data generated at our non-clinical studies and clinical trial sites;</w:t>
      </w:r>
    </w:p>
    <w:p>
      <w:pPr>
        <w:spacing w:after="0" w:line="240" w:lineRule="exact"/>
        <w:rPr>
          <w:rFonts w:ascii="Arial" w:cs="Arial" w:eastAsia="Arial" w:hAnsi="Arial"/>
          <w:sz w:val="18"/>
          <w:szCs w:val="18"/>
          <w:color w:val="auto"/>
        </w:rPr>
      </w:pPr>
    </w:p>
    <w:p>
      <w:pPr>
        <w:jc w:val="both"/>
        <w:ind w:left="640" w:hanging="341"/>
        <w:spacing w:after="0" w:line="299"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81" w:lineRule="exact"/>
        <w:rPr>
          <w:rFonts w:ascii="Arial" w:cs="Arial" w:eastAsia="Arial" w:hAnsi="Arial"/>
          <w:sz w:val="16"/>
          <w:szCs w:val="16"/>
          <w:color w:val="auto"/>
        </w:rPr>
      </w:pPr>
    </w:p>
    <w:p>
      <w:pPr>
        <w:ind w:left="640" w:hanging="34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or REMS, as a condition of approval or post-approval;</w:t>
      </w:r>
    </w:p>
    <w:p>
      <w:pPr>
        <w:spacing w:after="0" w:line="240" w:lineRule="exact"/>
        <w:rPr>
          <w:rFonts w:ascii="Arial" w:cs="Arial" w:eastAsia="Arial" w:hAnsi="Arial"/>
          <w:sz w:val="18"/>
          <w:szCs w:val="18"/>
          <w:color w:val="auto"/>
        </w:rPr>
      </w:pPr>
    </w:p>
    <w:p>
      <w:pPr>
        <w:ind w:left="640" w:hanging="341"/>
        <w:spacing w:after="0" w:line="324"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or cGMPs; or</w:t>
      </w:r>
    </w:p>
    <w:p>
      <w:pPr>
        <w:spacing w:after="0" w:line="161" w:lineRule="exact"/>
        <w:rPr>
          <w:rFonts w:ascii="Arial" w:cs="Arial" w:eastAsia="Arial" w:hAnsi="Arial"/>
          <w:sz w:val="16"/>
          <w:szCs w:val="16"/>
          <w:color w:val="auto"/>
        </w:rPr>
      </w:pPr>
    </w:p>
    <w:p>
      <w:pPr>
        <w:ind w:left="640" w:hanging="34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AV-101, a drug rescue NCE or any other product candidate we may develop. Any such setback in our pursuit of regulatory approval would have a material adverse effect on our business and prospects.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intend to seek FDA Fast Track designation for AV-101, and we may do so for other product candidates as well. If a product is intended for the treatment of a serious or life-threatening condition and the product demonstrates the potential to address unmet medical needs for this condition, the sponsor may apply for the FDA Fast Track designation.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number of patients suffering from MDD has not been established with precision. If the actual number of patients with MDD is smaller than we anticipate, we may encounter difficulties in enrolling patients in our AV-101 clinical trials, thereby delaying or preventing clinical development. Further, if AV-101 is approved for treatment of MDD, and the market for this indication is smaller than we anticipate, our ability to achieve profitability could be limited.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results of preclinical studies and early clinical trials of AV-101 or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AV-101 in investigator-sponsored trials, it may adversely effect our development of AV-101 for MDD and other CNS indications.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AV-101 will be tested in an NIH investigator sponsored clinical trial for the treatment of MDD and may be subjected to testing in the future for other CNS indications in additional investigator sponsored trials. If serious adverse events or other undesirable side effects, or unexpected characteristics of AV-101 are observed in investigator sponsored clinical trials of AV-1-1 or our clinical trials, it may adversely affect or delay our clinical development of AV-101, and the occurrence of these events would have a material adverse effect on our business.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Positive results from early non-clinical studies and clinical trials of our product candidates are not necessarily predictive of the results of later non-clinical studies and clinical trials of our product candidates. If we cannot replicate the positive results from our earlier non-clinical studies and clinical trials of our product candidates in our later non-clinical studies and clinical trials, we may be unable to successfully develop, obtain regulatory approval for and commercialize our product candidates.</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Positive results from non-clinical studies of our product candidates, and any positive results we may obtain from early clinical trials of our product candidates, may not necessarily be predictive of the results from required later non-clinical studies and clinical trials. Similarly, even if we are able to complete our planned non-clinical studies or clinical trials of our product candidates according to our current development timeline, the positive results from our non-clinical studies and clinical trials of our product candidates may not be replicated in subsequent non-clinical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non-clinical findings made while clinical trials were underway or safety or efficacy observations made in non-clinical studies and clinical trials, including previously unreported adverse events. Moreover, non-clinical and clinical data are often susceptible to varying interpretations and analyses, and many companies that believed their product candidates performed satisfactorily in non-clinical studies and clinical trials nonetheless failed to obtain FDA approval. We have not yet completed any Phase 2 clinical trial for AV-101, and if we fail to produce positive results in our planned NIH-sponsored Phase 2 clinical trial of AV-101 in MDD, the development timeline and regulatory approval and commercialization prospects for AV-101 and, correspondingly, our business and financial prospects, would be materially adversely affected.</w:t>
      </w:r>
    </w:p>
    <w:p>
      <w:pPr>
        <w:spacing w:after="0" w:line="200" w:lineRule="exact"/>
        <w:rPr>
          <w:sz w:val="20"/>
          <w:szCs w:val="20"/>
          <w:color w:val="auto"/>
        </w:rPr>
      </w:pP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planning to commence an NIH-sponsored Phase 2 clinical trial of AV-101 as a treatment for MDD. We will need to complete at least two additional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NIH-sponsored Phase 2 study or any of our future-planned clinical trials will begin or be completed on schedule, if at all, as the commencement and completion of clinical trials can be delayed or prevented for a number of reasons, including, among others:</w:t>
      </w:r>
    </w:p>
    <w:p>
      <w:pPr>
        <w:spacing w:after="0" w:line="190" w:lineRule="exact"/>
        <w:rPr>
          <w:sz w:val="20"/>
          <w:szCs w:val="20"/>
          <w:color w:val="auto"/>
        </w:rPr>
      </w:pPr>
    </w:p>
    <w:p>
      <w:pPr>
        <w:ind w:left="640" w:hanging="341"/>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FDA may deny permission to proceed with our planned clinical trials or any other clinical trials we may initiate, or may place a clinical trial on hold;</w:t>
      </w:r>
    </w:p>
    <w:p>
      <w:pPr>
        <w:spacing w:after="0" w:line="263" w:lineRule="exact"/>
        <w:rPr>
          <w:rFonts w:ascii="Arial" w:cs="Arial" w:eastAsia="Arial" w:hAnsi="Arial"/>
          <w:sz w:val="16"/>
          <w:szCs w:val="16"/>
          <w:color w:val="auto"/>
        </w:rPr>
      </w:pPr>
    </w:p>
    <w:p>
      <w:pPr>
        <w:ind w:left="640" w:hanging="34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ind w:left="640" w:hanging="34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results from our ongoing non-clinical studies;</w:t>
      </w:r>
    </w:p>
    <w:p>
      <w:pPr>
        <w:spacing w:after="0" w:line="240"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206"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206" w:lineRule="exact"/>
        <w:rPr>
          <w:rFonts w:ascii="Arial" w:cs="Arial" w:eastAsia="Arial" w:hAnsi="Arial"/>
          <w:sz w:val="18"/>
          <w:szCs w:val="18"/>
          <w:color w:val="auto"/>
        </w:rPr>
      </w:pPr>
    </w:p>
    <w:p>
      <w:pPr>
        <w:ind w:left="640" w:hanging="34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 or sites;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trial sites;</w:t>
      </w:r>
    </w:p>
    <w:p>
      <w:pPr>
        <w:spacing w:after="0" w:line="240"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206" w:lineRule="exact"/>
        <w:rPr>
          <w:rFonts w:ascii="Arial" w:cs="Arial" w:eastAsia="Arial" w:hAnsi="Arial"/>
          <w:sz w:val="18"/>
          <w:szCs w:val="18"/>
          <w:color w:val="auto"/>
        </w:rPr>
      </w:pPr>
    </w:p>
    <w:p>
      <w:pPr>
        <w:ind w:left="640" w:hanging="34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40"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206" w:lineRule="exact"/>
        <w:rPr>
          <w:rFonts w:ascii="Arial" w:cs="Arial" w:eastAsia="Arial" w:hAnsi="Arial"/>
          <w:sz w:val="18"/>
          <w:szCs w:val="18"/>
          <w:color w:val="auto"/>
        </w:rPr>
      </w:pPr>
    </w:p>
    <w:p>
      <w:pPr>
        <w:ind w:left="640" w:hanging="34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therapies that raise safety or efficacy concerns; and</w:t>
      </w:r>
    </w:p>
    <w:p>
      <w:pPr>
        <w:spacing w:after="0" w:line="240"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trials, lack of efficacy, side effects, personal issues or loss of interest.</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or DSMB, overseeing the clinical trial at issue or other regulatory authorities due to a number of factors, including, among others:</w:t>
      </w:r>
    </w:p>
    <w:p>
      <w:pPr>
        <w:spacing w:after="0" w:line="215" w:lineRule="exact"/>
        <w:rPr>
          <w:sz w:val="20"/>
          <w:szCs w:val="20"/>
          <w:color w:val="auto"/>
        </w:rPr>
      </w:pPr>
    </w:p>
    <w:p>
      <w:pPr>
        <w:ind w:left="640" w:hanging="34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40"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206"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non-clinical carcinogenicity studies, adverse side effects or lack of effectiveness;</w:t>
      </w:r>
    </w:p>
    <w:p>
      <w:pPr>
        <w:spacing w:after="0" w:line="206" w:lineRule="exact"/>
        <w:rPr>
          <w:rFonts w:ascii="Arial" w:cs="Arial" w:eastAsia="Arial" w:hAnsi="Arial"/>
          <w:sz w:val="18"/>
          <w:szCs w:val="18"/>
          <w:color w:val="auto"/>
        </w:rPr>
      </w:pPr>
    </w:p>
    <w:p>
      <w:pPr>
        <w:ind w:left="640" w:hanging="34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Changes in regulatory requirements, FDA guidance or unanticipated events during our non-clinical studies and clinical trials of our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Changes in regulatory requirements, FDA guidance or unanticipated events during our non-clinical studies and clinical trials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our product candidates may be harmed and our ability to generate product revenue will be delayed.</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do not have the ability to independently conduct clinical trials. We rely on medical institutions, clinical investigators, contract laboratories and other third parties, such as CROs, to conduct clinical trials on our product candidates. We enter into agreements with third-party CROs to provide monitors for and to manage data for our ongoing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5" w:lineRule="exact"/>
        <w:rPr>
          <w:sz w:val="20"/>
          <w:szCs w:val="20"/>
          <w:color w:val="auto"/>
        </w:rPr>
      </w:pPr>
    </w:p>
    <w:p>
      <w:pPr>
        <w:ind w:left="640" w:hanging="34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NIH are required to comply with regulations and guidelines, including current Good Clinical Practices, or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Although we intend to design our clinical trials for our product candidates, we plan to have CROs, and in the case of our AV-101 Phase 2 study in MDD, the NIH, conduct all of the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CROs do not perform clinical trials in a satisfactory manner, breach their obligations to us or fail to comply with regulatory requirements, the development and commercialization of our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do not currently have, nor do we plan to acquire, the infrastructure or capability to internally manufacture our clinical drug supply of our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do not have long-term supply agreements in place with our contract manufacturers and each batch of our product candidates is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our product candidates, if approved. Our current scale of manufacturing for AV-101 is adequate to support all of our currently planned needs for non-clinical studies and clinical trial supplies.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do not currently have an infrastructure for the sales, marketing and distribution of pharmaceutical products. In order to market our product candidates,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215" w:lineRule="exact"/>
        <w:rPr>
          <w:sz w:val="20"/>
          <w:szCs w:val="20"/>
          <w:color w:val="auto"/>
        </w:rPr>
      </w:pPr>
    </w:p>
    <w:p>
      <w:pPr>
        <w:ind w:left="640" w:hanging="341"/>
        <w:spacing w:after="0" w:line="324"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efficacy of our product candidates as demonstrated in clinical trials, and, if required by any applicable regulatory authority in connection with the approval for the applicable indications, to provide patients with incremental health benefits, as compared with other available CNS therapies;</w:t>
      </w:r>
    </w:p>
    <w:p>
      <w:pPr>
        <w:spacing w:after="0" w:line="161" w:lineRule="exact"/>
        <w:rPr>
          <w:rFonts w:ascii="Arial" w:cs="Arial" w:eastAsia="Arial" w:hAnsi="Arial"/>
          <w:sz w:val="16"/>
          <w:szCs w:val="16"/>
          <w:color w:val="auto"/>
        </w:rPr>
      </w:pPr>
    </w:p>
    <w:p>
      <w:pPr>
        <w:ind w:left="640" w:hanging="341"/>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for our product candidates by the FDA or other applicable regulatory authorities;</w:t>
      </w:r>
    </w:p>
    <w:p>
      <w:pPr>
        <w:spacing w:after="0" w:line="263" w:lineRule="exact"/>
        <w:rPr>
          <w:rFonts w:ascii="Arial" w:cs="Arial" w:eastAsia="Arial" w:hAnsi="Arial"/>
          <w:sz w:val="16"/>
          <w:szCs w:val="16"/>
          <w:color w:val="auto"/>
        </w:rPr>
      </w:pPr>
    </w:p>
    <w:p>
      <w:pPr>
        <w:ind w:left="640" w:hanging="34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40"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206" w:lineRule="exact"/>
        <w:rPr>
          <w:rFonts w:ascii="Arial" w:cs="Arial" w:eastAsia="Arial" w:hAnsi="Arial"/>
          <w:sz w:val="18"/>
          <w:szCs w:val="18"/>
          <w:color w:val="auto"/>
        </w:rPr>
      </w:pPr>
    </w:p>
    <w:p>
      <w:pPr>
        <w:ind w:left="640" w:hanging="34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ind w:left="640" w:hanging="34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20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·regulatory authorities may withdraw or limit their approval of such product candidates;</w:t>
      </w:r>
    </w:p>
    <w:p>
      <w:pPr>
        <w:spacing w:after="0" w:line="2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241" w:lineRule="exact"/>
        <w:rPr>
          <w:sz w:val="20"/>
          <w:szCs w:val="20"/>
          <w:color w:val="auto"/>
        </w:rPr>
      </w:pPr>
    </w:p>
    <w:p>
      <w:pPr>
        <w:ind w:left="640" w:hanging="43"/>
        <w:spacing w:after="0" w:line="262" w:lineRule="auto"/>
        <w:rPr>
          <w:sz w:val="20"/>
          <w:szCs w:val="20"/>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may be subject to regulatory investigations and government enforcement actions;</w:t>
      </w:r>
    </w:p>
    <w:p>
      <w:pPr>
        <w:spacing w:after="0" w:line="2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may decide to remove such product candidates from the marketplace;</w:t>
      </w:r>
    </w:p>
    <w:p>
      <w:pPr>
        <w:spacing w:after="0" w:line="2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reputation may suffer.</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223" w:lineRule="exact"/>
        <w:rPr>
          <w:sz w:val="20"/>
          <w:szCs w:val="20"/>
          <w:color w:val="auto"/>
        </w:rPr>
      </w:pPr>
    </w:p>
    <w:p>
      <w:pPr>
        <w:ind w:left="640" w:hanging="34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ectPr>
          <w:pgSz w:w="11900" w:h="16838" w:orient="portrait"/>
          <w:cols w:equalWidth="0" w:num="1">
            <w:col w:w="11420"/>
          </w:cols>
          <w:pgMar w:left="240" w:top="130" w:right="239" w:bottom="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4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Currently, there are no FDA-approved therapies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(ECT), are sometimes used instead of antidepressant medications to treat patients with MDD.</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the field of new generation antidepressants focused on modulation of the NMDA receptor, our principal competitor is Naurex, Inc., which is developing GLYX-13 and NRX-1074 for treatment-resistant MDD. Although each of these drug candidates is a peptide and may not be orally-active (GLYX-13 is only administered intravenously and, we believe, NRX-1074 has not yet been administered orally to human subjects), both are new generation NMDA modulators focused on the glycine binding site of the NMDA receptor.</w:t>
      </w:r>
    </w:p>
    <w:p>
      <w:pPr>
        <w:spacing w:after="0" w:line="21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epilepsy, neuropathic pain, Parkinson’s disease and other neurological conditions and diseases, including, but not limited to, Abbott Laboratories, Actavis, Astra Zeneca, Eli Lilly, GlaxoSmithKline, Johnson &amp; Johnson, Lundbeck, Merck, Novartis, Otsuka, Pfizer, Roche,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6" w:name="page57"/>
    <w:bookmarkEnd w:id="5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2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biopharmaceutical product candidates. Although AV-101 is clinical development, our research programs, we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Because we have limited financial and management resources, we focus on a limited number of research programs and product candidates and are currently focused on AV-101 and our stem cell technology-based drug rescue programs.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7" w:name="page58"/>
    <w:bookmarkEnd w:id="5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95" w:lineRule="exact"/>
        <w:rPr>
          <w:sz w:val="20"/>
          <w:szCs w:val="20"/>
          <w:color w:val="auto"/>
        </w:rPr>
      </w:pPr>
    </w:p>
    <w:p>
      <w:pPr>
        <w:jc w:val="both"/>
        <w:ind w:left="640" w:hanging="341"/>
        <w:spacing w:after="0" w:line="299"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81" w:lineRule="exact"/>
        <w:rPr>
          <w:rFonts w:ascii="Arial" w:cs="Arial" w:eastAsia="Arial" w:hAnsi="Arial"/>
          <w:sz w:val="16"/>
          <w:szCs w:val="16"/>
          <w:color w:val="auto"/>
        </w:rPr>
      </w:pPr>
    </w:p>
    <w:p>
      <w:pPr>
        <w:jc w:val="both"/>
        <w:ind w:left="640" w:hanging="341"/>
        <w:spacing w:after="0" w:line="253"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14" w:lineRule="exact"/>
        <w:rPr>
          <w:rFonts w:ascii="Arial" w:cs="Arial" w:eastAsia="Arial" w:hAnsi="Arial"/>
          <w:sz w:val="18"/>
          <w:szCs w:val="18"/>
          <w:color w:val="auto"/>
        </w:rPr>
      </w:pPr>
    </w:p>
    <w:p>
      <w:pPr>
        <w:jc w:val="both"/>
        <w:ind w:left="640" w:hanging="341"/>
        <w:spacing w:after="0" w:line="299"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1" w:lineRule="exact"/>
        <w:rPr>
          <w:rFonts w:ascii="Arial" w:cs="Arial" w:eastAsia="Arial" w:hAnsi="Arial"/>
          <w:sz w:val="16"/>
          <w:szCs w:val="16"/>
          <w:color w:val="auto"/>
        </w:rPr>
      </w:pPr>
    </w:p>
    <w:p>
      <w:pPr>
        <w:ind w:left="640" w:hanging="341"/>
        <w:spacing w:after="0" w:line="262"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206" w:lineRule="exact"/>
        <w:rPr>
          <w:rFonts w:ascii="Arial" w:cs="Arial" w:eastAsia="Arial" w:hAnsi="Arial"/>
          <w:sz w:val="18"/>
          <w:szCs w:val="18"/>
          <w:color w:val="auto"/>
        </w:rPr>
      </w:pPr>
    </w:p>
    <w:p>
      <w:pPr>
        <w:jc w:val="both"/>
        <w:ind w:left="640" w:hanging="341"/>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217" w:lineRule="exact"/>
        <w:rPr>
          <w:rFonts w:ascii="Arial" w:cs="Arial" w:eastAsia="Arial" w:hAnsi="Arial"/>
          <w:sz w:val="18"/>
          <w:szCs w:val="18"/>
          <w:color w:val="auto"/>
        </w:rPr>
      </w:pPr>
    </w:p>
    <w:p>
      <w:pPr>
        <w:jc w:val="both"/>
        <w:ind w:left="640" w:hanging="341"/>
        <w:spacing w:after="0" w:line="327" w:lineRule="auto"/>
        <w:tabs>
          <w:tab w:leader="none" w:pos="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64" w:lineRule="exact"/>
        <w:rPr>
          <w:rFonts w:ascii="Arial" w:cs="Arial" w:eastAsia="Arial" w:hAnsi="Arial"/>
          <w:sz w:val="15"/>
          <w:szCs w:val="15"/>
          <w:color w:val="auto"/>
        </w:rPr>
      </w:pPr>
    </w:p>
    <w:p>
      <w:pPr>
        <w:ind w:left="640" w:hanging="341"/>
        <w:spacing w:after="0" w:line="262"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AV0-101 as a treatment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4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Even if we have obtained orphan drug designation for one or more of our product candidates, there may be limits to the regulatory exclusivity afforded by such designation.</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Even if we obtain orphan drug designation from the FDA for one or more of our product candidates, there are limitations to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207"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62" w:lineRule="exact"/>
        <w:rPr>
          <w:sz w:val="20"/>
          <w:szCs w:val="20"/>
          <w:color w:val="auto"/>
        </w:rPr>
      </w:pPr>
    </w:p>
    <w:p>
      <w:pPr>
        <w:ind w:left="500" w:hanging="33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5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61" w:lineRule="exact"/>
        <w:rPr>
          <w:sz w:val="20"/>
          <w:szCs w:val="20"/>
          <w:color w:val="auto"/>
        </w:rPr>
      </w:pPr>
    </w:p>
    <w:p>
      <w:pPr>
        <w:ind w:left="640" w:hanging="37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products we produce;</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37" w:lineRule="exact"/>
        <w:rPr>
          <w:rFonts w:ascii="Arial" w:cs="Arial" w:eastAsia="Arial" w:hAnsi="Arial"/>
          <w:sz w:val="16"/>
          <w:szCs w:val="16"/>
          <w:color w:val="auto"/>
        </w:rPr>
      </w:pPr>
    </w:p>
    <w:p>
      <w:pPr>
        <w:ind w:left="640" w:hanging="37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14" w:lineRule="exact"/>
        <w:rPr>
          <w:rFonts w:ascii="Arial" w:cs="Arial" w:eastAsia="Arial" w:hAnsi="Arial"/>
          <w:sz w:val="18"/>
          <w:szCs w:val="18"/>
          <w:color w:val="auto"/>
        </w:rPr>
      </w:pPr>
    </w:p>
    <w:p>
      <w:pPr>
        <w:ind w:left="640" w:right="20" w:hanging="372"/>
        <w:spacing w:after="0" w:line="262"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Our future success is highly dependent upon our ability to successfully develop AV-101 and produce proprietary new chemical entities (NCEs) using our stem cell technology, human cells derived from stem cells, our proprietary human cell-based bioassay systems and medicinal chemistry, and we cannot provide any assurance that we will successfully develop AV-101 or NCEs , or that, if produced, AV-101 or any drug rescue-related NCEs will be successfully commercialized.</w:t>
      </w:r>
    </w:p>
    <w:p>
      <w:pPr>
        <w:spacing w:after="0" w:line="21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55" w:lineRule="exact"/>
        <w:rPr>
          <w:sz w:val="20"/>
          <w:szCs w:val="20"/>
          <w:color w:val="auto"/>
        </w:rPr>
      </w:pPr>
    </w:p>
    <w:p>
      <w:pPr>
        <w:ind w:left="640" w:hanging="37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drug rescue research methodology may not be successful in identifying potential drug rescue NCEs;</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14" w:lineRule="exact"/>
        <w:rPr>
          <w:rFonts w:ascii="Arial" w:cs="Arial" w:eastAsia="Arial" w:hAnsi="Arial"/>
          <w:sz w:val="18"/>
          <w:szCs w:val="18"/>
          <w:color w:val="auto"/>
        </w:rPr>
      </w:pPr>
    </w:p>
    <w:p>
      <w:pPr>
        <w:ind w:left="640" w:hanging="372"/>
        <w:spacing w:after="0" w:line="262"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80" w:lineRule="exact"/>
        <w:rPr>
          <w:rFonts w:ascii="Arial" w:cs="Arial" w:eastAsia="Arial" w:hAnsi="Arial"/>
          <w:sz w:val="18"/>
          <w:szCs w:val="18"/>
          <w:color w:val="auto"/>
        </w:rPr>
      </w:pPr>
    </w:p>
    <w:p>
      <w:pPr>
        <w:ind w:left="640" w:hanging="37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drug rescue NCE may not be accepted as safe and effective by regulatory authorities, patients, the medical community or third-party payors.</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sales, marketing or distribution experience. We may seek to collaborate with others to develop and commercialize AV-101, drug rescue NCEs and other future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67"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unable to develop and commercialize AV-101 or produce suitable drug rescue NCEs for internal development or out-license to pharmaceutical companies and others, we may not be able to generate sufficient revenues to execute our business plan, which likely would result in significant harm to our financial position and results of operations, which could adversely impact our stock price.</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207" w:lineRule="exact"/>
        <w:rPr>
          <w:sz w:val="20"/>
          <w:szCs w:val="20"/>
          <w:color w:val="auto"/>
        </w:rPr>
      </w:pPr>
    </w:p>
    <w:p>
      <w:pPr>
        <w:ind w:left="640" w:hanging="372"/>
        <w:spacing w:after="0" w:line="262"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80" w:lineRule="exact"/>
        <w:rPr>
          <w:rFonts w:ascii="Arial" w:cs="Arial" w:eastAsia="Arial" w:hAnsi="Arial"/>
          <w:sz w:val="18"/>
          <w:szCs w:val="18"/>
          <w:color w:val="auto"/>
        </w:rPr>
      </w:pPr>
    </w:p>
    <w:p>
      <w:pPr>
        <w:ind w:left="640" w:hanging="372"/>
        <w:spacing w:after="0" w:line="262"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80" w:lineRule="exact"/>
        <w:rPr>
          <w:rFonts w:ascii="Arial" w:cs="Arial" w:eastAsia="Arial" w:hAnsi="Arial"/>
          <w:sz w:val="18"/>
          <w:szCs w:val="18"/>
          <w:color w:val="auto"/>
        </w:rPr>
      </w:pPr>
    </w:p>
    <w:p>
      <w:pPr>
        <w:ind w:left="640" w:hanging="372"/>
        <w:spacing w:after="0" w:line="262"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or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and</w:t>
      </w:r>
    </w:p>
    <w:p>
      <w:pPr>
        <w:spacing w:after="0" w:line="180" w:lineRule="exact"/>
        <w:rPr>
          <w:rFonts w:ascii="Arial" w:cs="Arial" w:eastAsia="Arial" w:hAnsi="Arial"/>
          <w:sz w:val="18"/>
          <w:szCs w:val="18"/>
          <w:color w:val="auto"/>
        </w:rPr>
      </w:pPr>
    </w:p>
    <w:p>
      <w:pPr>
        <w:ind w:left="640" w:hanging="372"/>
        <w:spacing w:after="0" w:line="324"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a strategic collaboration. Before we generate any revenues from AV-101 and/or additional drug rescue NCEs we or our potential strategic collaborator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business will be adversely affected.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success is highly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We have not yet fully validated LiverSafe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for potential drug rescue applications, and we may never do so.</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have developed proprietary protocols for controlling the differentiation of human pluripotent stem cells and producing functional, mature, adult liver cells we believe are superior to primary (cadaver) hepatocytes used in in vitro testing. However, we have not yet fully validated our ability to use the human liver cells we produce for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to predict important biological effects, both toxic and nontoxic, of reference drugs, drug rescue candidates or drug rescue NCEs on the human liver, including drug-induced liver injury and adverse drug-drug interactions. Furthermore, we may never be able to do so, which could adversely affect our business and the potential applications of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for drug discovery, drug rescue and regenerative medicine.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CardioSafe </w:t>
      </w:r>
      <w:r>
        <w:rPr>
          <w:rFonts w:ascii="Arial" w:cs="Arial" w:eastAsia="Arial" w:hAnsi="Arial"/>
          <w:sz w:val="16"/>
          <w:szCs w:val="16"/>
          <w:b w:val="1"/>
          <w:bCs w:val="1"/>
          <w:color w:val="auto"/>
        </w:rPr>
        <w:t>3D</w:t>
      </w:r>
      <w:r>
        <w:rPr>
          <w:rFonts w:ascii="Arial" w:cs="Arial" w:eastAsia="Arial" w:hAnsi="Arial"/>
          <w:sz w:val="16"/>
          <w:szCs w:val="16"/>
          <w:b w:val="1"/>
          <w:bCs w:val="1"/>
          <w:i w:val="1"/>
          <w:iCs w:val="1"/>
          <w:color w:val="auto"/>
        </w:rPr>
        <w:t xml:space="preserve">, and, if validated, LiverSafe </w:t>
      </w:r>
      <w:r>
        <w:rPr>
          <w:rFonts w:ascii="Arial" w:cs="Arial" w:eastAsia="Arial" w:hAnsi="Arial"/>
          <w:sz w:val="16"/>
          <w:szCs w:val="16"/>
          <w:b w:val="1"/>
          <w:bCs w:val="1"/>
          <w:color w:val="auto"/>
        </w:rPr>
        <w:t>3D</w:t>
      </w:r>
      <w:r>
        <w:rPr>
          <w:rFonts w:ascii="Arial" w:cs="Arial" w:eastAsia="Arial" w:hAnsi="Arial"/>
          <w:sz w:val="16"/>
          <w:szCs w:val="16"/>
          <w:b w:val="1"/>
          <w:bCs w:val="1"/>
          <w:i w:val="1"/>
          <w:iCs w:val="1"/>
          <w:color w:val="auto"/>
        </w:rPr>
        <w:t xml:space="preserve"> may not be meaningfully more predictive of the behavior of human cells than existing methods.</w:t>
      </w:r>
    </w:p>
    <w:p>
      <w:pPr>
        <w:spacing w:after="0" w:line="2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 success of our drug rescue business is highly dependent, in the first instance,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in the second instance, if validated,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when validated, </w:t>
      </w:r>
      <w:r>
        <w:rPr>
          <w:rFonts w:ascii="Arial" w:cs="Arial" w:eastAsia="Arial" w:hAnsi="Arial"/>
          <w:sz w:val="16"/>
          <w:szCs w:val="16"/>
          <w:i w:val="1"/>
          <w:iCs w:val="1"/>
          <w:color w:val="auto"/>
        </w:rPr>
        <w:t xml:space="preserve">LiverSafe </w:t>
      </w:r>
      <w:r>
        <w:rPr>
          <w:rFonts w:ascii="Arial" w:cs="Arial" w:eastAsia="Arial" w:hAnsi="Arial"/>
          <w:sz w:val="16"/>
          <w:szCs w:val="16"/>
          <w:color w:val="auto"/>
        </w:rPr>
        <w:t>3D, will be more efficient or accurate at predicting the heart or liver safety of new drug candidates than the testing models currently used. If</w:t>
      </w:r>
      <w:r>
        <w:rPr>
          <w:rFonts w:ascii="Arial" w:cs="Arial" w:eastAsia="Arial" w:hAnsi="Arial"/>
          <w:sz w:val="16"/>
          <w:szCs w:val="16"/>
          <w:i w:val="1"/>
          <w:iCs w:val="1"/>
          <w:color w:val="auto"/>
        </w:rPr>
        <w:t xml:space="preserve"> CardioSafe </w:t>
      </w:r>
      <w:r>
        <w:rPr>
          <w:rFonts w:ascii="Arial" w:cs="Arial" w:eastAsia="Arial" w:hAnsi="Arial"/>
          <w:sz w:val="16"/>
          <w:szCs w:val="16"/>
          <w:color w:val="auto"/>
        </w:rPr>
        <w:t xml:space="preserve">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strategic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 xml:space="preserve">Our human pluripotent stem cell technology is new and technically complex, and the time and resources necessary to develop new cell types and customized bioassay systems are difficult to predict in advance. We intend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research and development programs related to producing and using functional, mature adult liver cells to validate </w:t>
      </w:r>
      <w:r>
        <w:rPr>
          <w:rFonts w:ascii="Arial" w:cs="Arial" w:eastAsia="Arial" w:hAnsi="Arial"/>
          <w:sz w:val="15"/>
          <w:szCs w:val="15"/>
          <w:i w:val="1"/>
          <w:iCs w:val="1"/>
          <w:color w:val="auto"/>
        </w:rPr>
        <w:t>LiverSafe</w:t>
      </w:r>
      <w:r>
        <w:rPr>
          <w:rFonts w:ascii="Arial" w:cs="Arial" w:eastAsia="Arial" w:hAnsi="Arial"/>
          <w:sz w:val="15"/>
          <w:szCs w:val="15"/>
          <w:color w:val="auto"/>
        </w:rPr>
        <w:t xml:space="preserve"> 3D as a novel bioassay system for drug rescue, as well as exploratory nonclinical regenerative medicine programs involving blood, bone, cartilage, heart, and liver. Although we and our collaborators have developed proprietary protocols for the production of multiple differentiated cell types, we may encounter difficulties in differentiating particular cell types, even when following these proprietary protocols. These difficulties may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8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Some of our ongoing and planned research and development programs involve the use of human cells derived from our controlled differentiation of human embryonic stem cells (</w:t>
      </w:r>
      <w:r>
        <w:rPr>
          <w:rFonts w:ascii="Arial" w:cs="Arial" w:eastAsia="Arial" w:hAnsi="Arial"/>
          <w:sz w:val="16"/>
          <w:szCs w:val="16"/>
          <w:i w:val="1"/>
          <w:iCs w:val="1"/>
          <w:color w:val="auto"/>
        </w:rPr>
        <w:t>hESC</w:t>
      </w:r>
      <w:r>
        <w:rPr>
          <w:rFonts w:ascii="Arial" w:cs="Arial" w:eastAsia="Arial" w:hAnsi="Arial"/>
          <w:sz w:val="16"/>
          <w:szCs w:val="16"/>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use hESCs derived from excess fertilized eggs that have been created for clinical use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fertilization (</w:t>
      </w:r>
      <w:r>
        <w:rPr>
          <w:rFonts w:ascii="Arial" w:cs="Arial" w:eastAsia="Arial" w:hAnsi="Arial"/>
          <w:sz w:val="16"/>
          <w:szCs w:val="16"/>
          <w:i w:val="1"/>
          <w:iCs w:val="1"/>
          <w:color w:val="auto"/>
        </w:rPr>
        <w:t>IVF</w:t>
      </w:r>
      <w:r>
        <w:rPr>
          <w:rFonts w:ascii="Arial" w:cs="Arial" w:eastAsia="Arial" w:hAnsi="Arial"/>
          <w:sz w:val="16"/>
          <w:szCs w:val="16"/>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induced pluripotent stem cells </w:t>
      </w:r>
      <w:r>
        <w:rPr>
          <w:rFonts w:ascii="Arial" w:cs="Arial" w:eastAsia="Arial" w:hAnsi="Arial"/>
          <w:sz w:val="16"/>
          <w:szCs w:val="16"/>
          <w:i w:val="1"/>
          <w:iCs w:val="1"/>
          <w:color w:val="auto"/>
        </w:rPr>
        <w:t>(iPSC</w:t>
      </w:r>
      <w:r>
        <w:rPr>
          <w:rFonts w:ascii="Arial" w:cs="Arial" w:eastAsia="Arial" w:hAnsi="Arial"/>
          <w:sz w:val="16"/>
          <w:szCs w:val="16"/>
          <w:color w:val="auto"/>
        </w:rPr>
        <w:t>s), or our plans to pursue studies involving human cells derived from iPSCs, because their derivation does not involve the use of embryonic tissues.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have assumed that the biological capabilities of induced pluripotent stem cells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use both hESCs and iPSCs to produce human cells for our customized in vitro assays for drug discovery and drug rescue purposes. However, we anticipate that our future exploratory research and development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88"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To the extent our research and development activities involve using induced pluripotent stem cells,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3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Our human cells and human cell-based bioassay systems,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are not currently sold, for research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cells we derive from human pluripotent stem cells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If we fail to attract and retain senior management and key scientific personnel, we may be unable to successfully produce, develop and commercialize AV-101, drug rescue NCEs and any additional commercial applications of our stem cell technology.</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senior management, as well as other employees, consultants and scientific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AV-101 and potential expansions and applications of our stem cell technology platform, including our production and assessment of potential drug recuse NCEs or disrupt our administrative functions.</w:t>
      </w:r>
    </w:p>
    <w:p>
      <w:pPr>
        <w:spacing w:after="0" w:line="16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activities. We may not be able to attract and retain quality personnel on acceptable terms.</w:t>
      </w:r>
    </w:p>
    <w:p>
      <w:pPr>
        <w:spacing w:after="0" w:line="15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addition, we rely on a diverse range of consultants and advisors, including scientific and clinical development advisors, to assist us in designing our research and development strategies,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21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we seek to advance development of AV-101 for MDD and other CNS-related conditions, as well as cell production, assay development, drug discovery, drug rescue, and drug rescue NCE development programs, we will need to expand our research and development capabilities 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If we develop AV-101, drug rescue NCEs or regenerative medicine-related products, either on our own or in collaboration with others, we will face an inherent risk of product liability as a result of the required clinical testing of such product candidates, and will face an even greater risk if we or our collaborators commercialize any such products. For example, we may be sued if AV-101, any drug rescue NCE or regenerative medicine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67" w:lineRule="exact"/>
        <w:rPr>
          <w:sz w:val="20"/>
          <w:szCs w:val="20"/>
          <w:color w:val="auto"/>
        </w:rPr>
      </w:pPr>
    </w:p>
    <w:p>
      <w:pPr>
        <w:ind w:left="640" w:hanging="37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we continue to grow, we will need to hire additional qualified accounting and financial personnel with appropriate public company experience.</w:t>
      </w:r>
    </w:p>
    <w:p>
      <w:pPr>
        <w:spacing w:after="0" w:line="2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we continue to grow our organization, we will need to establish and maintain more elaborate disclosure and financial controls and make changes in our corporate governance practices. We will need to hire additional accounting and financial personnel with appropriate public company experience and technical accounting knowledge, and it may be difficult to recruit and maintain such personnel. Even if we are able to hire appropriate personnel, our existing operating expenses and operations will be impacted by the direct costs of their employment and the indirect consequences related to the diversion of management resources from product development efforts.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we may not realize the benefits of such acquisitions.</w:t>
      </w: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47"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$13.9 million and $3.0 million during the fiscal years ending March 31, 2015 and 2014, respectively. As of March 31, 2015, we had an accumulated deficit of $84.5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will incur significant sales, marketing and outsourced-manufacturing expenses.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become profitable depends upon our ability to generate revenue. To date, although we have generated approximately $16.4 million in revenues, we have not commercialized any products or generated any revenues from product sales, and we do not know when, or if, we will generate any revenue from product sales. We do not expect to generate significant revenue unless and until we obtain marketing approval of, and begin to sell, AV-101. Our ability to generate revenue depends on a number of factors, including, but not limited to, our ability to:</w:t>
      </w:r>
    </w:p>
    <w:p>
      <w:pPr>
        <w:spacing w:after="0" w:line="188" w:lineRule="exact"/>
        <w:rPr>
          <w:sz w:val="20"/>
          <w:szCs w:val="20"/>
          <w:color w:val="auto"/>
        </w:rPr>
      </w:pPr>
    </w:p>
    <w:p>
      <w:pPr>
        <w:ind w:left="500" w:hanging="334"/>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product candidates;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and</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40" w:lineRule="exact"/>
        <w:rPr>
          <w:rFonts w:ascii="Arial" w:cs="Arial" w:eastAsia="Arial" w:hAnsi="Arial"/>
          <w:sz w:val="18"/>
          <w:szCs w:val="18"/>
          <w:color w:val="auto"/>
        </w:rPr>
      </w:pPr>
    </w:p>
    <w:p>
      <w:pPr>
        <w:jc w:val="both"/>
        <w:ind w:left="500" w:hanging="334"/>
        <w:spacing w:after="0" w:line="248"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Absent our entering into a collaboration or partnership agreement,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a commercially successful drug. We may not achieve profitability soon after generating product sales, if ever. If we are unable to generate product revenue, we will not become profitable and may be unable to continue operations without continued funding.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independent auditors have expressed substantial doubt about our ability to continue as a going concern.</w:t>
      </w:r>
    </w:p>
    <w:p>
      <w:pPr>
        <w:spacing w:after="0" w:line="24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consolidated financial statements for the year ended March 31, 2015 included in this Annual Report on Form 10-K have been prepared assuming we will continue to operate as a going concern. However, due to our ongoing operating losses and our accumulated deficit, there is doubt about our ability to continue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of our research and development activities or we may not be able to continue as a going concern.</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w:t>
      </w: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our human pluripotent stem cell technology. In particular, we have expended substantial resources advancing AV-101 through preclinical development and Phase 1 safety studies and developing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and we will continue to expend substantial resources for the foreseeable future developing and commercializing AV-101, validating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and developing drug rescue NCEs.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 Furthermore, we expect to incur additional costs associated with operating as a public company.</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have no current source of revenue to sustain our present activities, and we do not expect to generate revenue until, and unless, we out-license or sell AV-101, a drug rescue NCE, customized drug discovery and predictive toxicology assays or other product candidates to a third party, obtain approval from the FDA or other regulatory authorities and successfully commercialize, on our own or through a future collaboration, one or more of our compounds. As the outcome of our proposed drug rescue and AV-101 development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and may seek additional capital in the event there exists favorable market conditions or strategic considerations even if we believe we have sufficient funds for our current or future operating plans.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9" w:name="page70"/>
    <w:bookmarkEnd w:id="6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41" w:lineRule="exact"/>
        <w:rPr>
          <w:sz w:val="20"/>
          <w:szCs w:val="20"/>
          <w:color w:val="auto"/>
        </w:rPr>
      </w:pPr>
    </w:p>
    <w:p>
      <w:pPr>
        <w:ind w:left="640" w:hanging="37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or drug rescue NCEs;</w:t>
      </w:r>
    </w:p>
    <w:p>
      <w:pPr>
        <w:spacing w:after="0" w:line="240" w:lineRule="exact"/>
        <w:rPr>
          <w:rFonts w:ascii="Arial" w:cs="Arial" w:eastAsia="Arial" w:hAnsi="Arial"/>
          <w:sz w:val="18"/>
          <w:szCs w:val="18"/>
          <w:color w:val="auto"/>
        </w:rPr>
      </w:pPr>
    </w:p>
    <w:p>
      <w:pPr>
        <w:ind w:left="640" w:hanging="372"/>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63" w:lineRule="exact"/>
        <w:rPr>
          <w:rFonts w:ascii="Arial" w:cs="Arial" w:eastAsia="Arial" w:hAnsi="Arial"/>
          <w:sz w:val="16"/>
          <w:szCs w:val="16"/>
          <w:color w:val="auto"/>
        </w:rPr>
      </w:pPr>
    </w:p>
    <w:p>
      <w:pPr>
        <w:ind w:left="640" w:hanging="37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40" w:lineRule="exact"/>
        <w:rPr>
          <w:rFonts w:ascii="Arial" w:cs="Arial" w:eastAsia="Arial" w:hAnsi="Arial"/>
          <w:sz w:val="18"/>
          <w:szCs w:val="18"/>
          <w:color w:val="auto"/>
        </w:rPr>
      </w:pPr>
    </w:p>
    <w:p>
      <w:pPr>
        <w:ind w:left="640" w:hanging="372"/>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63" w:lineRule="exact"/>
        <w:rPr>
          <w:rFonts w:ascii="Arial" w:cs="Arial" w:eastAsia="Arial" w:hAnsi="Arial"/>
          <w:sz w:val="16"/>
          <w:szCs w:val="16"/>
          <w:color w:val="auto"/>
        </w:rPr>
      </w:pPr>
    </w:p>
    <w:p>
      <w:pPr>
        <w:ind w:left="640" w:hanging="37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40" w:lineRule="exact"/>
        <w:rPr>
          <w:rFonts w:ascii="Arial" w:cs="Arial" w:eastAsia="Arial" w:hAnsi="Arial"/>
          <w:sz w:val="18"/>
          <w:szCs w:val="18"/>
          <w:color w:val="auto"/>
        </w:rPr>
      </w:pPr>
    </w:p>
    <w:p>
      <w:pPr>
        <w:ind w:left="640" w:hanging="37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240" w:lineRule="exact"/>
        <w:rPr>
          <w:rFonts w:ascii="Arial" w:cs="Arial" w:eastAsia="Arial" w:hAnsi="Arial"/>
          <w:sz w:val="18"/>
          <w:szCs w:val="18"/>
          <w:color w:val="auto"/>
        </w:rPr>
      </w:pPr>
    </w:p>
    <w:p>
      <w:pPr>
        <w:ind w:left="640" w:hanging="37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40" w:lineRule="exact"/>
        <w:rPr>
          <w:rFonts w:ascii="Arial" w:cs="Arial" w:eastAsia="Arial" w:hAnsi="Arial"/>
          <w:sz w:val="18"/>
          <w:szCs w:val="18"/>
          <w:color w:val="auto"/>
        </w:rPr>
      </w:pPr>
    </w:p>
    <w:p>
      <w:pPr>
        <w:ind w:left="640" w:hanging="37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40" w:lineRule="exact"/>
        <w:rPr>
          <w:rFonts w:ascii="Arial" w:cs="Arial" w:eastAsia="Arial" w:hAnsi="Arial"/>
          <w:sz w:val="18"/>
          <w:szCs w:val="18"/>
          <w:color w:val="auto"/>
        </w:rPr>
      </w:pPr>
    </w:p>
    <w:p>
      <w:pPr>
        <w:ind w:left="640" w:hanging="37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40" w:lineRule="exact"/>
        <w:rPr>
          <w:rFonts w:ascii="Arial" w:cs="Arial" w:eastAsia="Arial" w:hAnsi="Arial"/>
          <w:sz w:val="18"/>
          <w:szCs w:val="18"/>
          <w:color w:val="auto"/>
        </w:rPr>
      </w:pPr>
    </w:p>
    <w:p>
      <w:pPr>
        <w:jc w:val="both"/>
        <w:ind w:left="640" w:hanging="372"/>
        <w:spacing w:after="0" w:line="253"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214" w:lineRule="exact"/>
        <w:rPr>
          <w:rFonts w:ascii="Arial" w:cs="Arial" w:eastAsia="Arial" w:hAnsi="Arial"/>
          <w:sz w:val="18"/>
          <w:szCs w:val="18"/>
          <w:color w:val="auto"/>
        </w:rPr>
      </w:pPr>
    </w:p>
    <w:p>
      <w:pPr>
        <w:ind w:left="640" w:hanging="372"/>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63" w:lineRule="exact"/>
        <w:rPr>
          <w:rFonts w:ascii="Arial" w:cs="Arial" w:eastAsia="Arial" w:hAnsi="Arial"/>
          <w:sz w:val="16"/>
          <w:szCs w:val="16"/>
          <w:color w:val="auto"/>
        </w:rPr>
      </w:pPr>
    </w:p>
    <w:p>
      <w:pPr>
        <w:ind w:left="640" w:hanging="372"/>
        <w:spacing w:after="0" w:line="262"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20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Additional funds may not be available when we need them, on terms that are acceptable to us, or at all. If adequate funds are not available to us on a timely basis, we may be required to delay, limit, reduce or terminate research and development activities for one or more of our product candidates, or cease or reduce our operating activities and/or sell or license to third parties some or all of our intellectual property, any of which could harm our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this necessary capital when needed may force us to delay, limit or terminate our product development efforts or other operations.</w:t>
      </w:r>
    </w:p>
    <w:p>
      <w:pPr>
        <w:spacing w:after="0" w:line="264"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We are currently advancing our product candidates through non-clinical and clinical development. Developing small molecule products is expensive, and we expect our research and development expenses to increase substantially in connection with our ongoing activities, particularly as we advance our product candidate in clinical trials. Depending on the status of regulatory approval or, if approved, commercialization of our product candidates, as well as the progress we make in selling our product candidates, we may require additional capital to fund operating needs thereafter. We may also need to raise additional funds sooner if we choose to pursue additional indications and/or geographies for our product candidates or otherwise expand more rapidly than we presently anticipate.</w:t>
      </w:r>
    </w:p>
    <w:p>
      <w:pPr>
        <w:spacing w:after="0" w:line="17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At March 31, 2015, our existing cash and cash equivalents were not sufficient to fund our current operations for the next 12 months. As a result, we are seeking additional funds at this time, and are considering or may consider in the future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In any event, we will require additional capital to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w:t>
      </w:r>
    </w:p>
    <w:p>
      <w:pPr>
        <w:spacing w:after="0" w:line="24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may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your ownership interest in our company will be diluted. In addition, the terms of any such securities may include liquidation or other preferences that materially adversely affect your rights as a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grants, which may not be available to us in the future.</w:t>
      </w: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As of March 31, 2015, we had federal and state net operating loss carryforwards of $58.7 million and $53.1 million, respectively, which begin to expire in fiscal 2016. Under Section 382 of the Internal Revenue Code of 1986, as amended, or the Code,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21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that are important to the development of our business. We also rely on trade secrets to protect aspects of our business that are not amenable to, or that we do not consider appropriate for, patent protection.</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defend and enforce our patents, should they issue, preserve the confidentiality of our trade secrets and operate without infringing the valid and enforceable patents and proprietary rights of third parties. We also rely on know-how, continuing technological innovation and in-licensing opportunities to develop, strengthen and maintain the proprietary position of our product candidates. Our owned and licensed patents and patent applications relate to AV-101 and, in general, human pluripotent stem cell technology.</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currently have no issued patents covering AV-101. We cannot provide any assurances that any of our pending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 for certain inventories.</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2" w:name="page73"/>
    <w:bookmarkEnd w:id="7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41" w:lineRule="exact"/>
        <w:rPr>
          <w:sz w:val="20"/>
          <w:szCs w:val="20"/>
          <w:color w:val="auto"/>
        </w:rPr>
      </w:pPr>
    </w:p>
    <w:p>
      <w:pPr>
        <w:ind w:left="500" w:hanging="334"/>
        <w:spacing w:after="0" w:line="262"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w:t>
      </w:r>
    </w:p>
    <w:p>
      <w:pPr>
        <w:spacing w:after="0" w:line="206" w:lineRule="exact"/>
        <w:rPr>
          <w:rFonts w:ascii="Arial" w:cs="Arial" w:eastAsia="Arial" w:hAnsi="Arial"/>
          <w:sz w:val="18"/>
          <w:szCs w:val="18"/>
          <w:color w:val="auto"/>
        </w:rPr>
      </w:pPr>
    </w:p>
    <w:p>
      <w:pPr>
        <w:ind w:left="500" w:hanging="334"/>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40" w:lineRule="exact"/>
        <w:rPr>
          <w:rFonts w:ascii="Arial" w:cs="Arial" w:eastAsia="Arial" w:hAnsi="Arial"/>
          <w:sz w:val="18"/>
          <w:szCs w:val="18"/>
          <w:color w:val="auto"/>
        </w:rPr>
      </w:pPr>
    </w:p>
    <w:p>
      <w:pPr>
        <w:ind w:left="500" w:hanging="334"/>
        <w:spacing w:after="0" w:line="262"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206" w:lineRule="exact"/>
        <w:rPr>
          <w:rFonts w:ascii="Arial" w:cs="Arial" w:eastAsia="Arial" w:hAnsi="Arial"/>
          <w:sz w:val="18"/>
          <w:szCs w:val="18"/>
          <w:color w:val="auto"/>
        </w:rPr>
      </w:pPr>
    </w:p>
    <w:p>
      <w:pPr>
        <w:ind w:left="500" w:hanging="334"/>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20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3" w:name="page74"/>
    <w:bookmarkEnd w:id="7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which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our product candidates.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221" w:lineRule="exact"/>
        <w:rPr>
          <w:sz w:val="20"/>
          <w:szCs w:val="20"/>
          <w:color w:val="auto"/>
        </w:rPr>
      </w:pPr>
    </w:p>
    <w:p>
      <w:pPr>
        <w:ind w:left="500" w:hanging="334"/>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263" w:lineRule="exact"/>
        <w:rPr>
          <w:rFonts w:ascii="Arial" w:cs="Arial" w:eastAsia="Arial" w:hAnsi="Arial"/>
          <w:sz w:val="16"/>
          <w:szCs w:val="16"/>
          <w:color w:val="auto"/>
        </w:rPr>
      </w:pPr>
    </w:p>
    <w:p>
      <w:pPr>
        <w:ind w:left="500" w:hanging="334"/>
        <w:spacing w:after="0" w:line="262"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17"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time-consuming and unsuccessful.</w:t>
      </w: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“Business—Licenses” for a description of our license agreements, which includes a description of the termination provisions of these agreements.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6" w:name="page77"/>
    <w:bookmarkEnd w:id="7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207" w:lineRule="exact"/>
        <w:rPr>
          <w:sz w:val="20"/>
          <w:szCs w:val="20"/>
          <w:color w:val="auto"/>
        </w:rPr>
      </w:pPr>
    </w:p>
    <w:p>
      <w:pPr>
        <w:ind w:left="500" w:hanging="334"/>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whether and the extent to which our technology and processes infringe on intellectual property of the licensor that is not subject to the licensing agreement;</w:t>
      </w:r>
    </w:p>
    <w:p>
      <w:pPr>
        <w:spacing w:after="0" w:line="275" w:lineRule="exact"/>
        <w:rPr>
          <w:rFonts w:ascii="Arial" w:cs="Arial" w:eastAsia="Arial" w:hAnsi="Arial"/>
          <w:sz w:val="15"/>
          <w:szCs w:val="15"/>
          <w:color w:val="auto"/>
        </w:rPr>
      </w:pPr>
    </w:p>
    <w:p>
      <w:pPr>
        <w:ind w:left="500" w:hanging="334"/>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40" w:lineRule="exact"/>
        <w:rPr>
          <w:rFonts w:ascii="Arial" w:cs="Arial" w:eastAsia="Arial" w:hAnsi="Arial"/>
          <w:sz w:val="18"/>
          <w:szCs w:val="18"/>
          <w:color w:val="auto"/>
        </w:rPr>
      </w:pPr>
    </w:p>
    <w:p>
      <w:pPr>
        <w:ind w:left="500" w:hanging="334"/>
        <w:spacing w:after="0" w:line="262"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206" w:lineRule="exact"/>
        <w:rPr>
          <w:rFonts w:ascii="Arial" w:cs="Arial" w:eastAsia="Arial" w:hAnsi="Arial"/>
          <w:sz w:val="18"/>
          <w:szCs w:val="18"/>
          <w:color w:val="auto"/>
        </w:rPr>
      </w:pPr>
    </w:p>
    <w:p>
      <w:pPr>
        <w:ind w:left="500" w:hanging="334"/>
        <w:spacing w:after="0"/>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jc w:val="both"/>
        <w:spacing w:after="0" w:line="279" w:lineRule="auto"/>
        <w:rPr>
          <w:sz w:val="20"/>
          <w:szCs w:val="20"/>
          <w:color w:val="auto"/>
        </w:rPr>
      </w:pPr>
      <w:r>
        <w:rPr>
          <w:rFonts w:ascii="Arial" w:cs="Arial" w:eastAsia="Arial" w:hAnsi="Arial"/>
          <w:sz w:val="16"/>
          <w:szCs w:val="16"/>
          <w:color w:val="auto"/>
        </w:rPr>
        <w:t>We have entered into several licenses to support our various programs. We may enter into additional license(s) to third-party intellectual property that are necessary or useful to our business. Our current licenses and any future licenses that we may enter into impose various royalty payment,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0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4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8" w:name="page79"/>
    <w:bookmarkEnd w:id="7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However, on March 4, 2014, the U.S. 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w:t>
      </w:r>
    </w:p>
    <w:p>
      <w:pPr>
        <w:spacing w:after="0" w:line="19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 PTO, the laws and regulations governing patents could change in unpredictable ways that would weaken our ability to obtain new patents or to enforce any patents that may issue in the future.</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Although we are not aware of any claims currently pending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217" w:lineRule="exact"/>
        <w:rPr>
          <w:sz w:val="20"/>
          <w:szCs w:val="20"/>
          <w:color w:val="auto"/>
        </w:rPr>
      </w:pPr>
    </w:p>
    <w:p>
      <w:pPr>
        <w:ind w:left="500" w:hanging="334"/>
        <w:spacing w:after="0" w:line="262"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206" w:lineRule="exact"/>
        <w:rPr>
          <w:rFonts w:ascii="Arial" w:cs="Arial" w:eastAsia="Arial" w:hAnsi="Arial"/>
          <w:sz w:val="18"/>
          <w:szCs w:val="18"/>
          <w:color w:val="auto"/>
        </w:rPr>
      </w:pPr>
    </w:p>
    <w:p>
      <w:pPr>
        <w:ind w:left="500" w:hanging="334"/>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40" w:lineRule="exact"/>
        <w:rPr>
          <w:rFonts w:ascii="Arial" w:cs="Arial" w:eastAsia="Arial" w:hAnsi="Arial"/>
          <w:sz w:val="18"/>
          <w:szCs w:val="18"/>
          <w:color w:val="auto"/>
        </w:rPr>
      </w:pPr>
    </w:p>
    <w:p>
      <w:pPr>
        <w:ind w:left="500" w:hanging="334"/>
        <w:spacing w:after="0" w:line="262"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206" w:lineRule="exact"/>
        <w:rPr>
          <w:rFonts w:ascii="Arial" w:cs="Arial" w:eastAsia="Arial" w:hAnsi="Arial"/>
          <w:sz w:val="18"/>
          <w:szCs w:val="18"/>
          <w:color w:val="auto"/>
        </w:rPr>
      </w:pPr>
    </w:p>
    <w:p>
      <w:pPr>
        <w:ind w:left="500" w:hanging="334"/>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9" w:name="page80"/>
    <w:bookmarkEnd w:id="7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ind w:left="500" w:hanging="334"/>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w:t>
      </w:r>
    </w:p>
    <w:p>
      <w:pPr>
        <w:spacing w:after="0" w:line="240" w:lineRule="exact"/>
        <w:rPr>
          <w:rFonts w:ascii="Arial" w:cs="Arial" w:eastAsia="Arial" w:hAnsi="Arial"/>
          <w:sz w:val="18"/>
          <w:szCs w:val="18"/>
          <w:color w:val="auto"/>
        </w:rPr>
      </w:pPr>
    </w:p>
    <w:p>
      <w:pPr>
        <w:ind w:left="500" w:hanging="334"/>
        <w:spacing w:after="0" w:line="262"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over that intellectual property;</w:t>
      </w:r>
    </w:p>
    <w:p>
      <w:pPr>
        <w:spacing w:after="0" w:line="206" w:lineRule="exact"/>
        <w:rPr>
          <w:rFonts w:ascii="Arial" w:cs="Arial" w:eastAsia="Arial" w:hAnsi="Arial"/>
          <w:sz w:val="18"/>
          <w:szCs w:val="18"/>
          <w:color w:val="auto"/>
        </w:rPr>
      </w:pPr>
    </w:p>
    <w:p>
      <w:pPr>
        <w:ind w:left="500" w:hanging="334"/>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240" w:lineRule="exact"/>
        <w:rPr>
          <w:rFonts w:ascii="Arial" w:cs="Arial" w:eastAsia="Arial" w:hAnsi="Arial"/>
          <w:sz w:val="18"/>
          <w:szCs w:val="18"/>
          <w:color w:val="auto"/>
        </w:rPr>
      </w:pPr>
    </w:p>
    <w:p>
      <w:pPr>
        <w:ind w:left="500" w:hanging="334"/>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1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NCEs we may produce or develop in connection with any such third-party licenses.</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Since we became a publicly-traded company in May 2011, there has been a limited public market for shares of our common stock on the OTC Markets (</w:t>
      </w:r>
      <w:r>
        <w:rPr>
          <w:rFonts w:ascii="Arial" w:cs="Arial" w:eastAsia="Arial" w:hAnsi="Arial"/>
          <w:sz w:val="16"/>
          <w:szCs w:val="16"/>
          <w:i w:val="1"/>
          <w:iCs w:val="1"/>
          <w:color w:val="auto"/>
        </w:rPr>
        <w:t>OTCQB</w:t>
      </w:r>
      <w:r>
        <w:rPr>
          <w:rFonts w:ascii="Arial" w:cs="Arial" w:eastAsia="Arial" w:hAnsi="Arial"/>
          <w:sz w:val="16"/>
          <w:szCs w:val="16"/>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 Markets, another over-the-counter quotation system, or in the “pink sheets.” In those venues,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cannot predict the extent to which investor interest in our company will lead to the development of a more active trading market on the OTC Markets, whether we will meet the initial listing standards of the New York Stock Exchange, the NASDAQ Capital Market, or other similar national securities exchanges, or how liquid that market might become. If an active trading market does not develop, you may have difficulty selling any of the shares of our common stock that you buy.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80" w:lineRule="exact"/>
        <w:rPr>
          <w:sz w:val="20"/>
          <w:szCs w:val="20"/>
          <w:color w:val="auto"/>
        </w:rPr>
      </w:pPr>
    </w:p>
    <w:p>
      <w:pPr>
        <w:ind w:left="460" w:hanging="308"/>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studies and clinical trials of our product candidates;</w:t>
      </w:r>
    </w:p>
    <w:p>
      <w:pPr>
        <w:spacing w:after="0" w:line="214" w:lineRule="exact"/>
        <w:rPr>
          <w:rFonts w:ascii="Arial" w:cs="Arial" w:eastAsia="Arial" w:hAnsi="Arial"/>
          <w:sz w:val="18"/>
          <w:szCs w:val="18"/>
          <w:color w:val="auto"/>
        </w:rPr>
      </w:pPr>
    </w:p>
    <w:p>
      <w:pPr>
        <w:ind w:left="460" w:hanging="308"/>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14" w:lineRule="exact"/>
        <w:rPr>
          <w:rFonts w:ascii="Arial" w:cs="Arial" w:eastAsia="Arial" w:hAnsi="Arial"/>
          <w:sz w:val="18"/>
          <w:szCs w:val="18"/>
          <w:color w:val="auto"/>
        </w:rPr>
      </w:pPr>
    </w:p>
    <w:p>
      <w:pPr>
        <w:ind w:left="460" w:hanging="308"/>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14" w:lineRule="exact"/>
        <w:rPr>
          <w:rFonts w:ascii="Arial" w:cs="Arial" w:eastAsia="Arial" w:hAnsi="Arial"/>
          <w:sz w:val="18"/>
          <w:szCs w:val="18"/>
          <w:color w:val="auto"/>
        </w:rPr>
      </w:pPr>
    </w:p>
    <w:p>
      <w:pPr>
        <w:ind w:left="460" w:hanging="308"/>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0" w:name="page81"/>
    <w:bookmarkEnd w:id="8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ind w:left="460" w:hanging="30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14" w:lineRule="exact"/>
        <w:rPr>
          <w:rFonts w:ascii="Arial" w:cs="Arial" w:eastAsia="Arial" w:hAnsi="Arial"/>
          <w:sz w:val="18"/>
          <w:szCs w:val="18"/>
          <w:color w:val="auto"/>
        </w:rPr>
      </w:pPr>
    </w:p>
    <w:p>
      <w:pPr>
        <w:ind w:left="460" w:hanging="30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14" w:lineRule="exact"/>
        <w:rPr>
          <w:rFonts w:ascii="Arial" w:cs="Arial" w:eastAsia="Arial" w:hAnsi="Arial"/>
          <w:sz w:val="18"/>
          <w:szCs w:val="18"/>
          <w:color w:val="auto"/>
        </w:rPr>
      </w:pPr>
    </w:p>
    <w:p>
      <w:pPr>
        <w:ind w:left="460" w:hanging="30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14" w:lineRule="exact"/>
        <w:rPr>
          <w:rFonts w:ascii="Arial" w:cs="Arial" w:eastAsia="Arial" w:hAnsi="Arial"/>
          <w:sz w:val="18"/>
          <w:szCs w:val="18"/>
          <w:color w:val="auto"/>
        </w:rPr>
      </w:pPr>
    </w:p>
    <w:p>
      <w:pPr>
        <w:ind w:left="460" w:hanging="30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14" w:lineRule="exact"/>
        <w:rPr>
          <w:rFonts w:ascii="Arial" w:cs="Arial" w:eastAsia="Arial" w:hAnsi="Arial"/>
          <w:sz w:val="18"/>
          <w:szCs w:val="18"/>
          <w:color w:val="auto"/>
        </w:rPr>
      </w:pPr>
    </w:p>
    <w:p>
      <w:pPr>
        <w:ind w:left="460" w:hanging="30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14" w:lineRule="exact"/>
        <w:rPr>
          <w:rFonts w:ascii="Arial" w:cs="Arial" w:eastAsia="Arial" w:hAnsi="Arial"/>
          <w:sz w:val="18"/>
          <w:szCs w:val="18"/>
          <w:color w:val="auto"/>
        </w:rPr>
      </w:pPr>
    </w:p>
    <w:p>
      <w:pPr>
        <w:ind w:left="460" w:hanging="30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14" w:lineRule="exact"/>
        <w:rPr>
          <w:rFonts w:ascii="Arial" w:cs="Arial" w:eastAsia="Arial" w:hAnsi="Arial"/>
          <w:sz w:val="18"/>
          <w:szCs w:val="18"/>
          <w:color w:val="auto"/>
        </w:rPr>
      </w:pPr>
    </w:p>
    <w:p>
      <w:pPr>
        <w:ind w:left="460" w:hanging="30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14" w:lineRule="exact"/>
        <w:rPr>
          <w:rFonts w:ascii="Arial" w:cs="Arial" w:eastAsia="Arial" w:hAnsi="Arial"/>
          <w:sz w:val="18"/>
          <w:szCs w:val="18"/>
          <w:color w:val="auto"/>
        </w:rPr>
      </w:pPr>
    </w:p>
    <w:p>
      <w:pPr>
        <w:ind w:left="460" w:hanging="30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14" w:lineRule="exact"/>
        <w:rPr>
          <w:rFonts w:ascii="Arial" w:cs="Arial" w:eastAsia="Arial" w:hAnsi="Arial"/>
          <w:sz w:val="18"/>
          <w:szCs w:val="18"/>
          <w:color w:val="auto"/>
        </w:rPr>
      </w:pPr>
    </w:p>
    <w:p>
      <w:pPr>
        <w:ind w:left="460" w:hanging="30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14" w:lineRule="exact"/>
        <w:rPr>
          <w:rFonts w:ascii="Arial" w:cs="Arial" w:eastAsia="Arial" w:hAnsi="Arial"/>
          <w:sz w:val="18"/>
          <w:szCs w:val="18"/>
          <w:color w:val="auto"/>
        </w:rPr>
      </w:pPr>
    </w:p>
    <w:p>
      <w:pPr>
        <w:ind w:left="460" w:hanging="30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14" w:lineRule="exact"/>
        <w:rPr>
          <w:rFonts w:ascii="Arial" w:cs="Arial" w:eastAsia="Arial" w:hAnsi="Arial"/>
          <w:sz w:val="18"/>
          <w:szCs w:val="18"/>
          <w:color w:val="auto"/>
        </w:rPr>
      </w:pPr>
    </w:p>
    <w:p>
      <w:pPr>
        <w:ind w:left="460" w:hanging="30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14" w:lineRule="exact"/>
        <w:rPr>
          <w:rFonts w:ascii="Arial" w:cs="Arial" w:eastAsia="Arial" w:hAnsi="Arial"/>
          <w:sz w:val="18"/>
          <w:szCs w:val="18"/>
          <w:color w:val="auto"/>
        </w:rPr>
      </w:pPr>
    </w:p>
    <w:p>
      <w:pPr>
        <w:ind w:left="460" w:hanging="30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24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6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stock market in general, and biotechnology-based companies like ours in particular, has from time to time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report, there has been a limited public market for shares of our common stock on the OTC Markets. Future sales of a substantial number of shares of our common stock in the public market, including shares issued upon the exchange of our Series A Preferred Stock and Series B Preferred Stock, and exercise of outstanding options and warrants for common stock, in the public market, or the perception that these sales might, occur, could significantly reduce the market price for our common stock and impair our ability to raise adequate capital through the sale of equity securities.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1" w:name="page82"/>
    <w:bookmarkEnd w:id="8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Certain of our current institutional stockholders and their respective affiliates own approximately 27% of our outstanding capital stock. Accordingly, these stockholders may continue to exert significant influence over us and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Following approval by our stockholders in October 2011, our Articles of Incorporation permit us to issue up to 10.0 million shares of preferred stock. In October 2011, our Board authorized the issuance of 500,000 shares of Series A Preferred, all of which shares are currently issued and outstanding. In May 2015, our Board authorized the issuance of up to 4.0 million shares of Series B 10% Convertible Preferred stock, of which approximately 2.8 million shares are issued and outstanding.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since we qualify as a smaller reporting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corporate headquarters and laboratories are located at 343 Allerton Avenue, South San Francisco, California 94080, where we occupy approximately 10,900 square feet of office and lab space under a lease expiring on July 31, 2017. We believe that our facilities are suitable and adequate for our current and foreseeable needs.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not a party to any legal proceedings and we are not aware of any claims or actions pending or threatened against us. In the future, we might from time to time become involved in litigation relating to claims arising from our ordinary course of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21, 2011, our common stock began trading on the OTC Marketplace (</w:t>
      </w:r>
      <w:r>
        <w:rPr>
          <w:rFonts w:ascii="Arial" w:cs="Arial" w:eastAsia="Arial" w:hAnsi="Arial"/>
          <w:sz w:val="18"/>
          <w:szCs w:val="18"/>
          <w:i w:val="1"/>
          <w:iCs w:val="1"/>
          <w:color w:val="auto"/>
        </w:rPr>
        <w:t>OTCQB</w:t>
      </w:r>
      <w:r>
        <w:rPr>
          <w:rFonts w:ascii="Arial" w:cs="Arial" w:eastAsia="Arial" w:hAnsi="Arial"/>
          <w:sz w:val="18"/>
          <w:szCs w:val="18"/>
          <w:color w:val="auto"/>
        </w:rPr>
        <w:t>), under the symbol “VSTA”. There was no established trading market for our common stock prior to that date.</w:t>
      </w:r>
    </w:p>
    <w:p>
      <w:pPr>
        <w:spacing w:after="0" w:line="207"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 xml:space="preserve">Shown below is the range of high and low sales prices for our common stock for the periods indicated as reported by the OTCQB. The market quotations reflect inter-dealer prices, without retail mark-up, mark-down or commissions and may not necessarily represent actual transactions. Effective August 14, 2014, we consummated a 1-for-20 reverse split of our authorized, and issued and outstanding shares of common stock (the </w:t>
      </w:r>
      <w:r>
        <w:rPr>
          <w:rFonts w:ascii="Arial" w:cs="Arial" w:eastAsia="Arial" w:hAnsi="Arial"/>
          <w:sz w:val="15"/>
          <w:szCs w:val="15"/>
          <w:i w:val="1"/>
          <w:iCs w:val="1"/>
          <w:color w:val="auto"/>
        </w:rPr>
        <w:t>Stock Consolidation</w:t>
      </w:r>
      <w:r>
        <w:rPr>
          <w:rFonts w:ascii="Arial" w:cs="Arial" w:eastAsia="Arial" w:hAnsi="Arial"/>
          <w:sz w:val="15"/>
          <w:szCs w:val="15"/>
          <w:color w:val="auto"/>
        </w:rPr>
        <w:t>). Each reference to the price per share of common stock in the table below is on a post-Stock Consolidation basis, and reflects the 1-for-20 adjustment as a result of the Stock Consolidation.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4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High</w:t>
            </w:r>
          </w:p>
        </w:tc>
        <w:tc>
          <w:tcPr>
            <w:tcW w:w="15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Low</w:t>
            </w:r>
          </w:p>
        </w:tc>
      </w:tr>
      <w:tr>
        <w:trPr>
          <w:trHeight w:val="217"/>
        </w:trPr>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March 31, 2015</w:t>
            </w:r>
          </w:p>
        </w:tc>
        <w:tc>
          <w:tcPr>
            <w:tcW w:w="15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1"/>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ending June 30, 2014</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$14.80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$5.60</w:t>
            </w:r>
          </w:p>
        </w:tc>
      </w:tr>
      <w:tr>
        <w:trPr>
          <w:trHeight w:val="211"/>
        </w:trPr>
        <w:tc>
          <w:tcPr>
            <w:tcW w:w="8400" w:type="dxa"/>
            <w:vAlign w:val="bottom"/>
          </w:tcPr>
          <w:p>
            <w:pPr>
              <w:spacing w:after="0"/>
              <w:rPr>
                <w:sz w:val="20"/>
                <w:szCs w:val="20"/>
                <w:color w:val="auto"/>
              </w:rPr>
            </w:pPr>
            <w:r>
              <w:rPr>
                <w:rFonts w:ascii="Arial" w:cs="Arial" w:eastAsia="Arial" w:hAnsi="Arial"/>
                <w:sz w:val="18"/>
                <w:szCs w:val="18"/>
                <w:color w:val="auto"/>
              </w:rPr>
              <w:t>Second quarter ending September 30, 2014</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$15.00</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$7.99</w:t>
            </w:r>
          </w:p>
        </w:tc>
      </w:tr>
      <w:tr>
        <w:trPr>
          <w:trHeight w:val="211"/>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ending December 31, 2014</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$10.50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$8.00</w:t>
            </w:r>
          </w:p>
        </w:tc>
      </w:tr>
      <w:tr>
        <w:trPr>
          <w:trHeight w:val="211"/>
        </w:trPr>
        <w:tc>
          <w:tcPr>
            <w:tcW w:w="8400" w:type="dxa"/>
            <w:vAlign w:val="bottom"/>
          </w:tcPr>
          <w:p>
            <w:pPr>
              <w:spacing w:after="0"/>
              <w:rPr>
                <w:sz w:val="20"/>
                <w:szCs w:val="20"/>
                <w:color w:val="auto"/>
              </w:rPr>
            </w:pPr>
            <w:r>
              <w:rPr>
                <w:rFonts w:ascii="Arial" w:cs="Arial" w:eastAsia="Arial" w:hAnsi="Arial"/>
                <w:sz w:val="18"/>
                <w:szCs w:val="18"/>
                <w:color w:val="auto"/>
              </w:rPr>
              <w:t>Fourth quarter ending March 31, 2015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$12.00</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$3.16</w:t>
            </w:r>
          </w:p>
        </w:tc>
      </w:tr>
      <w:tr>
        <w:trPr>
          <w:trHeight w:val="211"/>
        </w:trPr>
        <w:tc>
          <w:tcPr>
            <w:tcW w:w="8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7"/>
        </w:trPr>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March 31, 2014</w:t>
            </w:r>
          </w:p>
        </w:tc>
        <w:tc>
          <w:tcPr>
            <w:tcW w:w="15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1"/>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ending June 30, 2013</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$18.00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$12.00</w:t>
            </w:r>
          </w:p>
        </w:tc>
      </w:tr>
      <w:tr>
        <w:trPr>
          <w:trHeight w:val="211"/>
        </w:trPr>
        <w:tc>
          <w:tcPr>
            <w:tcW w:w="8400" w:type="dxa"/>
            <w:vAlign w:val="bottom"/>
          </w:tcPr>
          <w:p>
            <w:pPr>
              <w:spacing w:after="0"/>
              <w:rPr>
                <w:sz w:val="20"/>
                <w:szCs w:val="20"/>
                <w:color w:val="auto"/>
              </w:rPr>
            </w:pPr>
            <w:r>
              <w:rPr>
                <w:rFonts w:ascii="Arial" w:cs="Arial" w:eastAsia="Arial" w:hAnsi="Arial"/>
                <w:sz w:val="18"/>
                <w:szCs w:val="18"/>
                <w:color w:val="auto"/>
              </w:rPr>
              <w:t>Second quarter ending September 30, 2013</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$17.80</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$11.00</w:t>
            </w:r>
          </w:p>
        </w:tc>
      </w:tr>
      <w:tr>
        <w:trPr>
          <w:trHeight w:val="211"/>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ending December 31, 2013</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$5.20</w:t>
            </w:r>
          </w:p>
        </w:tc>
      </w:tr>
      <w:tr>
        <w:trPr>
          <w:trHeight w:val="222"/>
        </w:trPr>
        <w:tc>
          <w:tcPr>
            <w:tcW w:w="8400" w:type="dxa"/>
            <w:vAlign w:val="bottom"/>
          </w:tcPr>
          <w:p>
            <w:pPr>
              <w:spacing w:after="0"/>
              <w:rPr>
                <w:sz w:val="20"/>
                <w:szCs w:val="20"/>
                <w:color w:val="auto"/>
              </w:rPr>
            </w:pPr>
            <w:r>
              <w:rPr>
                <w:rFonts w:ascii="Arial" w:cs="Arial" w:eastAsia="Arial" w:hAnsi="Arial"/>
                <w:sz w:val="18"/>
                <w:szCs w:val="18"/>
                <w:color w:val="auto"/>
              </w:rPr>
              <w:t>Fourth quarter ending March 31, 2014</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$10.00</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$5.60</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On June 25, 2015 the closing price of our common stock on the OTCQB was $16.00 per share.</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June 25, 2015, we had 1,594,461 shares of common stock outstanding and approximately 300 stockholders of record. On the same date, one stockholder held all 500,000 outstanding restricted shares of our Series A Preferred Stock, which shares are convertible into 750,000 shares of common stock, and 47 stockholders held 2,840,578 outstanding shares of Series B 10% Convertible Preferred Stock, which shares are convertible into 2,840,578 shares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never paid or declared any cash dividends on our common stock, and we do not anticipate paying any cash dividends on our common stock in the foreseeable future. Covenants in certain of our debt agreements prohibit us from paying dividends while the debt remains outstanding. Our Series B Preferred accrues dividends at a rate of 10% per annum, which dividends are payable solely in unregistered shares of our common stock at the time the Series B Preferred is converted into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years preceding the date of this report, we issued the following securities in private placement transactions which were not registered under the Securities Act of 1933, as amended (</w:t>
      </w:r>
      <w:r>
        <w:rPr>
          <w:rFonts w:ascii="Arial" w:cs="Arial" w:eastAsia="Arial" w:hAnsi="Arial"/>
          <w:sz w:val="18"/>
          <w:szCs w:val="18"/>
          <w:i w:val="1"/>
          <w:iCs w:val="1"/>
          <w:color w:val="auto"/>
        </w:rPr>
        <w:t>Securities Act</w:t>
      </w:r>
      <w:r>
        <w:rPr>
          <w:rFonts w:ascii="Arial" w:cs="Arial" w:eastAsia="Arial" w:hAnsi="Arial"/>
          <w:sz w:val="18"/>
          <w:szCs w:val="18"/>
          <w:color w:val="auto"/>
        </w:rPr>
        <w:t>) and that have not been previously reported in a Quarterly Report on Form 10-Q or a Current Report on Form 8-K:</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3" w:name="page84"/>
    <w:bookmarkEnd w:id="8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Unit Private Placement</w:t>
      </w:r>
    </w:p>
    <w:p>
      <w:pPr>
        <w:spacing w:after="0" w:line="24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Between March 10, 2015 and May 14, 2015, we entered into securities purchase agreements with accredited investors pursuant to which we sold Units consisting of an aggregate of (i) a 10% convertible note in the face amount of $530,000 maturing between March 31, 2015 and May 15, 2015 (</w:t>
      </w:r>
      <w:r>
        <w:rPr>
          <w:rFonts w:ascii="Arial" w:cs="Arial" w:eastAsia="Arial" w:hAnsi="Arial"/>
          <w:sz w:val="16"/>
          <w:szCs w:val="16"/>
          <w:i w:val="1"/>
          <w:iCs w:val="1"/>
          <w:color w:val="auto"/>
        </w:rPr>
        <w:t>2014 Unit Note</w:t>
      </w:r>
      <w:r>
        <w:rPr>
          <w:rFonts w:ascii="Arial" w:cs="Arial" w:eastAsia="Arial" w:hAnsi="Arial"/>
          <w:sz w:val="16"/>
          <w:szCs w:val="16"/>
          <w:color w:val="auto"/>
        </w:rPr>
        <w:t>); (ii) 59,250 shares of our restricted common stock; and (iii) warrants exercisable through December 31, 2016 to purchase 50,500 shares of our restricted common stock at an exercise price of $10.00 per share (</w:t>
      </w:r>
      <w:r>
        <w:rPr>
          <w:rFonts w:ascii="Arial" w:cs="Arial" w:eastAsia="Arial" w:hAnsi="Arial"/>
          <w:sz w:val="16"/>
          <w:szCs w:val="16"/>
          <w:i w:val="1"/>
          <w:iCs w:val="1"/>
          <w:color w:val="auto"/>
        </w:rPr>
        <w:t>Unit Warrant</w:t>
      </w:r>
      <w:r>
        <w:rPr>
          <w:rFonts w:ascii="Arial" w:cs="Arial" w:eastAsia="Arial" w:hAnsi="Arial"/>
          <w:sz w:val="16"/>
          <w:szCs w:val="16"/>
          <w:color w:val="auto"/>
        </w:rPr>
        <w:t>). We received cash proceeds of $530,000 which we used for general corporate purposes. The Unit Note and related accrued interest are convertible into shares of our restricted common stock at a conversion price of $10.00 per share at or prior to maturity at the option of the investor. The Units were offered and sold in a transaction exempt from registration under the Securities Act, in reliance on Section 4(2) thereof and Rule 506 of Regulation D thereunder.</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Between May 26, 2015 and June 25, 2015, we sold to accredited investors and institutions an aggregate of $557,500 of units in our Series B Preferred Unit offering, which units consist of Series B Preferred and Series B Warrants (together </w:t>
      </w:r>
      <w:r>
        <w:rPr>
          <w:rFonts w:ascii="Arial" w:cs="Arial" w:eastAsia="Arial" w:hAnsi="Arial"/>
          <w:sz w:val="18"/>
          <w:szCs w:val="18"/>
          <w:i w:val="1"/>
          <w:iCs w:val="1"/>
          <w:color w:val="auto"/>
        </w:rPr>
        <w:t>Series B Preferred Units</w:t>
      </w:r>
      <w:r>
        <w:rPr>
          <w:rFonts w:ascii="Arial" w:cs="Arial" w:eastAsia="Arial" w:hAnsi="Arial"/>
          <w:sz w:val="18"/>
          <w:szCs w:val="18"/>
          <w:color w:val="auto"/>
        </w:rPr>
        <w:t>), including $100,000 from Platinum. We issued 79,646 shares of Series B Preferred and Series B warrants to purchase 79,646 shares of our common stock. We have received an aggregate of $557,500 in cash proceeds from the sale of the Series B Preferred Units. The Units were offered and sold in a transaction exempt from registration under the Securities Act, in reliance on Section 4(2) thereof and Rule 506 of Regulation D thereunder.</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Between June 18, 2015 and June 25, 2015, two professional service providers holding outstanding promissory notes and unpaid trade receivables from us agreed to convert such debt obligations in the aggregate amount of approximately $564,600 into an aggregate of 80,659 shares of our Series B Preferred. We entered into Securities Purchase Agreements in the form attached to our Current Report on Form 8-K filed on May 13, 2015 (</w:t>
      </w:r>
      <w:r>
        <w:rPr>
          <w:rFonts w:ascii="Arial" w:cs="Arial" w:eastAsia="Arial" w:hAnsi="Arial"/>
          <w:sz w:val="16"/>
          <w:szCs w:val="16"/>
          <w:i w:val="1"/>
          <w:iCs w:val="1"/>
          <w:color w:val="auto"/>
        </w:rPr>
        <w:t>Securities Purchase Agreement</w:t>
      </w:r>
      <w:r>
        <w:rPr>
          <w:rFonts w:ascii="Arial" w:cs="Arial" w:eastAsia="Arial" w:hAnsi="Arial"/>
          <w:sz w:val="16"/>
          <w:szCs w:val="16"/>
          <w:color w:val="auto"/>
        </w:rPr>
        <w:t>) with these providers. The shares of Series B Preferred issued pursuant to the Securities Purchase Agreement were offered and sold in transactions exempt from registration under the Securities Act of 1933, as amended, in reliance on 3(a)(9) thereof and Rule 506 of Regulation D thereunder. Each recipient of shares of Series B Preferred represented that it is an "accredited investor" as defined in Regulation 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Issued for Professional Services</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4, 2015, we issued to an accredited investor 25,000 restricted shares of our common stock as compensation for consulting services. Similarly, on March 31, 2015, we issued to an accredited investor 16,667 restricted shares of our common stock in payment of an outstanding balance for professional services. On June 16, 2015, we issued 25,000 restricted shares of our common stock each to two accredited investors as compensation for consulting services. The securities were issued in private placement transactions exempt from registration under the Securities Act, in reliance on Section 4(2) thereof and Rule 506 of Regulation D thereunder.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6. Selected Financial Data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since we qualify as a smaller reporting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This Annual Report on Form 10-K includes forward-looking statements. All statements contained in this Annual Report on Form 10-K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this Annual Report on Form 10-K.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4" w:name="page85"/>
    <w:bookmarkEnd w:id="8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Annual Report on Form 10-K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clinical-stage biopharmaceutical company committed to developing and commercializing product candidates for patients with depression, other diseases and disorders related to the central nervous system (CNS), and cancer.</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lead product candidate, AV-101, is an orally-active small molecule prodrug in Phase 2 development for Major Depressive Disorder (MDD). AV-101’s mechanism of action (MOA), as an N-methyl-D-aspartate receptor (NMDAR) antagonist binding selectively at the glycine-binding (GlyB) co-agonist site of the NMDAR, is fundamentally different from all currently-approved antidepressants. In three preclinical studies utilizing well-validated animal models of depression, AV-101 was shown to induce fast-acting, dose-dependent, persistent and statistically significant antidepressant-like responses, following a single treatment, which was equivalent to the response seen with a single sub-anesthetic does of ketamine. In the same studies, fluoxetine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6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Following our two successful randomized, double-blind, placebo-controlled Phase 1 safety studies funded by the U.S. National Institutes of Health (NIH), AV-101 is the only small molecule product candidate known to management that is (A) in Phase 2 clinical development as a monotherapy for MDD, (B) designed to modulate the NMDAR through antagonistic binding at the GlyB co-agonist site of the NMDAR and (C) orally-active in human subjects.</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February 2015, we entered a Cooperative Research and Development Agreement (CRADA) with the U.S. National Institute of Mental Health (NIMH), part of the NIH. Under this agreement, we will collaborate with the NIH on a Phase 2 clinical study of AV-101 in subjects with treatment resistant Major Depressive Disorder. Pursuant to the CRADA, this study will be conducted and fully-funded by the NIMH. It is contemplated that this clinical study will begin this year under the direction of Dr. Carlos Zarate, Jr., the NIMH’s Chief of Experimental Therapeutics &amp; Pathophysiology Branch and of the Section on Neurobiology and Treatment of Mood and Anxiety Disorders.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In addition to developing AV-101 for MDD and other CNS indications, we are using our stem cell technology platform for drug rescue –to identify and develop proprietary new chemical entities (NCEs) for our internal drug candidate pipeline by leveraging our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bioassay systems, prior investment by pharmaceutics companies and others to discover, optimize and test for efficacy NCEs terminated before FDA approval due to unexpected toxicity and medicinal chemistry. Our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bioassay system uses our human pluripotent stem cell (hPSC)-derived cardiomyocytes, or heart cells., Our</w:t>
      </w:r>
      <w:r>
        <w:rPr>
          <w:rFonts w:ascii="Arial" w:cs="Arial" w:eastAsia="Arial" w:hAnsi="Arial"/>
          <w:sz w:val="16"/>
          <w:szCs w:val="16"/>
          <w:i w:val="1"/>
          <w:iCs w:val="1"/>
          <w:color w:val="auto"/>
        </w:rPr>
        <w:t xml:space="preserve"> LiverSafe </w:t>
      </w:r>
      <w:r>
        <w:rPr>
          <w:rFonts w:ascii="Arial" w:cs="Arial" w:eastAsia="Arial" w:hAnsi="Arial"/>
          <w:sz w:val="16"/>
          <w:szCs w:val="16"/>
          <w:color w:val="auto"/>
        </w:rPr>
        <w:t>3D™bioassay system uses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stem cell-derived hepatocytes, or liver cells. We believe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offer a new paradigm for evaluating and predicting potential heart and liver toxicity of NCEs, including potential drug rescue NCEs, early in development, long before costly, high risk animal studies and human clinical trials. We intend to develop each optimized drug rescue NCE internally to establish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proof-of-concept (POC), as to both efficacy and safety, using both established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as well as in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when available,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5" w:name="page86"/>
    <w:bookmarkEnd w:id="8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VistaGen Therapeutics, Inc., a California corporation incorporated on May 26, 1998 (</w:t>
      </w:r>
      <w:r>
        <w:rPr>
          <w:rFonts w:ascii="Arial" w:cs="Arial" w:eastAsia="Arial" w:hAnsi="Arial"/>
          <w:sz w:val="18"/>
          <w:szCs w:val="18"/>
          <w:i w:val="1"/>
          <w:iCs w:val="1"/>
          <w:color w:val="auto"/>
        </w:rPr>
        <w:t>VistaGen California</w:t>
      </w:r>
      <w:r>
        <w:rPr>
          <w:rFonts w:ascii="Arial" w:cs="Arial" w:eastAsia="Arial" w:hAnsi="Arial"/>
          <w:sz w:val="18"/>
          <w:szCs w:val="18"/>
          <w:color w:val="auto"/>
        </w:rPr>
        <w:t>), is our wholly-owned subsidiary. Excaliber Enterprises, Ltd. (</w:t>
      </w:r>
      <w:r>
        <w:rPr>
          <w:rFonts w:ascii="Arial" w:cs="Arial" w:eastAsia="Arial" w:hAnsi="Arial"/>
          <w:sz w:val="18"/>
          <w:szCs w:val="18"/>
          <w:i w:val="1"/>
          <w:iCs w:val="1"/>
          <w:color w:val="auto"/>
        </w:rPr>
        <w:t>Excaliber</w:t>
      </w:r>
      <w:r>
        <w:rPr>
          <w:rFonts w:ascii="Arial" w:cs="Arial" w:eastAsia="Arial" w:hAnsi="Arial"/>
          <w:sz w:val="18"/>
          <w:szCs w:val="18"/>
          <w:color w:val="auto"/>
        </w:rPr>
        <w:t xml:space="preserve">), a publicly-held company (formerly OTCBB: EXCA) was incorporated under the laws of the State of Nevada on October 6, 2005. Pursuant to a strategic merger transaction on May 11, 2011, Excaliber acquired all outstanding shares of VistaGen California in exchange for 341,823 shares of our common stock and assumed all of VistaGen California’s pre-Merger obligations (the </w:t>
      </w:r>
      <w:r>
        <w:rPr>
          <w:rFonts w:ascii="Arial" w:cs="Arial" w:eastAsia="Arial" w:hAnsi="Arial"/>
          <w:sz w:val="18"/>
          <w:szCs w:val="18"/>
          <w:i w:val="1"/>
          <w:iCs w:val="1"/>
          <w:color w:val="auto"/>
        </w:rPr>
        <w:t>Merger</w:t>
      </w:r>
      <w:r>
        <w:rPr>
          <w:rFonts w:ascii="Arial" w:cs="Arial" w:eastAsia="Arial" w:hAnsi="Arial"/>
          <w:sz w:val="18"/>
          <w:szCs w:val="18"/>
          <w:color w:val="auto"/>
        </w:rPr>
        <w:t>). Shortly after the Merger, Excaliber’s name was changed to “VistaGen Therapeutics, Inc.” (a Nevada corporation).</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and effected for a post-Merger two-for-one (2:1) stock split, have been reflected as outstanding for all periods presented in the Consolidated Financial Statements of the Company included in Item 8 of this Annual Report on Form 10-K. Additionally, the Consolidated Balance Sheets reflect the $0.001 par value of Excaliber’s common stock.</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Consolidated Financial Statements included in Item 8 of this Annual Report on Form 10-K represent the activity of VistaGen California from May 26, 1998, and the consolidated activity of VistaGen California and Excaliber (now VistaGen Therapeutics, Inc., a Nevada corporation), from May 11, 2011 (the date of the Merger). The Consolidated Financial Statements also include the accounts of VistaGen California’s two inactive wholly-owned subsidiaries, Artemis Neuroscience, Inc., a Maryland corporation (</w:t>
      </w:r>
      <w:r>
        <w:rPr>
          <w:rFonts w:ascii="Arial" w:cs="Arial" w:eastAsia="Arial" w:hAnsi="Arial"/>
          <w:sz w:val="18"/>
          <w:szCs w:val="18"/>
          <w:i w:val="1"/>
          <w:iCs w:val="1"/>
          <w:color w:val="auto"/>
        </w:rPr>
        <w:t>Artemis</w:t>
      </w:r>
      <w:r>
        <w:rPr>
          <w:rFonts w:ascii="Arial" w:cs="Arial" w:eastAsia="Arial" w:hAnsi="Arial"/>
          <w:sz w:val="18"/>
          <w:szCs w:val="18"/>
          <w:color w:val="auto"/>
        </w:rPr>
        <w:t>), and VistaStem Canada, Inc., a corporation organized under the laws of Ontario, Canada (</w:t>
      </w:r>
      <w:r>
        <w:rPr>
          <w:rFonts w:ascii="Arial" w:cs="Arial" w:eastAsia="Arial" w:hAnsi="Arial"/>
          <w:sz w:val="18"/>
          <w:szCs w:val="18"/>
          <w:i w:val="1"/>
          <w:iCs w:val="1"/>
          <w:color w:val="auto"/>
        </w:rPr>
        <w:t>VistaStem</w:t>
      </w:r>
      <w:r>
        <w:rPr>
          <w:rFonts w:ascii="Arial" w:cs="Arial" w:eastAsia="Arial" w:hAnsi="Arial"/>
          <w:sz w:val="18"/>
          <w:szCs w:val="18"/>
          <w:color w:val="auto"/>
        </w:rPr>
        <w:t xml:space="preserve"> </w:t>
      </w:r>
      <w:r>
        <w:rPr>
          <w:rFonts w:ascii="Arial" w:cs="Arial" w:eastAsia="Arial" w:hAnsi="Arial"/>
          <w:sz w:val="18"/>
          <w:szCs w:val="18"/>
          <w:i w:val="1"/>
          <w:iCs w:val="1"/>
          <w:color w:val="auto"/>
        </w:rPr>
        <w:t>Canada</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We have not yet achieved revenue-generating status from any of our potential products. Since inception, we have devoted substantially all of our time and efforts to development of AV-101 through its Phase I clinical trial and to hPSC research and bioassay development, small molecule drug development, and creating, protecting and patenting intellectual property in support of our drug rescue model, with the corollary initiatives of recruiting personnel and raising working capital. As of March 31, 2015, we had an accumulated deficit of approximately $84.5 million. Our net loss for the years ended March 31, 2015 and 2014 was $13.9 million and $3.0 million, respectively. We expect such losses to continue for the foreseeable future as we engage in Phase 2 clinical trials of AV-101 and its further development and expand our drug rescue activities and the capabilities of our </w:t>
      </w:r>
      <w:r>
        <w:rPr>
          <w:rFonts w:ascii="Arial" w:cs="Arial" w:eastAsia="Arial" w:hAnsi="Arial"/>
          <w:sz w:val="16"/>
          <w:szCs w:val="16"/>
          <w:i w:val="1"/>
          <w:iCs w:val="1"/>
          <w:color w:val="auto"/>
        </w:rPr>
        <w:t>Human Clinical Trials in a Test Tube</w:t>
      </w:r>
      <w:r>
        <w:rPr>
          <w:rFonts w:ascii="Arial" w:cs="Arial" w:eastAsia="Arial" w:hAnsi="Arial"/>
          <w:sz w:val="16"/>
          <w:szCs w:val="16"/>
          <w:color w:val="auto"/>
        </w:rPr>
        <w:t>™ platform.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Fiscal Year 2015</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Throughout our fiscal years ended March 31, 2015 and 2014, with very limited resources, our scientific personnel have successfully continued to expand the drug rescue capabilities of our novel, customized bioassay systems,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and advance our internal review and assessment in </w:t>
      </w:r>
      <w:r>
        <w:rPr>
          <w:rFonts w:ascii="Arial" w:cs="Arial" w:eastAsia="Arial" w:hAnsi="Arial"/>
          <w:sz w:val="18"/>
          <w:szCs w:val="18"/>
          <w:i w:val="1"/>
          <w:iCs w:val="1"/>
          <w:color w:val="auto"/>
        </w:rPr>
        <w:t xml:space="preserve">CardioSafe </w:t>
      </w:r>
      <w:r>
        <w:rPr>
          <w:rFonts w:ascii="Arial" w:cs="Arial" w:eastAsia="Arial" w:hAnsi="Arial"/>
          <w:sz w:val="18"/>
          <w:szCs w:val="18"/>
          <w:color w:val="auto"/>
        </w:rPr>
        <w:t>3D of multiple prospective</w:t>
      </w:r>
      <w:r>
        <w:rPr>
          <w:rFonts w:ascii="Arial" w:cs="Arial" w:eastAsia="Arial" w:hAnsi="Arial"/>
          <w:sz w:val="18"/>
          <w:szCs w:val="18"/>
          <w:i w:val="1"/>
          <w:iCs w:val="1"/>
          <w:color w:val="auto"/>
        </w:rPr>
        <w:t xml:space="preserve"> Drug Rescue Candidates</w:t>
      </w:r>
      <w:r>
        <w:rPr>
          <w:rFonts w:ascii="Arial" w:cs="Arial" w:eastAsia="Arial" w:hAnsi="Arial"/>
          <w:sz w:val="18"/>
          <w:szCs w:val="18"/>
          <w:color w:val="auto"/>
        </w:rPr>
        <w:t>. Additionally, as indicated previously, we have entered into a Cooperative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Agreement with the NIH providing for an NIMH-sponsored Phase 2 clinical study of AV-101 in Major Depressive Disorder that we expect to be launched shortly.</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Throughout both fiscal 2015 and 2014, our executive management has been significantly focused on providing sufficient operating capital to continue to advance our AV-101 initiatives, and drug development and research objectives while meeting our continuing operational needs.</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meet our working capital needs during fiscal 2015, between late-March 2014 and March 31, 2015, we entered into securities purchase agreements with accredited investors and institutions pursuant to which we sold units to such accredited investors, in private placement transactions, for aggregate cash proceeds of $3,113,500, consisting of (i) convertible promissory notes in the aggregate face amount of $3,113,500 which matured between March 31, 2015 and April 30, 2015, or were automatically convertible into securities we might issue upon the consummation of a Qualified Financing, as defined, (ii) an aggregate of 282,850 restricted shares of our common stock; and (iii) warrants exercisable through December 31, 2016 to purchase an aggregate of 282,850 restricted shares of our common stock at an exercise price of $10.00 per share. Through May 2015, we sold an additional $280,000 of such units to accredited investors in private placement transactions.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6" w:name="page87"/>
    <w:bookmarkEnd w:id="8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Given our working capital constraints during fiscal 2015 and the latter portion of fiscal 2014, we attempted to minimize cash commitments and expenditures for both internal and external research and development and general and administrative services to the greatest extent possible. As a consequence, during our fiscal year ended March 31, 2015, Shawn Singh, our CEO, voluntarily elected to receive cash compensation equal to only 24% of his contractual salary. In addition, during fiscal 2015 each of Ralph Snodgrass, PhD, our President and CSO, and Jerrold Dotson, our CFO, voluntarily elected to receive only 52% and 62% of his contractual salary, respectively. Such unpaid compensation has been accrued for accounting purposes, but remains unpaid at the date of this Annual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fiscal years ended March 31, 2015 and 2014 (amounts in $000):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Fiscal Years Ended March 31,</w:t>
            </w:r>
          </w:p>
        </w:tc>
      </w:tr>
      <w:tr>
        <w:trPr>
          <w:trHeight w:val="217"/>
        </w:trPr>
        <w:tc>
          <w:tcPr>
            <w:tcW w:w="56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11"/>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5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2,433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r>
      <w:tr>
        <w:trPr>
          <w:trHeight w:val="211"/>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w:t>
            </w:r>
          </w:p>
        </w:tc>
      </w:tr>
      <w:tr>
        <w:trPr>
          <w:trHeight w:val="26"/>
        </w:trPr>
        <w:tc>
          <w:tcPr>
            <w:tcW w:w="56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562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6,777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5,029</w:t>
            </w:r>
          </w:p>
        </w:tc>
      </w:tr>
      <w:tr>
        <w:trPr>
          <w:trHeight w:val="26"/>
        </w:trPr>
        <w:tc>
          <w:tcPr>
            <w:tcW w:w="5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(5,029)</w:t>
            </w:r>
          </w:p>
        </w:tc>
      </w:tr>
      <w:tr>
        <w:trPr>
          <w:trHeight w:val="211"/>
        </w:trPr>
        <w:tc>
          <w:tcPr>
            <w:tcW w:w="5620" w:type="dxa"/>
            <w:vAlign w:val="bottom"/>
          </w:tcPr>
          <w:p>
            <w:pPr>
              <w:spacing w:after="0"/>
              <w:rPr>
                <w:sz w:val="20"/>
                <w:szCs w:val="20"/>
                <w:color w:val="auto"/>
              </w:rPr>
            </w:pPr>
            <w:r>
              <w:rPr>
                <w:rFonts w:ascii="Arial" w:cs="Arial" w:eastAsia="Arial" w:hAnsi="Arial"/>
                <w:sz w:val="18"/>
                <w:szCs w:val="18"/>
                <w:color w:val="auto"/>
              </w:rPr>
              <w:t>Other expenses, net:</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(1,503)</w:t>
            </w:r>
          </w:p>
        </w:tc>
      </w:tr>
      <w:tr>
        <w:trPr>
          <w:trHeight w:val="211"/>
        </w:trPr>
        <w:tc>
          <w:tcPr>
            <w:tcW w:w="5620" w:type="dxa"/>
            <w:vAlign w:val="bottom"/>
          </w:tcPr>
          <w:p>
            <w:pPr>
              <w:ind w:left="200"/>
              <w:spacing w:after="0"/>
              <w:rPr>
                <w:sz w:val="20"/>
                <w:szCs w:val="20"/>
                <w:color w:val="auto"/>
              </w:rPr>
            </w:pPr>
            <w:r>
              <w:rPr>
                <w:rFonts w:ascii="Arial" w:cs="Arial" w:eastAsia="Arial" w:hAnsi="Arial"/>
                <w:sz w:val="18"/>
                <w:szCs w:val="18"/>
                <w:color w:val="auto"/>
              </w:rPr>
              <w:t>Change in warrant liabilities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3,567</w:t>
            </w:r>
          </w:p>
        </w:tc>
      </w:tr>
      <w:tr>
        <w:trPr>
          <w:trHeight w:val="211"/>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562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
        </w:trPr>
        <w:tc>
          <w:tcPr>
            <w:tcW w:w="5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(13,884)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(2,965)</w:t>
            </w:r>
          </w:p>
        </w:tc>
      </w:tr>
      <w:tr>
        <w:trPr>
          <w:trHeight w:val="211"/>
        </w:trPr>
        <w:tc>
          <w:tcPr>
            <w:tcW w:w="5620" w:type="dxa"/>
            <w:vAlign w:val="bottom"/>
          </w:tcPr>
          <w:p>
            <w:pPr>
              <w:spacing w:after="0"/>
              <w:rPr>
                <w:sz w:val="20"/>
                <w:szCs w:val="20"/>
                <w:color w:val="auto"/>
              </w:rPr>
            </w:pPr>
            <w:r>
              <w:rPr>
                <w:rFonts w:ascii="Arial" w:cs="Arial" w:eastAsia="Arial" w:hAnsi="Arial"/>
                <w:sz w:val="18"/>
                <w:szCs w:val="18"/>
                <w:color w:val="auto"/>
              </w:rPr>
              <w:t>Income taxes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6"/>
        </w:trPr>
        <w:tc>
          <w:tcPr>
            <w:tcW w:w="5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(13,886)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(2,968)</w:t>
            </w: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reported no revenue for the fiscal years ended March 31, 2015 or 2014. We have successfully completed our Phase I development of AV-101, our orally-active, new generation prodrug candidate in clinical development for the treatment of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with additional potential as a new therapy for neuropathic pain, epilepsy, and Parkinson’s disease. On February 10, 2015 we entered into a Cooperative Research and Development Agreement with the NIMH, part of the NIH, to collaborate on a NIH-sponsored (funded and conducted by the NIH) Phase 2 clinical study of AV-101 in MDD. We presently have no revenue generating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 represented approximately 36% and 49% of our operating expenses for the fiscal years ended March 31, 2015 and 2014, respectively. Research and development costs are expensed as incurred. Research and development expense consists of both internal and external expenses incurred in drug development activities, costs associated with the development of AV-101, sponsored stem cell research and costs related to the licensing, application and prosecution of our intellectual property. These expenses primarily consist of the following:</w:t>
      </w:r>
    </w:p>
    <w:p>
      <w:pPr>
        <w:spacing w:after="0" w:line="161" w:lineRule="exact"/>
        <w:rPr>
          <w:sz w:val="20"/>
          <w:szCs w:val="20"/>
          <w:color w:val="auto"/>
        </w:rPr>
      </w:pPr>
    </w:p>
    <w:p>
      <w:pPr>
        <w:ind w:left="1120" w:right="20" w:hanging="562"/>
        <w:spacing w:after="0" w:line="231" w:lineRule="auto"/>
        <w:tabs>
          <w:tab w:leader="none" w:pos="1120" w:val="left"/>
        </w:tabs>
        <w:numPr>
          <w:ilvl w:val="0"/>
          <w:numId w:val="47"/>
        </w:numPr>
        <w:rPr>
          <w:rFonts w:ascii="Arial" w:cs="Arial" w:eastAsia="Arial" w:hAnsi="Arial"/>
          <w:sz w:val="21"/>
          <w:szCs w:val="21"/>
          <w:color w:val="auto"/>
        </w:rPr>
      </w:pPr>
      <w:r>
        <w:rPr>
          <w:rFonts w:ascii="Arial" w:cs="Arial" w:eastAsia="Arial" w:hAnsi="Arial"/>
          <w:sz w:val="18"/>
          <w:szCs w:val="18"/>
          <w:color w:val="auto"/>
        </w:rPr>
        <w:t>Salaries and benefits, including stock-based compensation costs, travel and related expense for personnel associated with internal research and development activities;</w:t>
      </w:r>
    </w:p>
    <w:p>
      <w:pPr>
        <w:spacing w:after="0" w:line="200" w:lineRule="exact"/>
        <w:rPr>
          <w:rFonts w:ascii="Arial" w:cs="Arial" w:eastAsia="Arial" w:hAnsi="Arial"/>
          <w:sz w:val="21"/>
          <w:szCs w:val="21"/>
          <w:color w:val="auto"/>
        </w:rPr>
      </w:pPr>
    </w:p>
    <w:p>
      <w:pPr>
        <w:ind w:left="1120" w:right="20" w:hanging="562"/>
        <w:spacing w:after="0" w:line="231" w:lineRule="auto"/>
        <w:tabs>
          <w:tab w:leader="none" w:pos="1120" w:val="left"/>
        </w:tabs>
        <w:numPr>
          <w:ilvl w:val="0"/>
          <w:numId w:val="47"/>
        </w:numPr>
        <w:rPr>
          <w:rFonts w:ascii="Arial" w:cs="Arial" w:eastAsia="Arial" w:hAnsi="Arial"/>
          <w:sz w:val="21"/>
          <w:szCs w:val="21"/>
          <w:color w:val="auto"/>
        </w:rPr>
      </w:pPr>
      <w:r>
        <w:rPr>
          <w:rFonts w:ascii="Arial" w:cs="Arial" w:eastAsia="Arial" w:hAnsi="Arial"/>
          <w:sz w:val="18"/>
          <w:szCs w:val="18"/>
          <w:color w:val="auto"/>
        </w:rPr>
        <w:t>fees to contract research organizations and other professional service providers for services related to the conduct and analysis of clinical trials and other drug development activities;</w:t>
      </w:r>
    </w:p>
    <w:p>
      <w:pPr>
        <w:spacing w:after="0" w:line="200" w:lineRule="exact"/>
        <w:rPr>
          <w:rFonts w:ascii="Arial" w:cs="Arial" w:eastAsia="Arial" w:hAnsi="Arial"/>
          <w:sz w:val="21"/>
          <w:szCs w:val="21"/>
          <w:color w:val="auto"/>
        </w:rPr>
      </w:pPr>
    </w:p>
    <w:p>
      <w:pPr>
        <w:ind w:left="1120" w:right="20" w:hanging="562"/>
        <w:spacing w:after="0" w:line="231" w:lineRule="auto"/>
        <w:tabs>
          <w:tab w:leader="none" w:pos="1120" w:val="left"/>
        </w:tabs>
        <w:numPr>
          <w:ilvl w:val="0"/>
          <w:numId w:val="47"/>
        </w:numPr>
        <w:rPr>
          <w:rFonts w:ascii="Arial" w:cs="Arial" w:eastAsia="Arial" w:hAnsi="Arial"/>
          <w:sz w:val="21"/>
          <w:szCs w:val="21"/>
          <w:color w:val="auto"/>
        </w:rPr>
      </w:pPr>
      <w:r>
        <w:rPr>
          <w:rFonts w:ascii="Arial" w:cs="Arial" w:eastAsia="Arial" w:hAnsi="Arial"/>
          <w:sz w:val="18"/>
          <w:szCs w:val="18"/>
          <w:color w:val="auto"/>
        </w:rPr>
        <w:t>fees to third parties for access to licensed technology and costs associated with securing and maintaining patents related to our internally generated inventions:</w:t>
      </w:r>
    </w:p>
    <w:p>
      <w:pPr>
        <w:spacing w:after="0" w:line="181" w:lineRule="exact"/>
        <w:rPr>
          <w:rFonts w:ascii="Arial" w:cs="Arial" w:eastAsia="Arial" w:hAnsi="Arial"/>
          <w:sz w:val="21"/>
          <w:szCs w:val="21"/>
          <w:color w:val="auto"/>
        </w:rPr>
      </w:pPr>
    </w:p>
    <w:p>
      <w:pPr>
        <w:ind w:left="1120" w:hanging="562"/>
        <w:spacing w:after="0"/>
        <w:tabs>
          <w:tab w:leader="none" w:pos="1120" w:val="left"/>
        </w:tabs>
        <w:numPr>
          <w:ilvl w:val="0"/>
          <w:numId w:val="47"/>
        </w:numPr>
        <w:rPr>
          <w:rFonts w:ascii="Arial" w:cs="Arial" w:eastAsia="Arial" w:hAnsi="Arial"/>
          <w:sz w:val="21"/>
          <w:szCs w:val="21"/>
          <w:color w:val="auto"/>
        </w:rPr>
      </w:pPr>
      <w:r>
        <w:rPr>
          <w:rFonts w:ascii="Arial" w:cs="Arial" w:eastAsia="Arial" w:hAnsi="Arial"/>
          <w:sz w:val="18"/>
          <w:szCs w:val="18"/>
          <w:color w:val="auto"/>
        </w:rPr>
        <w:t>laboratory supplies and materials;</w:t>
      </w:r>
    </w:p>
    <w:p>
      <w:pPr>
        <w:spacing w:after="0" w:line="206" w:lineRule="exact"/>
        <w:rPr>
          <w:rFonts w:ascii="Arial" w:cs="Arial" w:eastAsia="Arial" w:hAnsi="Arial"/>
          <w:sz w:val="21"/>
          <w:szCs w:val="21"/>
          <w:color w:val="auto"/>
        </w:rPr>
      </w:pPr>
    </w:p>
    <w:p>
      <w:pPr>
        <w:ind w:left="1120" w:hanging="562"/>
        <w:spacing w:after="0"/>
        <w:tabs>
          <w:tab w:leader="none" w:pos="1120" w:val="left"/>
        </w:tabs>
        <w:numPr>
          <w:ilvl w:val="0"/>
          <w:numId w:val="47"/>
        </w:numPr>
        <w:rPr>
          <w:rFonts w:ascii="Arial" w:cs="Arial" w:eastAsia="Arial" w:hAnsi="Arial"/>
          <w:sz w:val="21"/>
          <w:szCs w:val="21"/>
          <w:color w:val="auto"/>
        </w:rPr>
      </w:pPr>
      <w:r>
        <w:rPr>
          <w:rFonts w:ascii="Arial" w:cs="Arial" w:eastAsia="Arial" w:hAnsi="Arial"/>
          <w:sz w:val="18"/>
          <w:szCs w:val="18"/>
          <w:color w:val="auto"/>
        </w:rPr>
        <w:t>leasing and depreciation of laboratory equipment; and</w:t>
      </w:r>
    </w:p>
    <w:p>
      <w:pPr>
        <w:spacing w:after="0" w:line="206" w:lineRule="exact"/>
        <w:rPr>
          <w:rFonts w:ascii="Arial" w:cs="Arial" w:eastAsia="Arial" w:hAnsi="Arial"/>
          <w:sz w:val="21"/>
          <w:szCs w:val="21"/>
          <w:color w:val="auto"/>
        </w:rPr>
      </w:pPr>
    </w:p>
    <w:p>
      <w:pPr>
        <w:ind w:left="1120" w:hanging="562"/>
        <w:spacing w:after="0"/>
        <w:tabs>
          <w:tab w:leader="none" w:pos="1120" w:val="left"/>
        </w:tabs>
        <w:numPr>
          <w:ilvl w:val="0"/>
          <w:numId w:val="47"/>
        </w:numPr>
        <w:rPr>
          <w:rFonts w:ascii="Arial" w:cs="Arial" w:eastAsia="Arial" w:hAnsi="Arial"/>
          <w:sz w:val="21"/>
          <w:szCs w:val="21"/>
          <w:color w:val="auto"/>
        </w:rPr>
      </w:pPr>
      <w:r>
        <w:rPr>
          <w:rFonts w:ascii="Arial" w:cs="Arial" w:eastAsia="Arial" w:hAnsi="Arial"/>
          <w:sz w:val="18"/>
          <w:szCs w:val="18"/>
          <w:color w:val="auto"/>
        </w:rPr>
        <w:t>allocated costs of facilities and infrastructure.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7" w:name="page88"/>
    <w:bookmarkEnd w:id="8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4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General and administrative expense consists primarily of salaries and benefits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Net</w:t>
      </w:r>
    </w:p>
    <w:p>
      <w:pPr>
        <w:spacing w:after="0" w:line="24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both fiscal 2015 and 2014, we incurred interest expense, including significant amounts of non-cash discount amortization attributable to certain notes, on the outstanding balances of our Senior Secured Convertible Promissory Notes issued to Platinum between October 2012 and July 2013, on the convertible promissory notes issued between March 2013 and March 2015 as components of our Unit Private Placements and on notes issued to various contract research organizations, technology licensors and other professional service providers since fiscal 2011. In fiscal 2015 and 2014, we recorded non-cash expense and income, respectively, related to changes in the fair values of the warrants issued or issuable to Platinum in connection with the various Senior Secured Convertible Promissory Notes we issued to Platinum between October 2012 and July 2013. In fiscal 2015, we incurred non-cash losses on extinguishment of debt resulting from settlements or modifications of indebtedness to Platinum, to various holders of promissory notes issued in connection with our 2013 Unit Private Placement and scheduled to mature on July 30, 2014, and to a technology licensor and a professional service provider. Additionally, in fiscal 2015 we incurred non-cash expense related to the settlement of a note receivable we accepted in fiscal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8"/>
          <w:szCs w:val="18"/>
          <w:i w:val="1"/>
          <w:iCs w:val="1"/>
          <w:color w:val="auto"/>
        </w:rPr>
        <w:t>GAAP</w:t>
      </w:r>
      <w:r>
        <w:rPr>
          <w:rFonts w:ascii="Arial" w:cs="Arial" w:eastAsia="Arial" w:hAnsi="Arial"/>
          <w:sz w:val="18"/>
          <w:szCs w:val="18"/>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8"/>
          <w:szCs w:val="18"/>
          <w:i w:val="1"/>
          <w:iCs w:val="1"/>
          <w:color w:val="auto"/>
        </w:rPr>
        <w:t>Revenue Recognition Revised and Updated</w:t>
      </w:r>
      <w:r>
        <w:rPr>
          <w:rFonts w:ascii="Arial" w:cs="Arial" w:eastAsia="Arial" w:hAnsi="Arial"/>
          <w:sz w:val="18"/>
          <w:szCs w:val="18"/>
          <w:color w:val="auto"/>
        </w:rPr>
        <w:t xml:space="preserve"> (</w:t>
      </w:r>
      <w:r>
        <w:rPr>
          <w:rFonts w:ascii="Arial" w:cs="Arial" w:eastAsia="Arial" w:hAnsi="Arial"/>
          <w:sz w:val="18"/>
          <w:szCs w:val="18"/>
          <w:i w:val="1"/>
          <w:iCs w:val="1"/>
          <w:color w:val="auto"/>
        </w:rPr>
        <w:t>SAB 104</w:t>
      </w:r>
      <w:r>
        <w:rPr>
          <w:rFonts w:ascii="Arial" w:cs="Arial" w:eastAsia="Arial" w:hAnsi="Arial"/>
          <w:sz w:val="18"/>
          <w:szCs w:val="18"/>
          <w:color w:val="auto"/>
        </w:rPr>
        <w:t>) and Accounting Standards Codification (</w:t>
      </w:r>
      <w:r>
        <w:rPr>
          <w:rFonts w:ascii="Arial" w:cs="Arial" w:eastAsia="Arial" w:hAnsi="Arial"/>
          <w:sz w:val="18"/>
          <w:szCs w:val="18"/>
          <w:i w:val="1"/>
          <w:iCs w:val="1"/>
          <w:color w:val="auto"/>
        </w:rPr>
        <w:t>ASC</w:t>
      </w:r>
      <w:r>
        <w:rPr>
          <w:rFonts w:ascii="Arial" w:cs="Arial" w:eastAsia="Arial" w:hAnsi="Arial"/>
          <w:sz w:val="18"/>
          <w:szCs w:val="18"/>
          <w:color w:val="auto"/>
        </w:rPr>
        <w:t xml:space="preserve">) 605-25, </w:t>
      </w:r>
      <w:r>
        <w:rPr>
          <w:rFonts w:ascii="Arial" w:cs="Arial" w:eastAsia="Arial" w:hAnsi="Arial"/>
          <w:sz w:val="18"/>
          <w:szCs w:val="18"/>
          <w:i w:val="1"/>
          <w:iCs w:val="1"/>
          <w:color w:val="auto"/>
        </w:rPr>
        <w:t>Revenue Arrangements-Multiple Element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Arrangements </w:t>
      </w:r>
      <w:r>
        <w:rPr>
          <w:rFonts w:ascii="Arial" w:cs="Arial" w:eastAsia="Arial" w:hAnsi="Arial"/>
          <w:sz w:val="18"/>
          <w:szCs w:val="18"/>
          <w:color w:val="auto"/>
        </w:rPr>
        <w:t>(</w:t>
      </w:r>
      <w:r>
        <w:rPr>
          <w:rFonts w:ascii="Arial" w:cs="Arial" w:eastAsia="Arial" w:hAnsi="Arial"/>
          <w:sz w:val="18"/>
          <w:szCs w:val="18"/>
          <w:i w:val="1"/>
          <w:iCs w:val="1"/>
          <w:color w:val="auto"/>
        </w:rPr>
        <w:t>ASC 605-25</w:t>
      </w:r>
      <w:r>
        <w:rPr>
          <w:rFonts w:ascii="Arial" w:cs="Arial" w:eastAsia="Arial" w:hAnsi="Arial"/>
          <w:sz w:val="18"/>
          <w:szCs w:val="18"/>
          <w:color w:val="auto"/>
        </w:rPr>
        <w:t>). Revenue for arrangements not having multiple deliverables, as outlined in ASC 605-25, is recognized once costs are incurred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collectability is reasonably assured.</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w:t>
      </w:r>
      <w:r>
        <w:rPr>
          <w:rFonts w:ascii="Arial" w:cs="Arial" w:eastAsia="Arial" w:hAnsi="Arial"/>
          <w:sz w:val="16"/>
          <w:szCs w:val="16"/>
          <w:i w:val="1"/>
          <w:iCs w:val="1"/>
          <w:color w:val="auto"/>
        </w:rPr>
        <w:t>VSOE</w:t>
      </w:r>
      <w:r>
        <w:rPr>
          <w:rFonts w:ascii="Arial" w:cs="Arial" w:eastAsia="Arial" w:hAnsi="Arial"/>
          <w:sz w:val="16"/>
          <w:szCs w:val="16"/>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8" w:name="page89"/>
    <w:bookmarkEnd w:id="8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215" w:lineRule="exact"/>
        <w:rPr>
          <w:sz w:val="20"/>
          <w:szCs w:val="20"/>
          <w:color w:val="auto"/>
        </w:rPr>
      </w:pPr>
    </w:p>
    <w:p>
      <w:pPr>
        <w:jc w:val="both"/>
        <w:ind w:left="640" w:hanging="341"/>
        <w:spacing w:after="0" w:line="280" w:lineRule="auto"/>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97" w:lineRule="exact"/>
        <w:rPr>
          <w:rFonts w:ascii="Arial" w:cs="Arial" w:eastAsia="Arial" w:hAnsi="Arial"/>
          <w:sz w:val="16"/>
          <w:szCs w:val="16"/>
          <w:color w:val="auto"/>
        </w:rPr>
      </w:pPr>
    </w:p>
    <w:p>
      <w:pPr>
        <w:jc w:val="both"/>
        <w:ind w:left="640" w:hanging="341"/>
        <w:spacing w:after="0" w:line="291" w:lineRule="auto"/>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87" w:lineRule="exact"/>
        <w:rPr>
          <w:rFonts w:ascii="Arial" w:cs="Arial" w:eastAsia="Arial" w:hAnsi="Arial"/>
          <w:sz w:val="16"/>
          <w:szCs w:val="16"/>
          <w:color w:val="auto"/>
        </w:rPr>
      </w:pPr>
    </w:p>
    <w:p>
      <w:pPr>
        <w:ind w:left="640" w:hanging="341"/>
        <w:spacing w:after="0" w:line="262"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41"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In accordance with ASC 360-10</w:t>
      </w:r>
      <w:r>
        <w:rPr>
          <w:rFonts w:ascii="Arial" w:cs="Arial" w:eastAsia="Arial" w:hAnsi="Arial"/>
          <w:sz w:val="15"/>
          <w:szCs w:val="15"/>
          <w:i w:val="1"/>
          <w:iCs w:val="1"/>
          <w:color w:val="auto"/>
        </w:rPr>
        <w:t>, Property, Plant &amp; Equipment—Overall</w:t>
      </w:r>
      <w:r>
        <w:rPr>
          <w:rFonts w:ascii="Arial" w:cs="Arial" w:eastAsia="Arial" w:hAnsi="Arial"/>
          <w:sz w:val="15"/>
          <w:szCs w:val="15"/>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9" w:name="page90"/>
    <w:bookmarkEnd w:id="8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4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have issued to Platinum Long Term Growth VII, LLC, our largest investor (</w:t>
      </w:r>
      <w:r>
        <w:rPr>
          <w:rFonts w:ascii="Arial" w:cs="Arial" w:eastAsia="Arial" w:hAnsi="Arial"/>
          <w:sz w:val="16"/>
          <w:szCs w:val="16"/>
          <w:i w:val="1"/>
          <w:iCs w:val="1"/>
          <w:color w:val="auto"/>
        </w:rPr>
        <w:t>Platinum</w:t>
      </w:r>
      <w:r>
        <w:rPr>
          <w:rFonts w:ascii="Arial" w:cs="Arial" w:eastAsia="Arial" w:hAnsi="Arial"/>
          <w:sz w:val="16"/>
          <w:szCs w:val="16"/>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6"/>
          <w:szCs w:val="16"/>
          <w:i w:val="1"/>
          <w:iCs w:val="1"/>
          <w:color w:val="auto"/>
        </w:rPr>
        <w:t>Platinum Warrants</w:t>
      </w:r>
      <w:r>
        <w:rPr>
          <w:rFonts w:ascii="Arial" w:cs="Arial" w:eastAsia="Arial" w:hAnsi="Arial"/>
          <w:sz w:val="16"/>
          <w:szCs w:val="16"/>
          <w:color w:val="auto"/>
        </w:rPr>
        <w:t xml:space="preserve">). The Platinum Warrants contain an exercise price adjustment feature that will reduce the exercise price of the warrants in the event we subsequently issue equity instruments at a price lower than the exercise price of the Platinum Warrants. We account for the Platinum Warrants as non-cash liabilities and estimate their fair value at the end of each financial reporting period and 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income or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 As described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to the Consolidated Financial Statements included in Item 8 of this Annual Report on Form 10-K, during May 2015, we entered into an agreement with Platinum pursuant to which Platinum agreed to amend the Platinum Warrants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 </w:t>
      </w:r>
      <w:r>
        <w:rPr>
          <w:rFonts w:ascii="Arial" w:cs="Arial" w:eastAsia="Arial" w:hAnsi="Arial"/>
          <w:sz w:val="16"/>
          <w:szCs w:val="16"/>
          <w:i w:val="1"/>
          <w:iCs w:val="1"/>
          <w:color w:val="auto"/>
        </w:rPr>
        <w:t>Recent Accounting Pronouncements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See Note 3 to the consolidated financial statements included in Item 8 in this Annual Report on Form 10-K for information on recent accounting pronouncements.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March 31, 2015 and 2014</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reported no revenue for the fiscal years ended March 31, 2015 or 2014. We have successfully completed our Phase I development of AV-101, our novel, orally-available, non-sedating prodrug candidate for the treatment of depression, epilepsy, pain Parkinson’s disease. On February 10, 2015 we entered into a Cooperative Research and Development Agreement with the NIMH, part of the NIH, to collaborate on a NIH-sponsored Phase 2 clinical study of AV-101 in Major Depressive Disorder. We presently have no other revenue generating arrangements.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expense decreased by 2% in fiscal 2015 compared to fiscal 2014. The following table compares the primary components of research and development expense between the periods (in $000):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5"/>
          </w:tcPr>
          <w:p>
            <w:pPr>
              <w:ind w:left="60"/>
              <w:spacing w:after="0"/>
              <w:rPr>
                <w:sz w:val="20"/>
                <w:szCs w:val="20"/>
                <w:color w:val="auto"/>
              </w:rPr>
            </w:pPr>
            <w:r>
              <w:rPr>
                <w:rFonts w:ascii="Arial" w:cs="Arial" w:eastAsia="Arial" w:hAnsi="Arial"/>
                <w:sz w:val="18"/>
                <w:szCs w:val="18"/>
                <w:color w:val="auto"/>
                <w:w w:val="99"/>
              </w:rPr>
              <w:t>Fiscal Years Ended March 31,</w:t>
            </w:r>
          </w:p>
        </w:tc>
      </w:tr>
      <w:tr>
        <w:trPr>
          <w:trHeight w:val="217"/>
        </w:trPr>
        <w:tc>
          <w:tcPr>
            <w:tcW w:w="88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r>
      <w:tr>
        <w:trPr>
          <w:trHeight w:val="211"/>
        </w:trPr>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UHN research under SRCA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Consulting services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licenses and royalties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Project-related third-party research and supplies: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AV-101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7"/>
        </w:trPr>
        <w:tc>
          <w:tcPr>
            <w:tcW w:w="8800" w:type="dxa"/>
            <w:vAlign w:val="bottom"/>
          </w:tcPr>
          <w:p>
            <w:pPr>
              <w:ind w:left="240"/>
              <w:spacing w:after="0"/>
              <w:rPr>
                <w:sz w:val="20"/>
                <w:szCs w:val="20"/>
                <w:color w:val="auto"/>
              </w:rPr>
            </w:pPr>
            <w:r>
              <w:rPr>
                <w:rFonts w:ascii="Arial" w:cs="Arial" w:eastAsia="Arial" w:hAnsi="Arial"/>
                <w:sz w:val="18"/>
                <w:szCs w:val="18"/>
                <w:color w:val="auto"/>
              </w:rPr>
              <w:t>All other including CardioSafe and LiverSafe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r>
      <w:tr>
        <w:trPr>
          <w:trHeight w:val="217"/>
        </w:trPr>
        <w:tc>
          <w:tcPr>
            <w:tcW w:w="8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Rent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7"/>
        </w:trPr>
        <w:tc>
          <w:tcPr>
            <w:tcW w:w="8800" w:type="dxa"/>
            <w:vAlign w:val="bottom"/>
          </w:tcPr>
          <w:p>
            <w:pPr>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1"/>
        </w:trPr>
        <w:tc>
          <w:tcPr>
            <w:tcW w:w="88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2,433</w:t>
            </w:r>
          </w:p>
        </w:tc>
        <w:tc>
          <w:tcPr>
            <w:tcW w:w="2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9" w:right="239" w:bottom="634"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634" w:gutter="0" w:footer="0" w:header="0"/>
          <w:type w:val="continuous"/>
        </w:sectPr>
      </w:pPr>
    </w:p>
    <w:bookmarkStart w:id="90" w:name="page91"/>
    <w:bookmarkEnd w:id="9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To conserve cash resources, during fiscal 2015 and 2014, Ralph Snodgrass, PhD, our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has accepted a voluntary cash pay reduction to substantially less than his contractual pay rate. For fiscal 2015, the CSO’s actual cash pay represented approximately 52% of his contractual pay rate. In fiscal 2014, the CSO voluntarily agreed to accept a cash pay rate of approximately 82% of his contractual rate, not all of which amount was paid. In fiscal 2015, we have accrued the difference between the CSO’s contractual pay rate and his actual cash pay, $147,700, for future payment. In fiscal 2014, we accrued the difference between the CSO’s reduced pay rate and his actual cash pay, $100,400, for future payment. Such accrued amounts for both fiscal 2014 and fiscal 2015 remain unpaid. Pay rates for other scientific personnel remained constant between years. One member of our scientific staff voluntarily resigned at the end of September 2014 and another member has voluntarily reduced her work hours and pay since September 2014.</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January 2015, we granted five-year fully vested warrants to purchase an aggregate of 115,000 restricted shares of our common stock at an exercise price of $8.00 per share to our CSO and other scientific consultants and service providers, recognizing approximately $528,000 in stock-based compensation expense. Stock based compensation expense for fiscal 2015 and fiscal 2014 also reflects approximately $176,000 and $297,000, respectively, related to the ratable four-year amortization of option grants made to scientific staff and consultants in October 2013 and March 2014 and earlier. The ratable amortization of stock compensation expense related to certain options granted in October 2012 with a two-year vesting period ceased when the options became fully-vested in October 2014. An additional component of stock compensation expense is the amortization attributable to grants of warrants made to our CSO in March 2014 and March 2013, amounting to $145,000 in fiscal 2015 and $156,000 in fiscal 2014. The warrants are being amortized over a two-year vesting period, but are subject to certain vesting acceleration events. No further expense will be recognized with respect to the warrants granted in March 2013.</w:t>
      </w:r>
    </w:p>
    <w:p>
      <w:pPr>
        <w:spacing w:after="0" w:line="19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most recent sponsored research project budget under the collaboration agreement with Dr. Gordon Keller’s laboratory at UHN ended on September 30, 2013, and we have incurred no expense under the agreement since that date. We are engaged in discussions with Dr. Keller and UHN regarding the scope of subsequent sponsored research projects and budget under the agreement, but have not yet finalized such project definitions and budgets.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Consulting services reflects fees paid or accrued for scientific services rendered to us by third-parties, primarily by members of our scientific advisory board.</w:t>
      </w:r>
    </w:p>
    <w:p>
      <w:pPr>
        <w:spacing w:after="0" w:line="26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Stem cell technology license expense reflects both recurring annual fees as well as costs for patent prosecution and protection that we are required to fund under the terms of certain of our license agreements. We recognize the latter costs as they are invoiced to us by the licensors and they do not occur ratably throughout the year or between years. Certain of our technology licensors invoiced us for significant legal fees for patent protection and prosecution during fiscal 2014.</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AV-101 expenses in both fiscal years 2015 and 2014 primarily reflect the costs associated with monitoring for and responding to potential feedback related to the Phase 1 clinical trial and preparing other reports required under the terms of our prior NIH grant, primarily through our contract research collaborator, Cato Research Ltd.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rent expense versus FY 2014 reflects the full-year impact of rental costs related to our relocation to our current facilities in late-July 2013.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1" w:name="page92"/>
    <w:bookmarkEnd w:id="9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 and administrative expense increased by 70% in fiscal 2015 compared to fiscal 2014. The following table compares the primary components of general and administrative expense between the periods (in $000):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6"/>
          </w:tcPr>
          <w:p>
            <w:pPr>
              <w:ind w:left="180"/>
              <w:spacing w:after="0"/>
              <w:rPr>
                <w:sz w:val="20"/>
                <w:szCs w:val="20"/>
                <w:color w:val="auto"/>
              </w:rPr>
            </w:pPr>
            <w:r>
              <w:rPr>
                <w:rFonts w:ascii="Arial" w:cs="Arial" w:eastAsia="Arial" w:hAnsi="Arial"/>
                <w:sz w:val="18"/>
                <w:szCs w:val="18"/>
                <w:color w:val="auto"/>
                <w:w w:val="99"/>
              </w:rPr>
              <w:t>Fiscal Years Ended March 31,</w:t>
            </w:r>
          </w:p>
        </w:tc>
      </w:tr>
      <w:tr>
        <w:trPr>
          <w:trHeight w:val="217"/>
        </w:trPr>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4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r>
      <w:tr>
        <w:trPr>
          <w:trHeight w:val="211"/>
        </w:trPr>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760" w:type="dxa"/>
            <w:vAlign w:val="bottom"/>
            <w:gridSpan w:val="2"/>
            <w:shd w:val="clear" w:color="auto" w:fill="CCEEFF"/>
          </w:tcPr>
          <w:p>
            <w:pPr>
              <w:jc w:val="right"/>
              <w:ind w:right="59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Services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r>
      <w:tr>
        <w:trPr>
          <w:trHeight w:val="217"/>
        </w:trPr>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11"/>
        </w:trPr>
        <w:tc>
          <w:tcPr>
            <w:tcW w:w="8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760" w:type="dxa"/>
            <w:vAlign w:val="bottom"/>
            <w:gridSpan w:val="2"/>
          </w:tcPr>
          <w:p>
            <w:pPr>
              <w:jc w:val="right"/>
              <w:ind w:right="592"/>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4,344</w:t>
            </w:r>
          </w:p>
        </w:tc>
        <w:tc>
          <w:tcPr>
            <w:tcW w:w="2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2,548</w:t>
            </w:r>
          </w:p>
        </w:tc>
      </w:tr>
      <w:tr>
        <w:trPr>
          <w:trHeight w:val="20"/>
        </w:trPr>
        <w:tc>
          <w:tcPr>
            <w:tcW w:w="8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To conserve cash resources, during fiscal 2015 and 2014, both Shawn Singh,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and Jerrold Dotson, our Chief Financial Officer (</w:t>
      </w:r>
      <w:r>
        <w:rPr>
          <w:rFonts w:ascii="Arial" w:cs="Arial" w:eastAsia="Arial" w:hAnsi="Arial"/>
          <w:sz w:val="16"/>
          <w:szCs w:val="16"/>
          <w:i w:val="1"/>
          <w:iCs w:val="1"/>
          <w:color w:val="auto"/>
        </w:rPr>
        <w:t>CFO</w:t>
      </w:r>
      <w:r>
        <w:rPr>
          <w:rFonts w:ascii="Arial" w:cs="Arial" w:eastAsia="Arial" w:hAnsi="Arial"/>
          <w:sz w:val="16"/>
          <w:szCs w:val="16"/>
          <w:color w:val="auto"/>
        </w:rPr>
        <w:t>), have accepted voluntary cash pay reductions to substantially less than their contractual pay rates. For fiscal 2015, the CEO’s and CFO’s actual cash pay represented approximately 24% and 62%, respectively, of contractual rates. In fiscal 2014, the CEO and CFO voluntarily agreed to accept cash pay rates of approximately 72% and 80%, respectively, of their contractual rates, not all of which amounts were paid. In fiscal 2015, we have accrued the difference between the CEO’s and CFO’s contractual pay rate and his actual cash pay, $264,700 and $96,100, respectively, for future payment. In fiscal 2014, we accrued the difference between the CEO’s and CFO’s reduced pay rates and his actual cash pay, $125,000 and $56,700, respectively, for future payment. Such accrued amounts for both fiscal 2014 and fiscal 2015 remain unpaid. Offsetting the impact of the accrual to contractual pay rates for the CEO and CFO for fiscal 2015 is the annual impact of the voluntary resignations of two administrative employees in August and November 2013 who have not been replaced. Pay rates for other administrative employees remained stable between the periods presented.</w:t>
      </w:r>
    </w:p>
    <w:p>
      <w:pPr>
        <w:spacing w:after="0" w:line="19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January 2015, we granted five-year fully vested warrants to purchase an aggregate of 271,715 restricted shares of our common stock at an exercise price of $8.00 per share to our CEO and CFO, independent members of our Board of Directors and other consultants and service providers, recognizing approximately $1,229,000 in stock-based compensation expense. Stock based compensation expense for fiscal 2015 and fiscal 2014 also reflects approximately $99,000 and $385,000, respectively, related to the ratable four-year amortization of option grants made to employees and consultants in October 2013 and March 2014 and earlier. The ratable amortization of stock compensation expense related to certain options granted in October 2012 with a two-year vesting period ceased when the options became fully-vested in October 2014. An additional component of stock compensation expense is the amortization attributable to grants of warrants made to our CEO, CFO and independent members of our Board of Directors in March 2014 and March 2013, amounting to $283,000 in fiscal 2015 and $299,000 in fiscal 2014. The warrants are being amortized over a two-year vesting period, but are subject to certain vesting acceleration events. No further expense will be recognized with respect to the warrants granted in March 2013.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Consulting services primarily reflects fees paid or accrued for the services of the independent members of our Board of Directors.</w:t>
      </w:r>
    </w:p>
    <w:p>
      <w:pPr>
        <w:spacing w:after="0" w:line="241"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increase in legal, accounting and other professional fees results primarily from the impact of (i) two consulting agreements for strategic advisory and business development services pursuant to which we issued an aggregate of 55,000 restricted shares of our common stock valued at $469,000 at the date of issuance and paid $100,000 as cash compensation for such professional services during fiscal 2015; (ii) direct legal fees aggregating $150,000 related to services provided with respect to our prospective public offering of our equity securities and a proposed private offering of our equity securities; (iii) the expensing of approximately $102,000 of investment banker, banker’s counsel, accounting and other fees related to the December 2014 cancellation of the prospective public offering and withdrawal of our Registration Statement on Form S-1; (iv) legal and other costs related to the 1:20 reverse split of our common stock in August 2014 and legal and filing fees for our private placement Unit financing offerings; and (v) costs related to temporary employee fees for part-time administrative services.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Outsourced investor relations service expenses are essentially flat between periods; we have conducted no special awareness or other initiatives during either fiscal 2015 or 2014. Travel expenses related to late summer and fall 2014 roadshow meetings with potential investors in our attempted registered public offering account for the increase compared to fiscal 2014.</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2" w:name="page93"/>
    <w:bookmarkEnd w:id="9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fiscal 2015 increase in rent and utilities expense reflects the full-year impact of increased costs related to our relocation to expanded facilities in late-July 2013.</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Warrant modification expense in fiscal 2015 reflects the extension by one year of the term of outstanding warrants otherwise scheduled to expire during calendar 2015, as approved by our Board of Directors in January 2015. Warrant modification expense in fiscal 2014 reflects the impact of October 2013 and December 2013 reductions in the exercise price of certain outstanding warrants, generally from $35.00 per share or $30.00 per share, to $10.00 per share, and in limited cases, the extension of the term of certain outstanding warrants, and from which we used the proceeds of the warrant exercises as a source of short-term working capital.</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fiscal 2015 decrease in other expenses is attributable to one-time relocation costs incurred in fiscal 2014 in connection with our relocation to expanded facilities in late-July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Net</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both fiscal 2015 and 2014, other expenses, net includes interest expense, including non-cash discount amortization, on our outstanding promissory notes, as well as the non-cash impact of changes in the fair value of the warrant liabilities related to warrants issued or issuable to Platinum between October 2012 and July 2013. In fiscal 2015, other expenses, net also includes the non-cash loss on extinguishment of debt resulting from the modification of indebtedness to Platinum, holders of convertible promissory notes originally scheduled to mature on July 30, 2014, and to a technology licensor and a professional service provider. Additionally, in fiscal 2015 we incurred non-cash expense related to the settlement of a note receivable we accepted in fiscal 2012.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The following table compares the primary components of net interest expense between the periods (in $000):</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5"/>
        </w:trPr>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300"/>
              <w:spacing w:after="0"/>
              <w:rPr>
                <w:sz w:val="20"/>
                <w:szCs w:val="20"/>
                <w:color w:val="auto"/>
              </w:rPr>
            </w:pPr>
            <w:r>
              <w:rPr>
                <w:rFonts w:ascii="Arial" w:cs="Arial" w:eastAsia="Arial" w:hAnsi="Arial"/>
                <w:sz w:val="18"/>
                <w:szCs w:val="18"/>
                <w:color w:val="auto"/>
                <w:w w:val="89"/>
              </w:rPr>
              <w:t>Fiscal Years Ended March 31,</w:t>
            </w:r>
          </w:p>
        </w:tc>
      </w:tr>
      <w:tr>
        <w:trPr>
          <w:trHeight w:val="217"/>
        </w:trPr>
        <w:tc>
          <w:tcPr>
            <w:tcW w:w="88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r>
      <w:tr>
        <w:trPr>
          <w:trHeight w:val="211"/>
        </w:trPr>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Amortization of discount on promissory notes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r>
      <w:tr>
        <w:trPr>
          <w:trHeight w:val="217"/>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interest expense, including on capital leases and premium financing</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7"/>
        </w:trPr>
        <w:tc>
          <w:tcPr>
            <w:tcW w:w="8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17"/>
        </w:trPr>
        <w:tc>
          <w:tcPr>
            <w:tcW w:w="880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1"/>
        </w:trPr>
        <w:tc>
          <w:tcPr>
            <w:tcW w:w="88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4,549</w:t>
            </w:r>
          </w:p>
        </w:tc>
        <w:tc>
          <w:tcPr>
            <w:tcW w:w="2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1,503</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increase in interest expense between the periods is primarily attributable to the accrued interest recorded for the issuances between August 2013 and March 2015 of an aggregate of approximately $4.1 million of 10% convertible promissory notes pursuant to the 2013 Unit Private Placement and the 2014 Unit Private Placement. As a result of the significant inception-date discounts recorded in connection with the Unit Notes, approximately $2.7 million in fiscal 2015; the relatively short period between issuance and maturity over which the discount on the Unit Notes must be amortized, generally less than 12 months; and the accelerating amount of discount amortization recorded using the effective interest rate method as the notes approach maturity, discount amortization expense increased by approximately $2.7 million between the periods shown in the preceding table.</w:t>
      </w:r>
    </w:p>
    <w:p>
      <w:pPr>
        <w:spacing w:after="0" w:line="19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Under the terms of the October 2012 Note Exchange and Purchase Agreement we entered with Platinum, we issued Senior Secured Convertible Promissory Notes and a related Exchange Warrant and Investment Warrants between October 2012 and March 2013. We issued a similar senior secured promissory note and related warrant to Platinum in July 2013. Upon Platinum’s exchange of the shares of our Series A preferred stock it holds into shares of our common stock, we will also be required to issue a Series A Exchange Warrant to Platinum. We determined that certain exercise price and share adjustment features contained in the various warrants require us to treat the warrants as liabilities. Accordingly, we recorded a non-cash warrant liability at its estimated fair value as of the date the warrant was issued or the contract executed. During fiscal 2015, we recognized a non-cash loss of $34,600 related to the net increase in the estimated fair value of these non-cash liabilities since March 31, 2014, which resulted primarily from the change in the market price of our common stock in relation to the exercise price of the warrants and an additional year elapsed in the remaining term for all but the Series A Exchange Warrant. During fiscal 2014, we recognized a non-cash gain of $3,556,900 related to the net decrease in the estimated fair value of the warrant liabilities since March 31, 2013, which resulted primarily from the decrease in the market price of our common stock in relation to the exercise price of the warrants.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3" w:name="page94"/>
    <w:bookmarkEnd w:id="9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 xml:space="preserve">As described more fully in Note 8, </w:t>
      </w:r>
      <w:r>
        <w:rPr>
          <w:rFonts w:ascii="Arial" w:cs="Arial" w:eastAsia="Arial" w:hAnsi="Arial"/>
          <w:sz w:val="15"/>
          <w:szCs w:val="15"/>
          <w:i w:val="1"/>
          <w:iCs w:val="1"/>
          <w:color w:val="auto"/>
        </w:rPr>
        <w:t>Convertible Promissory Notes and Other Notes Payable</w:t>
      </w:r>
      <w:r>
        <w:rPr>
          <w:rFonts w:ascii="Arial" w:cs="Arial" w:eastAsia="Arial" w:hAnsi="Arial"/>
          <w:sz w:val="15"/>
          <w:szCs w:val="15"/>
          <w:color w:val="auto"/>
        </w:rPr>
        <w:t xml:space="preserve">, and Note 9, </w:t>
      </w:r>
      <w:r>
        <w:rPr>
          <w:rFonts w:ascii="Arial" w:cs="Arial" w:eastAsia="Arial" w:hAnsi="Arial"/>
          <w:sz w:val="15"/>
          <w:szCs w:val="15"/>
          <w:i w:val="1"/>
          <w:iCs w:val="1"/>
          <w:color w:val="auto"/>
        </w:rPr>
        <w:t>Capital Stock,</w:t>
      </w:r>
      <w:r>
        <w:rPr>
          <w:rFonts w:ascii="Arial" w:cs="Arial" w:eastAsia="Arial" w:hAnsi="Arial"/>
          <w:sz w:val="15"/>
          <w:szCs w:val="15"/>
          <w:color w:val="auto"/>
        </w:rPr>
        <w:t xml:space="preserve"> in the Consolidated Financial Statements included in Item 8 of this Annual Report on Form 10-K, effective May 31, 2014, we entered into agreements with substantially all holders of our 2013 Unit Notes and 2013 Unit Warrants to amend certain terms of the notes and the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as described more completely in Note 9, </w:t>
      </w:r>
      <w:r>
        <w:rPr>
          <w:rFonts w:ascii="Arial" w:cs="Arial" w:eastAsia="Arial" w:hAnsi="Arial"/>
          <w:sz w:val="15"/>
          <w:szCs w:val="15"/>
          <w:i w:val="1"/>
          <w:iCs w:val="1"/>
          <w:color w:val="auto"/>
        </w:rPr>
        <w:t>Capital Stock,</w:t>
      </w:r>
      <w:r>
        <w:rPr>
          <w:rFonts w:ascii="Arial" w:cs="Arial" w:eastAsia="Arial" w:hAnsi="Arial"/>
          <w:sz w:val="15"/>
          <w:szCs w:val="15"/>
          <w:color w:val="auto"/>
        </w:rPr>
        <w:t xml:space="preserve"> to the Consolidated Financial Statements included in Item 8 of this Annual Report on Form 10-K. We recognized a further $16,700 non-cash loss on extinguishment of debt as a result of the shares of our unregistered common stock issued to a professional services provider in settlement of fees for prior services rendered, as also described more completely in Note 9, </w:t>
      </w:r>
      <w:r>
        <w:rPr>
          <w:rFonts w:ascii="Arial" w:cs="Arial" w:eastAsia="Arial" w:hAnsi="Arial"/>
          <w:sz w:val="15"/>
          <w:szCs w:val="15"/>
          <w:i w:val="1"/>
          <w:iCs w:val="1"/>
          <w:color w:val="auto"/>
        </w:rPr>
        <w:t>Capital Stock,</w:t>
      </w:r>
      <w:r>
        <w:rPr>
          <w:rFonts w:ascii="Arial" w:cs="Arial" w:eastAsia="Arial" w:hAnsi="Arial"/>
          <w:sz w:val="15"/>
          <w:szCs w:val="15"/>
          <w:color w:val="auto"/>
        </w:rPr>
        <w:t xml:space="preserve"> to the Consolidated Financial Statements included in Item 8 of this Annual Report on Form 10-K.</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As described more completely in Note 8,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to the Consolidated Financial Statements included in Item 8 of this Annual Report on Form 10-K, in July 2014, we entered into an agreement with Platinum, as further amended in September 2014, pursuant to which Platinum agreed to convert into our unregistered equity securities all Senior Notes and accrued but unpaid interest thereon held by Platinum upon our consummation prior to October 31, 2014 (</w:t>
      </w:r>
      <w:r>
        <w:rPr>
          <w:rFonts w:ascii="Arial" w:cs="Arial" w:eastAsia="Arial" w:hAnsi="Arial"/>
          <w:sz w:val="16"/>
          <w:szCs w:val="16"/>
          <w:i w:val="1"/>
          <w:iCs w:val="1"/>
          <w:color w:val="auto"/>
        </w:rPr>
        <w:t>Closing Date</w:t>
      </w:r>
      <w:r>
        <w:rPr>
          <w:rFonts w:ascii="Arial" w:cs="Arial" w:eastAsia="Arial" w:hAnsi="Arial"/>
          <w:sz w:val="16"/>
          <w:szCs w:val="16"/>
          <w:color w:val="auto"/>
        </w:rPr>
        <w:t>) of either (i) a Private Financing or a Public Offering, each as defined in the agreement.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newly created Series B Convertible Preferred Stock with an aggregate liquidation preference equal to the Outstanding Balance on the Closing Date. Prior to the agreement, the Senior Notes were convertible, at Platinum’s option, at any time prior to maturity at a conversion price of $10.00 per share. The modification of the conversion feature in the Senior Notes was treated as an extinguishment of the debt for accounting purposes. Accordingly, since the fair value of the amended Senior Notes substantially exceeded the carrying amount of the original notes, we recognized a non-cash loss on the extinguishment of debt in the aggregate amount of $1,603,400 attributable to the amendment.</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As described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to the Consolidated Financial Statements included in Item 8 of this Annual Report on Form 10-K, in October 2014, we accepted a cash payment of $60,000 as settlement in full for a promissory note issued to us in May 2011 for the purchase of shares of our common stock. At the time of the payment, the principal and accrued interest due to us under the note receivable was $194,900, resulting in a recognized loss of $134,900 related to the settlement.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our inception in May 1998 through March 31, 2015, we have financed our operations and technology acquisitions primarily through the issuance and sale of equity and debt securities, including convertible promissory notes and short-term promissory notes, for cash proceeds of approximately $29.0 million. In addition, we have obtained an aggregate of approximately $16.4 million in government research grant awards, strategic collaboration payments and other revenues. Additionally, we have issued equity securities with an approximate value at issuance of $13.5 million in non-cash settlements of certain liabilities, including liabilities for professional services rendered to us or as compensation for such services.</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Between late-March 2014 and March 31, 2015, we entered into securities purchase agreements with accredited investors and institutions, including Platinum, pursuant to which we sold units to such accredited investors, in private placement transactions (</w:t>
      </w:r>
      <w:r>
        <w:rPr>
          <w:rFonts w:ascii="Arial" w:cs="Arial" w:eastAsia="Arial" w:hAnsi="Arial"/>
          <w:sz w:val="16"/>
          <w:szCs w:val="16"/>
          <w:i w:val="1"/>
          <w:iCs w:val="1"/>
          <w:color w:val="auto"/>
        </w:rPr>
        <w:t>2014 Units</w:t>
      </w:r>
      <w:r>
        <w:rPr>
          <w:rFonts w:ascii="Arial" w:cs="Arial" w:eastAsia="Arial" w:hAnsi="Arial"/>
          <w:sz w:val="16"/>
          <w:szCs w:val="16"/>
          <w:color w:val="auto"/>
        </w:rPr>
        <w:t xml:space="preserve"> or </w:t>
      </w:r>
      <w:r>
        <w:rPr>
          <w:rFonts w:ascii="Arial" w:cs="Arial" w:eastAsia="Arial" w:hAnsi="Arial"/>
          <w:sz w:val="16"/>
          <w:szCs w:val="16"/>
          <w:i w:val="1"/>
          <w:iCs w:val="1"/>
          <w:color w:val="auto"/>
        </w:rPr>
        <w:t>2014 Unit Private Placement</w:t>
      </w:r>
      <w:r>
        <w:rPr>
          <w:rFonts w:ascii="Arial" w:cs="Arial" w:eastAsia="Arial" w:hAnsi="Arial"/>
          <w:sz w:val="16"/>
          <w:szCs w:val="16"/>
          <w:color w:val="auto"/>
        </w:rPr>
        <w:t>), for aggregate cash proceeds of $3,113,500, consisting of (i) 2014 Unit Notes in the aggregate face amount of $3,113,500 which matured between March 31, 2015 and April 30, 2015, or were automatically convertible into securities we might issue upon the consummation of a Qualified Financing, as defined, (ii) an aggregate of 282,850 restricted shares of our common stock (</w:t>
      </w:r>
      <w:r>
        <w:rPr>
          <w:rFonts w:ascii="Arial" w:cs="Arial" w:eastAsia="Arial" w:hAnsi="Arial"/>
          <w:sz w:val="16"/>
          <w:szCs w:val="16"/>
          <w:i w:val="1"/>
          <w:iCs w:val="1"/>
          <w:color w:val="auto"/>
        </w:rPr>
        <w:t>2014 Unit Stock)</w:t>
      </w:r>
      <w:r>
        <w:rPr>
          <w:rFonts w:ascii="Arial" w:cs="Arial" w:eastAsia="Arial" w:hAnsi="Arial"/>
          <w:sz w:val="16"/>
          <w:szCs w:val="16"/>
          <w:color w:val="auto"/>
        </w:rPr>
        <w:t>; and (iii) warrants exercisable through December 31, 2016 to purchase an aggregate of 282,850 restricted shares of our common stock at an exercise price of $10.00 per share (</w:t>
      </w:r>
      <w:r>
        <w:rPr>
          <w:rFonts w:ascii="Arial" w:cs="Arial" w:eastAsia="Arial" w:hAnsi="Arial"/>
          <w:sz w:val="16"/>
          <w:szCs w:val="16"/>
          <w:i w:val="1"/>
          <w:iCs w:val="1"/>
          <w:color w:val="auto"/>
        </w:rPr>
        <w:t>2014 Unit Warrants</w:t>
      </w:r>
      <w:r>
        <w:rPr>
          <w:rFonts w:ascii="Arial" w:cs="Arial" w:eastAsia="Arial" w:hAnsi="Arial"/>
          <w:sz w:val="16"/>
          <w:szCs w:val="16"/>
          <w:color w:val="auto"/>
        </w:rPr>
        <w:t>). We currently anticipate that we will need to obtain approximately $7.0 million in financing over the course of the next twelve months to execute our business plan.</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At March 31, 2015, we did not have sufficient cash and cash equivalents to enable us to fund our planned operations, including expected cash expenditures of approximately $7.0 million through the next twelve months. To meet our operational needs and fund our working capital requirements after March 31, 2015, we extended the 2014 Unit Private Placement and, through May 14, 2015, we entered into additional securities purchase agreements with accredited investors pursuant to which we sold to such accredited investors 2014 Units, for aggregate cash proceeds of $280,000, consisting of: (i) 10% convertible promissory notes maturing between April 30, 2015 and May 15, 2015, in the aggregate face amount of $280,000, (ii) an aggregate of 33,000 shares of our restricted common stock, and (iii) warrants exercisable through December 31, 2016 to purchase an aggregate of 24,250 restricted shares of our common stock at an exercise price of $10.00 per share.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4" w:name="page95"/>
    <w:bookmarkEnd w:id="9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Effective May 12, 2015, we entered into an Agreement with Platinum (</w:t>
      </w:r>
      <w:r>
        <w:rPr>
          <w:rFonts w:ascii="Arial" w:cs="Arial" w:eastAsia="Arial" w:hAnsi="Arial"/>
          <w:sz w:val="18"/>
          <w:szCs w:val="18"/>
          <w:i w:val="1"/>
          <w:iCs w:val="1"/>
          <w:color w:val="auto"/>
        </w:rPr>
        <w:t>Platinum Agreement</w:t>
      </w:r>
      <w:r>
        <w:rPr>
          <w:rFonts w:ascii="Arial" w:cs="Arial" w:eastAsia="Arial" w:hAnsi="Arial"/>
          <w:sz w:val="18"/>
          <w:szCs w:val="18"/>
          <w:color w:val="auto"/>
        </w:rPr>
        <w:t>), pursuant to which Platinum:</w:t>
      </w:r>
    </w:p>
    <w:p>
      <w:pPr>
        <w:spacing w:after="0" w:line="267" w:lineRule="exact"/>
        <w:rPr>
          <w:sz w:val="20"/>
          <w:szCs w:val="20"/>
          <w:color w:val="auto"/>
        </w:rPr>
      </w:pPr>
    </w:p>
    <w:p>
      <w:pPr>
        <w:jc w:val="both"/>
        <w:ind w:firstLine="163"/>
        <w:spacing w:after="0" w:line="253" w:lineRule="auto"/>
        <w:tabs>
          <w:tab w:leader="none" w:pos="4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Converted the approximately $4.5 million outstanding balance (principal and accrued but unpaid interest) of the Senior Notes we issued to Platinum into 641,335 shares of our newly-created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 , thereby cancelling approximately $4.5 million of our outstanding indebtedness;</w:t>
      </w:r>
    </w:p>
    <w:p>
      <w:pPr>
        <w:spacing w:after="0" w:line="214" w:lineRule="exact"/>
        <w:rPr>
          <w:rFonts w:ascii="Arial" w:cs="Arial" w:eastAsia="Arial" w:hAnsi="Arial"/>
          <w:sz w:val="18"/>
          <w:szCs w:val="18"/>
          <w:color w:val="auto"/>
        </w:rPr>
      </w:pPr>
    </w:p>
    <w:p>
      <w:pPr>
        <w:ind w:firstLine="163"/>
        <w:spacing w:after="0" w:line="262" w:lineRule="auto"/>
        <w:tabs>
          <w:tab w:leader="none" w:pos="4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Released all of its security interests in our assets and those of our subsidiaries by terminating the Amended and Restated Security Agreement, IP Security Agreement and Negative Covenant, each dated October 11, 2012 between us and Platinum;</w:t>
      </w:r>
    </w:p>
    <w:p>
      <w:pPr>
        <w:spacing w:after="0" w:line="232" w:lineRule="exact"/>
        <w:rPr>
          <w:rFonts w:ascii="Arial" w:cs="Arial" w:eastAsia="Arial" w:hAnsi="Arial"/>
          <w:sz w:val="18"/>
          <w:szCs w:val="18"/>
          <w:color w:val="auto"/>
        </w:rPr>
      </w:pPr>
    </w:p>
    <w:p>
      <w:pPr>
        <w:jc w:val="both"/>
        <w:ind w:firstLine="163"/>
        <w:spacing w:after="0" w:line="250" w:lineRule="auto"/>
        <w:tabs>
          <w:tab w:leader="none" w:pos="4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Converted the approximately $1.3 million outstanding balance (principal and accrued but unpaid interest) of the convertible promissory Notes we issued to Platinum in our 2014 Unit Private Placement (</w:t>
      </w:r>
      <w:r>
        <w:rPr>
          <w:rFonts w:ascii="Arial" w:cs="Arial" w:eastAsia="Arial" w:hAnsi="Arial"/>
          <w:sz w:val="18"/>
          <w:szCs w:val="18"/>
          <w:i w:val="1"/>
          <w:iCs w:val="1"/>
          <w:color w:val="auto"/>
        </w:rPr>
        <w:t>2014 Unit Notes</w:t>
      </w:r>
      <w:r>
        <w:rPr>
          <w:rFonts w:ascii="Arial" w:cs="Arial" w:eastAsia="Arial" w:hAnsi="Arial"/>
          <w:sz w:val="18"/>
          <w:szCs w:val="18"/>
          <w:color w:val="auto"/>
        </w:rPr>
        <w:t>) into 240,305 shares of Series B Preferred and five-year warrants to purchase 240,305 shares of our common stock at a fixed exercise price of $7.00 per share (</w:t>
      </w:r>
      <w:r>
        <w:rPr>
          <w:rFonts w:ascii="Arial" w:cs="Arial" w:eastAsia="Arial" w:hAnsi="Arial"/>
          <w:sz w:val="18"/>
          <w:szCs w:val="18"/>
          <w:i w:val="1"/>
          <w:iCs w:val="1"/>
          <w:color w:val="auto"/>
        </w:rPr>
        <w:t>Series B Warrants</w:t>
      </w:r>
      <w:r>
        <w:rPr>
          <w:rFonts w:ascii="Arial" w:cs="Arial" w:eastAsia="Arial" w:hAnsi="Arial"/>
          <w:sz w:val="18"/>
          <w:szCs w:val="18"/>
          <w:color w:val="auto"/>
        </w:rPr>
        <w:t>), thereby cancelling approximately $1.3 million of our outstanding indebtedness;</w:t>
      </w:r>
    </w:p>
    <w:p>
      <w:pPr>
        <w:spacing w:after="0" w:line="243" w:lineRule="exact"/>
        <w:rPr>
          <w:rFonts w:ascii="Arial" w:cs="Arial" w:eastAsia="Arial" w:hAnsi="Arial"/>
          <w:sz w:val="18"/>
          <w:szCs w:val="18"/>
          <w:color w:val="auto"/>
        </w:rPr>
      </w:pPr>
    </w:p>
    <w:p>
      <w:pPr>
        <w:jc w:val="both"/>
        <w:ind w:firstLine="163"/>
        <w:spacing w:after="0" w:line="250" w:lineRule="auto"/>
        <w:tabs>
          <w:tab w:leader="none" w:pos="4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8"/>
          <w:szCs w:val="18"/>
          <w:i w:val="1"/>
          <w:iCs w:val="1"/>
          <w:color w:val="auto"/>
        </w:rPr>
        <w:t>Investor 2014 Unit Notes</w:t>
      </w:r>
      <w:r>
        <w:rPr>
          <w:rFonts w:ascii="Arial" w:cs="Arial" w:eastAsia="Arial" w:hAnsi="Arial"/>
          <w:sz w:val="18"/>
          <w:szCs w:val="18"/>
          <w:color w:val="auto"/>
        </w:rPr>
        <w:t xml:space="preserve"> ) and converted the entire outstanding balance of the Investor 2014 Unit Notes into 265,699 shares of Series B Preferred and Series B Warrants to purchase 265,699 shares of our common stock, thereby cancelling approximately $1.5 million of our outstanding indebtedness;</w:t>
      </w:r>
    </w:p>
    <w:p>
      <w:pPr>
        <w:spacing w:after="0" w:line="243" w:lineRule="exact"/>
        <w:rPr>
          <w:rFonts w:ascii="Arial" w:cs="Arial" w:eastAsia="Arial" w:hAnsi="Arial"/>
          <w:sz w:val="18"/>
          <w:szCs w:val="18"/>
          <w:color w:val="auto"/>
        </w:rPr>
      </w:pPr>
    </w:p>
    <w:p>
      <w:pPr>
        <w:ind w:firstLine="163"/>
        <w:spacing w:after="0" w:line="324" w:lineRule="auto"/>
        <w:tabs>
          <w:tab w:leader="none" w:pos="413" w:val="left"/>
        </w:tabs>
        <w:numPr>
          <w:ilvl w:val="0"/>
          <w:numId w:val="49"/>
        </w:numPr>
        <w:rPr>
          <w:rFonts w:ascii="Arial" w:cs="Arial" w:eastAsia="Arial" w:hAnsi="Arial"/>
          <w:sz w:val="16"/>
          <w:szCs w:val="16"/>
          <w:color w:val="auto"/>
        </w:rPr>
      </w:pPr>
      <w:r>
        <w:rPr>
          <w:rFonts w:ascii="Arial" w:cs="Arial" w:eastAsia="Arial" w:hAnsi="Arial"/>
          <w:sz w:val="16"/>
          <w:szCs w:val="16"/>
          <w:color w:val="auto"/>
        </w:rPr>
        <w:t>Signed and delivered a Securities Purchase Agreement (</w:t>
      </w:r>
      <w:r>
        <w:rPr>
          <w:rFonts w:ascii="Arial" w:cs="Arial" w:eastAsia="Arial" w:hAnsi="Arial"/>
          <w:sz w:val="16"/>
          <w:szCs w:val="16"/>
          <w:i w:val="1"/>
          <w:iCs w:val="1"/>
          <w:color w:val="auto"/>
        </w:rPr>
        <w:t>SPA</w:t>
      </w:r>
      <w:r>
        <w:rPr>
          <w:rFonts w:ascii="Arial" w:cs="Arial" w:eastAsia="Arial" w:hAnsi="Arial"/>
          <w:sz w:val="16"/>
          <w:szCs w:val="16"/>
          <w:color w:val="auto"/>
        </w:rPr>
        <w:t>) to purchase, for $1.0 million, a total of 142,857 shares of Series B Preferred and a Series B Warrant to purchase 142,857 shares of our common stock, on or before June 11, 2015 (a portion of which purchase was consummated on June 19, 2015);</w:t>
      </w:r>
    </w:p>
    <w:p>
      <w:pPr>
        <w:spacing w:after="0" w:line="188" w:lineRule="exact"/>
        <w:rPr>
          <w:rFonts w:ascii="Arial" w:cs="Arial" w:eastAsia="Arial" w:hAnsi="Arial"/>
          <w:sz w:val="16"/>
          <w:szCs w:val="16"/>
          <w:color w:val="auto"/>
        </w:rPr>
      </w:pPr>
    </w:p>
    <w:p>
      <w:pPr>
        <w:ind w:left="420" w:hanging="257"/>
        <w:spacing w:after="0"/>
        <w:tabs>
          <w:tab w:leader="none" w:pos="4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Amended the Platinum Warrants (all warrants previously issued by us to Platinum in connection with the Senior Notes) and the Series A Exchange Warrant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w:t>
      </w:r>
    </w:p>
    <w:p>
      <w:pPr>
        <w:spacing w:after="0" w:line="255" w:lineRule="exact"/>
        <w:rPr>
          <w:sz w:val="20"/>
          <w:szCs w:val="20"/>
          <w:color w:val="auto"/>
        </w:rPr>
      </w:pPr>
    </w:p>
    <w:p>
      <w:pPr>
        <w:ind w:left="780" w:hanging="301"/>
        <w:spacing w:after="0"/>
        <w:tabs>
          <w:tab w:leader="none" w:pos="7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fix the exercise price of Platinum Warrants and the Series A Exchange Warrant at $7.00 per share;</w:t>
      </w:r>
    </w:p>
    <w:p>
      <w:pPr>
        <w:spacing w:after="0" w:line="267" w:lineRule="exact"/>
        <w:rPr>
          <w:rFonts w:ascii="Arial" w:cs="Arial" w:eastAsia="Arial" w:hAnsi="Arial"/>
          <w:sz w:val="18"/>
          <w:szCs w:val="18"/>
          <w:color w:val="auto"/>
        </w:rPr>
      </w:pPr>
    </w:p>
    <w:p>
      <w:pPr>
        <w:ind w:left="780" w:hanging="301"/>
        <w:spacing w:after="0"/>
        <w:tabs>
          <w:tab w:leader="none" w:pos="7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eliminate the exercise price reset features and fix the number of shares of our common stock issuable thereunder; and</w:t>
      </w:r>
    </w:p>
    <w:p>
      <w:pPr>
        <w:spacing w:after="0" w:line="267" w:lineRule="exact"/>
        <w:rPr>
          <w:rFonts w:ascii="Arial" w:cs="Arial" w:eastAsia="Arial" w:hAnsi="Arial"/>
          <w:sz w:val="18"/>
          <w:szCs w:val="18"/>
          <w:color w:val="auto"/>
        </w:rPr>
      </w:pPr>
    </w:p>
    <w:p>
      <w:pPr>
        <w:ind w:left="780" w:hanging="301"/>
        <w:spacing w:after="0"/>
        <w:tabs>
          <w:tab w:leader="none" w:pos="7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eliminate the cashless exercise provisions from the Platinum Warrants and the Series A Exchange Warrant; and</w:t>
      </w:r>
    </w:p>
    <w:p>
      <w:pPr>
        <w:spacing w:after="0" w:line="267" w:lineRule="exact"/>
        <w:rPr>
          <w:rFonts w:ascii="Arial" w:cs="Arial" w:eastAsia="Arial" w:hAnsi="Arial"/>
          <w:sz w:val="18"/>
          <w:szCs w:val="18"/>
          <w:color w:val="auto"/>
        </w:rPr>
      </w:pPr>
    </w:p>
    <w:p>
      <w:pPr>
        <w:jc w:val="both"/>
        <w:ind w:firstLine="163"/>
        <w:spacing w:after="0" w:line="253" w:lineRule="auto"/>
        <w:tabs>
          <w:tab w:leader="none" w:pos="42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additional consideration for the agreements of Platinum under the Platinum Agreement, we issued to Platinum 400,000 shares of Series B Preferred and Warrants to purchase 1.2 million shares of our common stock and exchanged 30,000 shares of our common stock currently beneficially owned or controlled by Platinum for 30,000 shares of Series B Preferred.</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May 20, 2015, holders of the remaining approximately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Between May 26, 2015 and June 25, 2015, we sold to accredited investors and institutions an aggregate of $557,500 of units in our Series B Preferred Unit offering, which units consist of Series B Preferred and Series B Warrants (together </w:t>
      </w:r>
      <w:r>
        <w:rPr>
          <w:rFonts w:ascii="Arial" w:cs="Arial" w:eastAsia="Arial" w:hAnsi="Arial"/>
          <w:sz w:val="16"/>
          <w:szCs w:val="16"/>
          <w:i w:val="1"/>
          <w:iCs w:val="1"/>
          <w:color w:val="auto"/>
        </w:rPr>
        <w:t>Series B Preferred Units</w:t>
      </w:r>
      <w:r>
        <w:rPr>
          <w:rFonts w:ascii="Arial" w:cs="Arial" w:eastAsia="Arial" w:hAnsi="Arial"/>
          <w:sz w:val="16"/>
          <w:szCs w:val="16"/>
          <w:color w:val="auto"/>
        </w:rPr>
        <w:t xml:space="preserve">), including $100,000 to Platinum. We issued 79,646 shares of Series B Preferred and Series B Warrants to purchase 79,646 shares of our common stock. We have received an aggregate of $557,500 in cash proceeds from the sale of the Series B Preferred Units. As described more completely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to the Consolidated Financial Statements included in Item 8 of this Annual Report on Form 10-K, each share of Series B Preferred is convertible into one share of our common stock and the Series B Warrants are exercisable at a fixed price of $7.00 per share for a term of five years following issuance.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5" w:name="page96"/>
    <w:bookmarkEnd w:id="9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Additionally, holders of certain of our promissory notes outstanding at March 31, 2015 and thereafter, including Morrison &amp; Foerster, University Health Network, Cato Research Ltd., McCarthy Tetrault, and certain other service providers converted notes payable or accounts payable having an aggregate balance of approximately $5.8 million (principal and accrued but unpaid interest and certain strategic adjustments) into 831,577 shares of Series B Preferred.</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Since March 31, 2015, we have eliminated approximately $14.9 million of promissory notes, other debt and certain adjustments thereto that was either already due and payable or would have otherwise matured prior to March 31, 2016, through conversion into our Series B Preferred and, with respect to a portion of the indebtedness converted, warrants to purchase common stock. Together with the cash proceeds from our Series B Preferred Unit Offering, our working capital position has improved significantly since March 31, 2015. We will, however, need to raise additional capital to fund our operations and execute our business plan over the next year and thereafter.</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believe that our participation in potential strategic collaborations, including potential transactions involving AV-101 such as our February 2015 Cooperative Research and Development Agreement with the U.S. National Institutes of Health (NIH) for an NIH-funded and sponsored Phase 2 study of AV-101 in MDD, may provide resources to support a portion of our future cash needs and working capital requirements, however, no assurances can be provided. When and as necessary, we will seek to raise a material amount of financing through a combination of additional private placements and/or registered public offerings of our securities, which may include both debt and equity securities, stem cell technology-based research and development collaborations, stem cell technology and drug candidate license fees, and government grant awards and collaborations. Our future working capital requirements will depend on many factors, including, without limitation, the scope and nature of strategic opportunities related to our success in clinical trials of and further developing AV-101 as a treatment for MDD and/or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applications of our stem cell technology platform, as well as support our operating activities, we plan to continue to carefully manage our routine operating costs, including salaries and benefits, regulatory consulting, contract research and development, legal, accounting, public company compliance and other professional services and working capital costs.</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0"/>
        </w:trPr>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Fiscal Years Ended</w:t>
            </w:r>
          </w:p>
        </w:tc>
      </w:tr>
      <w:tr>
        <w:trPr>
          <w:trHeight w:val="235"/>
        </w:trPr>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7"/>
        </w:trPr>
        <w:tc>
          <w:tcPr>
            <w:tcW w:w="8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18"/>
                <w:szCs w:val="18"/>
                <w:color w:val="auto"/>
              </w:rPr>
            </w:pPr>
          </w:p>
        </w:tc>
      </w:tr>
      <w:tr>
        <w:trPr>
          <w:trHeight w:val="211"/>
        </w:trPr>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(2,769)</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(2,126)</w:t>
            </w: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7"/>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w:t>
            </w:r>
          </w:p>
        </w:tc>
      </w:tr>
      <w:tr>
        <w:trPr>
          <w:trHeight w:val="211"/>
        </w:trPr>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1"/>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w:t>
            </w:r>
          </w:p>
        </w:tc>
      </w:tr>
      <w:tr>
        <w:trPr>
          <w:trHeight w:val="217"/>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r>
      <w:tr>
        <w:trPr>
          <w:trHeight w:val="211"/>
        </w:trPr>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0"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wholly-owned subsidiaries, Artemis Neuroscience, Inc., a Maryland corporation, and VistaStem Canada, Inc., an Ontario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since we qualify as a smaller reporting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6" w:name="page97"/>
    <w:bookmarkEnd w:id="9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8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Page</w:t>
            </w:r>
          </w:p>
        </w:tc>
      </w:tr>
      <w:tr>
        <w:trPr>
          <w:trHeight w:val="191"/>
        </w:trPr>
        <w:tc>
          <w:tcPr>
            <w:tcW w:w="4120" w:type="dxa"/>
            <w:vAlign w:val="bottom"/>
            <w:tcBorders>
              <w:bottom w:val="single" w:sz="8" w:color="0000EE"/>
            </w:tcBorders>
            <w:gridSpan w:val="5"/>
            <w:shd w:val="clear" w:color="auto" w:fill="CCEEFF"/>
          </w:tcPr>
          <w:p>
            <w:pPr>
              <w:spacing w:after="0" w:line="171"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Report of Independent Registered Public Accounting Firm</w:t>
              </w:r>
            </w:hyperlink>
          </w:p>
        </w:tc>
        <w:tc>
          <w:tcPr>
            <w:tcW w:w="940" w:type="dxa"/>
            <w:vAlign w:val="bottom"/>
            <w:tcBorders>
              <w:bottom w:val="single" w:sz="8" w:color="CCEEFF"/>
            </w:tcBorders>
            <w:gridSpan w:val="2"/>
            <w:shd w:val="clear" w:color="auto" w:fill="CCEEFF"/>
          </w:tcPr>
          <w:p>
            <w:pPr>
              <w:spacing w:after="0"/>
              <w:rPr>
                <w:sz w:val="16"/>
                <w:szCs w:val="16"/>
                <w:color w:val="auto"/>
              </w:rPr>
            </w:pPr>
          </w:p>
        </w:tc>
        <w:tc>
          <w:tcPr>
            <w:tcW w:w="6360" w:type="dxa"/>
            <w:vAlign w:val="bottom"/>
            <w:tcBorders>
              <w:bottom w:val="single" w:sz="8" w:color="CCEEFF"/>
            </w:tcBorders>
            <w:gridSpan w:val="2"/>
            <w:shd w:val="clear" w:color="auto" w:fill="CCEEFF"/>
          </w:tcPr>
          <w:p>
            <w:pPr>
              <w:jc w:val="center"/>
              <w:ind w:left="4432"/>
              <w:spacing w:after="0" w:line="171" w:lineRule="exact"/>
              <w:rPr>
                <w:sz w:val="20"/>
                <w:szCs w:val="20"/>
                <w:color w:val="auto"/>
              </w:rPr>
            </w:pPr>
            <w:r>
              <w:rPr>
                <w:rFonts w:ascii="Arial" w:cs="Arial" w:eastAsia="Arial" w:hAnsi="Arial"/>
                <w:sz w:val="18"/>
                <w:szCs w:val="18"/>
                <w:color w:val="auto"/>
                <w:w w:val="79"/>
              </w:rPr>
              <w:t>95</w:t>
            </w:r>
          </w:p>
        </w:tc>
      </w:tr>
      <w:tr>
        <w:trPr>
          <w:trHeight w:val="171"/>
        </w:trPr>
        <w:tc>
          <w:tcPr>
            <w:tcW w:w="5060" w:type="dxa"/>
            <w:vAlign w:val="bottom"/>
            <w:gridSpan w:val="7"/>
          </w:tcPr>
          <w:p>
            <w:pPr>
              <w:spacing w:after="0" w:line="171" w:lineRule="exact"/>
              <w:rPr>
                <w:rFonts w:ascii="Arial" w:cs="Arial" w:eastAsia="Arial" w:hAnsi="Arial"/>
                <w:sz w:val="18"/>
                <w:szCs w:val="18"/>
                <w:color w:val="0000EE"/>
              </w:rPr>
            </w:pPr>
            <w:hyperlink w:anchor="page99">
              <w:r>
                <w:rPr>
                  <w:rFonts w:ascii="Arial" w:cs="Arial" w:eastAsia="Arial" w:hAnsi="Arial"/>
                  <w:sz w:val="18"/>
                  <w:szCs w:val="18"/>
                  <w:color w:val="0000EE"/>
                </w:rPr>
                <w:t>Consolidated Balance Sheets</w:t>
              </w:r>
            </w:hyperlink>
          </w:p>
        </w:tc>
        <w:tc>
          <w:tcPr>
            <w:tcW w:w="6360" w:type="dxa"/>
            <w:vAlign w:val="bottom"/>
            <w:gridSpan w:val="2"/>
          </w:tcPr>
          <w:p>
            <w:pPr>
              <w:jc w:val="center"/>
              <w:ind w:left="4432"/>
              <w:spacing w:after="0" w:line="171" w:lineRule="exact"/>
              <w:rPr>
                <w:sz w:val="20"/>
                <w:szCs w:val="20"/>
                <w:color w:val="auto"/>
              </w:rPr>
            </w:pPr>
            <w:r>
              <w:rPr>
                <w:rFonts w:ascii="Arial" w:cs="Arial" w:eastAsia="Arial" w:hAnsi="Arial"/>
                <w:sz w:val="18"/>
                <w:szCs w:val="18"/>
                <w:color w:val="auto"/>
                <w:w w:val="79"/>
              </w:rPr>
              <w:t>96</w:t>
            </w:r>
          </w:p>
        </w:tc>
      </w:tr>
      <w:tr>
        <w:trPr>
          <w:trHeight w:val="30"/>
        </w:trPr>
        <w:tc>
          <w:tcPr>
            <w:tcW w:w="204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00"/>
        </w:trPr>
        <w:tc>
          <w:tcPr>
            <w:tcW w:w="5060" w:type="dxa"/>
            <w:vAlign w:val="bottom"/>
            <w:gridSpan w:val="7"/>
            <w:shd w:val="clear" w:color="auto" w:fill="CCEEFF"/>
          </w:tcPr>
          <w:p>
            <w:pPr>
              <w:spacing w:after="0" w:line="181"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Consolidated Statements of Operations and Comprehensive Loss</w:t>
              </w:r>
            </w:hyperlink>
          </w:p>
        </w:tc>
        <w:tc>
          <w:tcPr>
            <w:tcW w:w="6360" w:type="dxa"/>
            <w:vAlign w:val="bottom"/>
            <w:gridSpan w:val="2"/>
            <w:shd w:val="clear" w:color="auto" w:fill="CCEEFF"/>
          </w:tcPr>
          <w:p>
            <w:pPr>
              <w:jc w:val="center"/>
              <w:ind w:left="4432"/>
              <w:spacing w:after="0" w:line="181" w:lineRule="exact"/>
              <w:rPr>
                <w:sz w:val="20"/>
                <w:szCs w:val="20"/>
                <w:color w:val="auto"/>
              </w:rPr>
            </w:pPr>
            <w:r>
              <w:rPr>
                <w:rFonts w:ascii="Arial" w:cs="Arial" w:eastAsia="Arial" w:hAnsi="Arial"/>
                <w:sz w:val="18"/>
                <w:szCs w:val="18"/>
                <w:color w:val="auto"/>
                <w:w w:val="79"/>
              </w:rPr>
              <w:t>97</w:t>
            </w:r>
          </w:p>
        </w:tc>
      </w:tr>
      <w:tr>
        <w:trPr>
          <w:trHeight w:val="171"/>
        </w:trPr>
        <w:tc>
          <w:tcPr>
            <w:tcW w:w="4560" w:type="dxa"/>
            <w:vAlign w:val="bottom"/>
            <w:tcBorders>
              <w:top w:val="single" w:sz="8" w:color="0000EE"/>
            </w:tcBorders>
            <w:gridSpan w:val="6"/>
          </w:tcPr>
          <w:p>
            <w:pPr>
              <w:spacing w:after="0" w:line="171" w:lineRule="exact"/>
              <w:rPr>
                <w:rFonts w:ascii="Arial" w:cs="Arial" w:eastAsia="Arial" w:hAnsi="Arial"/>
                <w:sz w:val="18"/>
                <w:szCs w:val="18"/>
                <w:color w:val="0000EE"/>
              </w:rPr>
            </w:pPr>
            <w:hyperlink w:anchor="page101">
              <w:r>
                <w:rPr>
                  <w:rFonts w:ascii="Arial" w:cs="Arial" w:eastAsia="Arial" w:hAnsi="Arial"/>
                  <w:sz w:val="18"/>
                  <w:szCs w:val="18"/>
                  <w:color w:val="0000EE"/>
                </w:rPr>
                <w:t>Consolidated Statements of Cash Flows</w:t>
              </w:r>
            </w:hyperlink>
          </w:p>
        </w:tc>
        <w:tc>
          <w:tcPr>
            <w:tcW w:w="500" w:type="dxa"/>
            <w:vAlign w:val="bottom"/>
            <w:tcBorders>
              <w:top w:val="single" w:sz="8" w:color="CCEEFF"/>
            </w:tcBorders>
          </w:tcPr>
          <w:p>
            <w:pPr>
              <w:spacing w:after="0"/>
              <w:rPr>
                <w:sz w:val="14"/>
                <w:szCs w:val="14"/>
                <w:color w:val="auto"/>
              </w:rPr>
            </w:pPr>
          </w:p>
        </w:tc>
        <w:tc>
          <w:tcPr>
            <w:tcW w:w="6360" w:type="dxa"/>
            <w:vAlign w:val="bottom"/>
            <w:tcBorders>
              <w:top w:val="single" w:sz="8" w:color="CCEEFF"/>
            </w:tcBorders>
            <w:gridSpan w:val="2"/>
          </w:tcPr>
          <w:p>
            <w:pPr>
              <w:jc w:val="center"/>
              <w:ind w:left="4432"/>
              <w:spacing w:after="0" w:line="171" w:lineRule="exact"/>
              <w:rPr>
                <w:sz w:val="20"/>
                <w:szCs w:val="20"/>
                <w:color w:val="auto"/>
              </w:rPr>
            </w:pPr>
            <w:r>
              <w:rPr>
                <w:rFonts w:ascii="Arial" w:cs="Arial" w:eastAsia="Arial" w:hAnsi="Arial"/>
                <w:sz w:val="18"/>
                <w:szCs w:val="18"/>
                <w:color w:val="auto"/>
                <w:w w:val="79"/>
              </w:rPr>
              <w:t>98</w:t>
            </w:r>
          </w:p>
        </w:tc>
      </w:tr>
      <w:tr>
        <w:trPr>
          <w:trHeight w:val="30"/>
        </w:trPr>
        <w:tc>
          <w:tcPr>
            <w:tcW w:w="204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00"/>
        </w:trPr>
        <w:tc>
          <w:tcPr>
            <w:tcW w:w="3460" w:type="dxa"/>
            <w:vAlign w:val="bottom"/>
            <w:tcBorders>
              <w:bottom w:val="single" w:sz="8" w:color="0000EE"/>
            </w:tcBorders>
            <w:gridSpan w:val="4"/>
            <w:shd w:val="clear" w:color="auto" w:fill="CCEEFF"/>
          </w:tcPr>
          <w:p>
            <w:pPr>
              <w:spacing w:after="0" w:line="181"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Consolidated Statements of Stockholders' Deficit</w:t>
              </w:r>
            </w:hyperlink>
          </w:p>
        </w:tc>
        <w:tc>
          <w:tcPr>
            <w:tcW w:w="1600" w:type="dxa"/>
            <w:vAlign w:val="bottom"/>
            <w:tcBorders>
              <w:bottom w:val="single" w:sz="8" w:color="CCEEFF"/>
            </w:tcBorders>
            <w:gridSpan w:val="3"/>
            <w:shd w:val="clear" w:color="auto" w:fill="CCEEFF"/>
          </w:tcPr>
          <w:p>
            <w:pPr>
              <w:spacing w:after="0"/>
              <w:rPr>
                <w:sz w:val="17"/>
                <w:szCs w:val="17"/>
                <w:color w:val="auto"/>
              </w:rPr>
            </w:pPr>
          </w:p>
        </w:tc>
        <w:tc>
          <w:tcPr>
            <w:tcW w:w="6360" w:type="dxa"/>
            <w:vAlign w:val="bottom"/>
            <w:tcBorders>
              <w:bottom w:val="single" w:sz="8" w:color="CCEEFF"/>
            </w:tcBorders>
            <w:gridSpan w:val="2"/>
            <w:shd w:val="clear" w:color="auto" w:fill="CCEEFF"/>
          </w:tcPr>
          <w:p>
            <w:pPr>
              <w:jc w:val="center"/>
              <w:ind w:left="4432"/>
              <w:spacing w:after="0" w:line="181" w:lineRule="exact"/>
              <w:rPr>
                <w:sz w:val="20"/>
                <w:szCs w:val="20"/>
                <w:color w:val="auto"/>
              </w:rPr>
            </w:pPr>
            <w:r>
              <w:rPr>
                <w:rFonts w:ascii="Arial" w:cs="Arial" w:eastAsia="Arial" w:hAnsi="Arial"/>
                <w:sz w:val="18"/>
                <w:szCs w:val="18"/>
                <w:color w:val="auto"/>
                <w:w w:val="79"/>
              </w:rPr>
              <w:t>99</w:t>
            </w:r>
          </w:p>
        </w:tc>
      </w:tr>
      <w:tr>
        <w:trPr>
          <w:trHeight w:val="171"/>
        </w:trPr>
        <w:tc>
          <w:tcPr>
            <w:tcW w:w="5060" w:type="dxa"/>
            <w:vAlign w:val="bottom"/>
            <w:gridSpan w:val="7"/>
          </w:tcPr>
          <w:p>
            <w:pPr>
              <w:spacing w:after="0" w:line="171" w:lineRule="exact"/>
              <w:rPr>
                <w:rFonts w:ascii="Arial" w:cs="Arial" w:eastAsia="Arial" w:hAnsi="Arial"/>
                <w:sz w:val="18"/>
                <w:szCs w:val="18"/>
                <w:color w:val="0000EE"/>
              </w:rPr>
            </w:pPr>
            <w:hyperlink w:anchor="page104">
              <w:r>
                <w:rPr>
                  <w:rFonts w:ascii="Arial" w:cs="Arial" w:eastAsia="Arial" w:hAnsi="Arial"/>
                  <w:sz w:val="18"/>
                  <w:szCs w:val="18"/>
                  <w:color w:val="0000EE"/>
                </w:rPr>
                <w:t>Notes to Consolidated Financial Statements</w:t>
              </w:r>
            </w:hyperlink>
          </w:p>
        </w:tc>
        <w:tc>
          <w:tcPr>
            <w:tcW w:w="6360" w:type="dxa"/>
            <w:vAlign w:val="bottom"/>
            <w:gridSpan w:val="2"/>
          </w:tcPr>
          <w:p>
            <w:pPr>
              <w:jc w:val="center"/>
              <w:ind w:left="4432"/>
              <w:spacing w:after="0" w:line="171" w:lineRule="exact"/>
              <w:rPr>
                <w:sz w:val="20"/>
                <w:szCs w:val="20"/>
                <w:color w:val="auto"/>
              </w:rPr>
            </w:pPr>
            <w:r>
              <w:rPr>
                <w:rFonts w:ascii="Arial" w:cs="Arial" w:eastAsia="Arial" w:hAnsi="Arial"/>
                <w:sz w:val="18"/>
                <w:szCs w:val="18"/>
                <w:color w:val="auto"/>
                <w:w w:val="93"/>
              </w:rPr>
              <w:t>100</w:t>
            </w:r>
          </w:p>
        </w:tc>
      </w:tr>
      <w:tr>
        <w:trPr>
          <w:trHeight w:val="611"/>
        </w:trPr>
        <w:tc>
          <w:tcPr>
            <w:tcW w:w="20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20" w:type="dxa"/>
            <w:vAlign w:val="bottom"/>
          </w:tcPr>
          <w:p>
            <w:pPr>
              <w:jc w:val="right"/>
              <w:ind w:right="3632"/>
              <w:spacing w:after="0"/>
              <w:rPr>
                <w:sz w:val="20"/>
                <w:szCs w:val="20"/>
                <w:color w:val="auto"/>
              </w:rPr>
            </w:pPr>
            <w:r>
              <w:rPr>
                <w:rFonts w:ascii="Arial" w:cs="Arial" w:eastAsia="Arial" w:hAnsi="Arial"/>
                <w:sz w:val="18"/>
                <w:szCs w:val="18"/>
                <w:color w:val="auto"/>
              </w:rPr>
              <w:t>-94-</w:t>
            </w:r>
          </w:p>
        </w:tc>
        <w:tc>
          <w:tcPr>
            <w:tcW w:w="1840" w:type="dxa"/>
            <w:vAlign w:val="bottom"/>
          </w:tcPr>
          <w:p>
            <w:pPr>
              <w:spacing w:after="0"/>
              <w:rPr>
                <w:sz w:val="24"/>
                <w:szCs w:val="24"/>
                <w:color w:val="auto"/>
              </w:rPr>
            </w:pPr>
          </w:p>
        </w:tc>
      </w:tr>
      <w:tr>
        <w:trPr>
          <w:trHeight w:val="116"/>
        </w:trPr>
        <w:tc>
          <w:tcPr>
            <w:tcW w:w="20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7" w:name="page98"/>
    <w:bookmarkEnd w:id="9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ind w:left="270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0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have audited the accompanying consolidated balance sheets of VistaGen Therapeutics, Inc. as of March 31, 2015 and 2014 and the related consolidated statements of operations and comprehensive loss, cash flows, preferred stock, and stockholders’ deficit for the years then ended. These financial statements are the responsibility of the Company's management. Our responsibility is to express an opinion on these consolidated financial statements based on our audits.</w:t>
      </w:r>
    </w:p>
    <w:p>
      <w:pPr>
        <w:spacing w:after="0" w:line="15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VistaGen Therapeutics, Inc. at March 31, 2015 and 2014, and the consolidated results of its operations and its cash flows for the years then ended, in conformity with U.S. generally accepted accounting principles.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2015</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868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7"/>
        </w:trPr>
        <w:tc>
          <w:tcPr>
            <w:tcW w:w="1120" w:type="dxa"/>
            <w:vAlign w:val="bottom"/>
            <w:tcBorders>
              <w:top w:val="single" w:sz="8" w:color="0000EE"/>
            </w:tcBorders>
          </w:tcPr>
          <w:p>
            <w:pPr>
              <w:spacing w:after="0"/>
              <w:rPr>
                <w:sz w:val="24"/>
                <w:szCs w:val="24"/>
                <w:color w:val="auto"/>
              </w:rPr>
            </w:pPr>
          </w:p>
        </w:tc>
        <w:tc>
          <w:tcPr>
            <w:tcW w:w="7560" w:type="dxa"/>
            <w:vAlign w:val="bottom"/>
          </w:tcPr>
          <w:p>
            <w:pPr>
              <w:jc w:val="center"/>
              <w:ind w:left="1532"/>
              <w:spacing w:after="0"/>
              <w:rPr>
                <w:sz w:val="20"/>
                <w:szCs w:val="20"/>
                <w:color w:val="auto"/>
              </w:rPr>
            </w:pPr>
            <w:r>
              <w:rPr>
                <w:rFonts w:ascii="Arial" w:cs="Arial" w:eastAsia="Arial" w:hAnsi="Arial"/>
                <w:sz w:val="18"/>
                <w:szCs w:val="18"/>
                <w:b w:val="1"/>
                <w:bCs w:val="1"/>
                <w:color w:val="auto"/>
                <w:w w:val="98"/>
              </w:rPr>
              <w:t>VISTAGEN THERAPEUTICS, INC.</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1120" w:type="dxa"/>
            <w:vAlign w:val="bottom"/>
          </w:tcPr>
          <w:p>
            <w:pPr>
              <w:spacing w:after="0"/>
              <w:rPr>
                <w:sz w:val="24"/>
                <w:szCs w:val="24"/>
                <w:color w:val="auto"/>
              </w:rPr>
            </w:pPr>
          </w:p>
        </w:tc>
        <w:tc>
          <w:tcPr>
            <w:tcW w:w="7560" w:type="dxa"/>
            <w:vAlign w:val="bottom"/>
          </w:tcPr>
          <w:p>
            <w:pPr>
              <w:jc w:val="center"/>
              <w:ind w:left="155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1120" w:type="dxa"/>
            <w:vAlign w:val="bottom"/>
          </w:tcPr>
          <w:p>
            <w:pPr>
              <w:spacing w:after="0"/>
              <w:rPr>
                <w:sz w:val="19"/>
                <w:szCs w:val="19"/>
                <w:color w:val="auto"/>
              </w:rPr>
            </w:pPr>
          </w:p>
        </w:tc>
        <w:tc>
          <w:tcPr>
            <w:tcW w:w="7560" w:type="dxa"/>
            <w:vAlign w:val="bottom"/>
          </w:tcPr>
          <w:p>
            <w:pPr>
              <w:jc w:val="center"/>
              <w:ind w:left="153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0"/>
        </w:trPr>
        <w:tc>
          <w:tcPr>
            <w:tcW w:w="1120" w:type="dxa"/>
            <w:vAlign w:val="bottom"/>
          </w:tcPr>
          <w:p>
            <w:pPr>
              <w:spacing w:after="0"/>
              <w:rPr>
                <w:sz w:val="24"/>
                <w:szCs w:val="24"/>
                <w:color w:val="auto"/>
              </w:rPr>
            </w:pPr>
          </w:p>
        </w:tc>
        <w:tc>
          <w:tcPr>
            <w:tcW w:w="7560" w:type="dxa"/>
            <w:vAlign w:val="bottom"/>
          </w:tcPr>
          <w:p>
            <w:pPr>
              <w:jc w:val="center"/>
              <w:ind w:left="1432"/>
              <w:spacing w:after="0"/>
              <w:rPr>
                <w:sz w:val="20"/>
                <w:szCs w:val="20"/>
                <w:color w:val="auto"/>
              </w:rPr>
            </w:pPr>
            <w:r>
              <w:rPr>
                <w:rFonts w:ascii="Arial" w:cs="Arial" w:eastAsia="Arial" w:hAnsi="Arial"/>
                <w:sz w:val="18"/>
                <w:szCs w:val="18"/>
                <w:b w:val="1"/>
                <w:bCs w:val="1"/>
                <w:color w:val="auto"/>
                <w:w w:val="97"/>
              </w:rPr>
              <w:t>VISTAGEN THERAPEUTICS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1120" w:type="dxa"/>
            <w:vAlign w:val="bottom"/>
          </w:tcPr>
          <w:p>
            <w:pPr>
              <w:spacing w:after="0"/>
              <w:rPr>
                <w:sz w:val="18"/>
                <w:szCs w:val="18"/>
                <w:color w:val="auto"/>
              </w:rPr>
            </w:pPr>
          </w:p>
        </w:tc>
        <w:tc>
          <w:tcPr>
            <w:tcW w:w="7560" w:type="dxa"/>
            <w:vAlign w:val="bottom"/>
          </w:tcPr>
          <w:p>
            <w:pPr>
              <w:jc w:val="center"/>
              <w:ind w:left="1432"/>
              <w:spacing w:after="0"/>
              <w:rPr>
                <w:sz w:val="20"/>
                <w:szCs w:val="20"/>
                <w:color w:val="auto"/>
              </w:rPr>
            </w:pPr>
            <w:r>
              <w:rPr>
                <w:rFonts w:ascii="Arial" w:cs="Arial" w:eastAsia="Arial" w:hAnsi="Arial"/>
                <w:sz w:val="18"/>
                <w:szCs w:val="18"/>
                <w:b w:val="1"/>
                <w:bCs w:val="1"/>
                <w:color w:val="auto"/>
                <w:w w:val="85"/>
              </w:rPr>
              <w:t>Consolidated Balance Sheets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7560" w:type="dxa"/>
            <w:vAlign w:val="bottom"/>
          </w:tcPr>
          <w:p>
            <w:pPr>
              <w:jc w:val="center"/>
              <w:ind w:left="1432"/>
              <w:spacing w:after="0"/>
              <w:rPr>
                <w:sz w:val="20"/>
                <w:szCs w:val="20"/>
                <w:color w:val="auto"/>
              </w:rPr>
            </w:pPr>
            <w:r>
              <w:rPr>
                <w:rFonts w:ascii="Arial" w:cs="Arial" w:eastAsia="Arial" w:hAnsi="Arial"/>
                <w:sz w:val="18"/>
                <w:szCs w:val="18"/>
                <w:color w:val="auto"/>
                <w:w w:val="92"/>
              </w:rPr>
              <w:t>Amounts in Dollars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4"/>
        </w:trPr>
        <w:tc>
          <w:tcPr>
            <w:tcW w:w="11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March 31,</w:t>
            </w:r>
          </w:p>
        </w:tc>
        <w:tc>
          <w:tcPr>
            <w:tcW w:w="14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r>
      <w:tr>
        <w:trPr>
          <w:trHeight w:val="235"/>
        </w:trPr>
        <w:tc>
          <w:tcPr>
            <w:tcW w:w="11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198"/>
        </w:trPr>
        <w:tc>
          <w:tcPr>
            <w:tcW w:w="1120" w:type="dxa"/>
            <w:vAlign w:val="bottom"/>
          </w:tcPr>
          <w:p>
            <w:pPr>
              <w:spacing w:after="0"/>
              <w:rPr>
                <w:sz w:val="17"/>
                <w:szCs w:val="17"/>
                <w:color w:val="auto"/>
              </w:rPr>
            </w:pPr>
          </w:p>
        </w:tc>
        <w:tc>
          <w:tcPr>
            <w:tcW w:w="7560" w:type="dxa"/>
            <w:vAlign w:val="bottom"/>
          </w:tcPr>
          <w:p>
            <w:pPr>
              <w:jc w:val="center"/>
              <w:ind w:left="1432"/>
              <w:spacing w:after="0" w:line="198" w:lineRule="exact"/>
              <w:rPr>
                <w:sz w:val="20"/>
                <w:szCs w:val="20"/>
                <w:color w:val="auto"/>
              </w:rPr>
            </w:pPr>
            <w:r>
              <w:rPr>
                <w:rFonts w:ascii="Arial" w:cs="Arial" w:eastAsia="Arial" w:hAnsi="Arial"/>
                <w:sz w:val="18"/>
                <w:szCs w:val="18"/>
                <w:b w:val="1"/>
                <w:bCs w:val="1"/>
                <w:color w:val="auto"/>
                <w:w w:val="88"/>
              </w:rPr>
              <w:t>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35,700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40,500</w:t>
            </w:r>
          </w:p>
        </w:tc>
      </w:tr>
      <w:tr>
        <w:trPr>
          <w:trHeight w:val="26"/>
        </w:trPr>
        <w:tc>
          <w:tcPr>
            <w:tcW w:w="11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86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40,500</w:t>
            </w:r>
          </w:p>
        </w:tc>
      </w:tr>
      <w:tr>
        <w:trPr>
          <w:trHeight w:val="211"/>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117,100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176,300</w:t>
            </w:r>
          </w:p>
        </w:tc>
      </w:tr>
      <w:tr>
        <w:trPr>
          <w:trHeight w:val="211"/>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46,900</w:t>
            </w:r>
          </w:p>
        </w:tc>
      </w:tr>
      <w:tr>
        <w:trPr>
          <w:trHeight w:val="26"/>
        </w:trPr>
        <w:tc>
          <w:tcPr>
            <w:tcW w:w="112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8680" w:type="dxa"/>
            <w:vAlign w:val="bottom"/>
            <w:gridSpan w:val="2"/>
          </w:tcPr>
          <w:p>
            <w:pPr>
              <w:ind w:left="68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269,700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263,700</w:t>
            </w:r>
          </w:p>
        </w:tc>
      </w:tr>
      <w:tr>
        <w:trPr>
          <w:trHeight w:val="20"/>
        </w:trPr>
        <w:tc>
          <w:tcPr>
            <w:tcW w:w="11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1120" w:type="dxa"/>
            <w:vAlign w:val="bottom"/>
            <w:shd w:val="clear" w:color="auto" w:fill="CCEEFF"/>
          </w:tcPr>
          <w:p>
            <w:pPr>
              <w:spacing w:after="0"/>
              <w:rPr>
                <w:sz w:val="17"/>
                <w:szCs w:val="17"/>
                <w:color w:val="auto"/>
              </w:rPr>
            </w:pPr>
          </w:p>
        </w:tc>
        <w:tc>
          <w:tcPr>
            <w:tcW w:w="7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1120" w:type="dxa"/>
            <w:vAlign w:val="bottom"/>
          </w:tcPr>
          <w:p>
            <w:pPr>
              <w:spacing w:after="0"/>
              <w:rPr>
                <w:sz w:val="18"/>
                <w:szCs w:val="18"/>
                <w:color w:val="auto"/>
              </w:rPr>
            </w:pPr>
          </w:p>
        </w:tc>
        <w:tc>
          <w:tcPr>
            <w:tcW w:w="7560" w:type="dxa"/>
            <w:vAlign w:val="bottom"/>
          </w:tcPr>
          <w:p>
            <w:pPr>
              <w:jc w:val="center"/>
              <w:ind w:left="1432"/>
              <w:spacing w:after="0"/>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2,251,100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2,443,900</w:t>
            </w:r>
          </w:p>
        </w:tc>
      </w:tr>
      <w:tr>
        <w:trPr>
          <w:trHeight w:val="211"/>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1,206,500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625,600</w:t>
            </w:r>
          </w:p>
        </w:tc>
      </w:tr>
      <w:tr>
        <w:trPr>
          <w:trHeight w:val="211"/>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Advance from officer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r>
      <w:tr>
        <w:trPr>
          <w:trHeight w:val="211"/>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senior secured convertible promissory notes and accrued interest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4,146,100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Current portion of notes payable, net of discount of $474,500 at March 31, 2014 and accrued interest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4,117,000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1,442,300</w:t>
            </w:r>
          </w:p>
        </w:tc>
      </w:tr>
      <w:tr>
        <w:trPr>
          <w:trHeight w:val="211"/>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notes payable to related parties, net of discount of $54,500 at March 31, 2015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680" w:type="dxa"/>
            <w:vAlign w:val="bottom"/>
            <w:gridSpan w:val="2"/>
          </w:tcPr>
          <w:p>
            <w:pPr>
              <w:ind w:left="680"/>
              <w:spacing w:after="0"/>
              <w:rPr>
                <w:sz w:val="20"/>
                <w:szCs w:val="20"/>
                <w:color w:val="auto"/>
              </w:rPr>
            </w:pPr>
            <w:r>
              <w:rPr>
                <w:rFonts w:ascii="Arial" w:cs="Arial" w:eastAsia="Arial" w:hAnsi="Arial"/>
                <w:sz w:val="18"/>
                <w:szCs w:val="18"/>
                <w:color w:val="auto"/>
              </w:rPr>
              <w:t>and accrued interest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1,508,800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290,400</w:t>
            </w:r>
          </w:p>
        </w:tc>
      </w:tr>
      <w:tr>
        <w:trPr>
          <w:trHeight w:val="211"/>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Convertible promissory notes and accrued interest, net of discount of $180,000 at March 31, 2015 and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680" w:type="dxa"/>
            <w:vAlign w:val="bottom"/>
            <w:gridSpan w:val="2"/>
          </w:tcPr>
          <w:p>
            <w:pPr>
              <w:ind w:left="540"/>
              <w:spacing w:after="0"/>
              <w:rPr>
                <w:sz w:val="20"/>
                <w:szCs w:val="20"/>
                <w:color w:val="auto"/>
              </w:rPr>
            </w:pPr>
            <w:r>
              <w:rPr>
                <w:rFonts w:ascii="Arial" w:cs="Arial" w:eastAsia="Arial" w:hAnsi="Arial"/>
                <w:sz w:val="18"/>
                <w:szCs w:val="18"/>
                <w:color w:val="auto"/>
              </w:rPr>
              <w:t>$697,400 at March 31, 2014, respectively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4,157,600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396,000</w:t>
            </w:r>
          </w:p>
        </w:tc>
      </w:tr>
      <w:tr>
        <w:trPr>
          <w:trHeight w:val="211"/>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r>
      <w:tr>
        <w:trPr>
          <w:trHeight w:val="26"/>
        </w:trPr>
        <w:tc>
          <w:tcPr>
            <w:tcW w:w="112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7"/>
        </w:trPr>
        <w:tc>
          <w:tcPr>
            <w:tcW w:w="868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17,388,100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5,205,700</w:t>
            </w:r>
          </w:p>
        </w:tc>
      </w:tr>
      <w:tr>
        <w:trPr>
          <w:trHeight w:val="211"/>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Senior secured convertible promissory notes, net of discount of $0 at March 31, 2015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$2,085,900 at March 31, 2014, respectively, and accrued interest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1,929,800</w:t>
            </w:r>
          </w:p>
        </w:tc>
      </w:tr>
      <w:tr>
        <w:trPr>
          <w:trHeight w:val="211"/>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Notes payable, net of discount of $0 at March 31, 2015 and $848,100 at March 31, 2014,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6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and accrued interest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1,797,600</w:t>
            </w:r>
          </w:p>
        </w:tc>
      </w:tr>
      <w:tr>
        <w:trPr>
          <w:trHeight w:val="211"/>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Notes payable to related parties, net of discount of $103,200 at March 31, 2014 and accrued interest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1,057,100</w:t>
            </w:r>
          </w:p>
        </w:tc>
      </w:tr>
      <w:tr>
        <w:trPr>
          <w:trHeight w:val="211"/>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3,008,500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2,973,900</w:t>
            </w:r>
          </w:p>
        </w:tc>
      </w:tr>
      <w:tr>
        <w:trPr>
          <w:trHeight w:val="211"/>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Deferred rent liability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83,000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97,400</w:t>
            </w:r>
          </w:p>
        </w:tc>
      </w:tr>
      <w:tr>
        <w:trPr>
          <w:trHeight w:val="211"/>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r>
      <w:tr>
        <w:trPr>
          <w:trHeight w:val="26"/>
        </w:trPr>
        <w:tc>
          <w:tcPr>
            <w:tcW w:w="112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8680" w:type="dxa"/>
            <w:vAlign w:val="bottom"/>
            <w:gridSpan w:val="2"/>
          </w:tcPr>
          <w:p>
            <w:pPr>
              <w:ind w:left="520"/>
              <w:spacing w:after="0"/>
              <w:rPr>
                <w:sz w:val="20"/>
                <w:szCs w:val="20"/>
                <w:color w:val="auto"/>
              </w:rPr>
            </w:pPr>
            <w:r>
              <w:rPr>
                <w:rFonts w:ascii="Arial" w:cs="Arial" w:eastAsia="Arial" w:hAnsi="Arial"/>
                <w:sz w:val="18"/>
                <w:szCs w:val="18"/>
                <w:color w:val="auto"/>
              </w:rPr>
              <w:t>Total non-current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3,424,400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7,857,900</w:t>
            </w:r>
          </w:p>
        </w:tc>
      </w:tr>
      <w:tr>
        <w:trPr>
          <w:trHeight w:val="26"/>
        </w:trPr>
        <w:tc>
          <w:tcPr>
            <w:tcW w:w="11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8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20,812,500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13,063,600</w:t>
            </w:r>
          </w:p>
        </w:tc>
      </w:tr>
      <w:tr>
        <w:trPr>
          <w:trHeight w:val="211"/>
        </w:trPr>
        <w:tc>
          <w:tcPr>
            <w:tcW w:w="1120" w:type="dxa"/>
            <w:vAlign w:val="bottom"/>
            <w:tcBorders>
              <w:top w:val="single" w:sz="8" w:color="CCEEFF"/>
            </w:tcBorders>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1"/>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gridSpan w:val="2"/>
          </w:tcPr>
          <w:p>
            <w:pPr>
              <w:ind w:left="260"/>
              <w:spacing w:after="0" w:line="198" w:lineRule="exact"/>
              <w:rPr>
                <w:sz w:val="20"/>
                <w:szCs w:val="20"/>
                <w:color w:val="auto"/>
              </w:rPr>
            </w:pPr>
            <w:r>
              <w:rPr>
                <w:rFonts w:ascii="Arial" w:cs="Arial" w:eastAsia="Arial" w:hAnsi="Arial"/>
                <w:sz w:val="18"/>
                <w:szCs w:val="18"/>
                <w:color w:val="auto"/>
              </w:rPr>
              <w:t>Preferred stock, $0.001 par value; 10,000,000 shares, including 500,000 Series A shares, authorized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680" w:type="dxa"/>
            <w:vAlign w:val="bottom"/>
            <w:gridSpan w:val="2"/>
          </w:tcPr>
          <w:p>
            <w:pPr>
              <w:ind w:left="440"/>
              <w:spacing w:after="0"/>
              <w:rPr>
                <w:sz w:val="20"/>
                <w:szCs w:val="20"/>
                <w:color w:val="auto"/>
              </w:rPr>
            </w:pPr>
            <w:r>
              <w:rPr>
                <w:rFonts w:ascii="Arial" w:cs="Arial" w:eastAsia="Arial" w:hAnsi="Arial"/>
                <w:sz w:val="18"/>
                <w:szCs w:val="18"/>
                <w:color w:val="auto"/>
              </w:rPr>
              <w:t>at March 31, 2015 and March 31, 2014, respectively; 500,000 Series A shares issued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gridSpan w:val="2"/>
          </w:tcPr>
          <w:p>
            <w:pPr>
              <w:ind w:left="440"/>
              <w:spacing w:after="0"/>
              <w:rPr>
                <w:sz w:val="20"/>
                <w:szCs w:val="20"/>
                <w:color w:val="auto"/>
              </w:rPr>
            </w:pPr>
            <w:r>
              <w:rPr>
                <w:rFonts w:ascii="Arial" w:cs="Arial" w:eastAsia="Arial" w:hAnsi="Arial"/>
                <w:sz w:val="18"/>
                <w:szCs w:val="18"/>
                <w:color w:val="auto"/>
              </w:rPr>
              <w:t>outstanding at March 31, 2015 and March 31, 2014, respectively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1"/>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Common stock, $0.001 par value; 10,000,000 shares authorized at March 31, 2015 and March 31, 2014,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6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respectively; 1,677,110 shares and 1,310,093 shares issued at March 31, 2015 and March 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6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2014, respectively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r>
      <w:tr>
        <w:trPr>
          <w:trHeight w:val="211"/>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67,945,800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62,001,400</w:t>
            </w:r>
          </w:p>
        </w:tc>
      </w:tr>
      <w:tr>
        <w:trPr>
          <w:trHeight w:val="211"/>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stock, at cost, 135,665 shares of common stock held at March 31, 2015 and March 31, 2014,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6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(3,968,100)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(3,968,100)</w:t>
            </w:r>
          </w:p>
        </w:tc>
      </w:tr>
      <w:tr>
        <w:trPr>
          <w:trHeight w:val="211"/>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Note receivable from sale of common 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(198,100)</w:t>
            </w:r>
          </w:p>
        </w:tc>
      </w:tr>
      <w:tr>
        <w:trPr>
          <w:trHeight w:val="211"/>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(84,522,700)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(70,636,900)</w:t>
            </w:r>
          </w:p>
        </w:tc>
      </w:tr>
      <w:tr>
        <w:trPr>
          <w:trHeight w:val="26"/>
        </w:trPr>
        <w:tc>
          <w:tcPr>
            <w:tcW w:w="112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8680" w:type="dxa"/>
            <w:vAlign w:val="bottom"/>
            <w:gridSpan w:val="2"/>
          </w:tcPr>
          <w:p>
            <w:pPr>
              <w:ind w:left="680"/>
              <w:spacing w:after="0"/>
              <w:rPr>
                <w:sz w:val="20"/>
                <w:szCs w:val="20"/>
                <w:color w:val="auto"/>
              </w:rPr>
            </w:pPr>
            <w:r>
              <w:rPr>
                <w:rFonts w:ascii="Arial" w:cs="Arial" w:eastAsia="Arial" w:hAnsi="Arial"/>
                <w:sz w:val="18"/>
                <w:szCs w:val="18"/>
                <w:color w:val="auto"/>
              </w:rPr>
              <w:t>Total stockholders’ deficit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(20,542,800)</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(12,799,900)</w:t>
            </w:r>
          </w:p>
        </w:tc>
      </w:tr>
      <w:tr>
        <w:trPr>
          <w:trHeight w:val="26"/>
        </w:trPr>
        <w:tc>
          <w:tcPr>
            <w:tcW w:w="11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86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deficit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269,700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263,700</w:t>
            </w: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7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13" w:right="2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type w:val="continuous"/>
        </w:sectPr>
      </w:pPr>
    </w:p>
    <w:bookmarkStart w:id="99" w:name="page100"/>
    <w:bookmarkEnd w:id="9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Fiscal Years Ended</w:t>
            </w:r>
          </w:p>
        </w:tc>
      </w:tr>
      <w:tr>
        <w:trPr>
          <w:trHeight w:val="235"/>
        </w:trPr>
        <w:tc>
          <w:tcPr>
            <w:tcW w:w="33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7"/>
        </w:trPr>
        <w:tc>
          <w:tcPr>
            <w:tcW w:w="33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18"/>
                <w:szCs w:val="18"/>
                <w:color w:val="auto"/>
              </w:rPr>
            </w:pPr>
          </w:p>
        </w:tc>
      </w:tr>
      <w:tr>
        <w:trPr>
          <w:trHeight w:val="421"/>
        </w:trPr>
        <w:tc>
          <w:tcPr>
            <w:tcW w:w="3320" w:type="dxa"/>
            <w:vAlign w:val="bottom"/>
          </w:tcPr>
          <w:p>
            <w:pPr>
              <w:spacing w:after="0"/>
              <w:rPr>
                <w:sz w:val="20"/>
                <w:szCs w:val="20"/>
                <w:color w:val="auto"/>
              </w:rPr>
            </w:pPr>
            <w:r>
              <w:rPr>
                <w:rFonts w:ascii="Arial" w:cs="Arial" w:eastAsia="Arial" w:hAnsi="Arial"/>
                <w:sz w:val="18"/>
                <w:szCs w:val="18"/>
                <w:color w:val="auto"/>
              </w:rPr>
              <w:t>Operating expenses:</w:t>
            </w:r>
          </w:p>
        </w:tc>
        <w:tc>
          <w:tcPr>
            <w:tcW w:w="5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5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2,432,700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2,480,600</w:t>
            </w:r>
          </w:p>
        </w:tc>
      </w:tr>
      <w:tr>
        <w:trPr>
          <w:trHeight w:val="211"/>
        </w:trPr>
        <w:tc>
          <w:tcPr>
            <w:tcW w:w="33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4,344,400</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2,548,300</w:t>
            </w:r>
          </w:p>
        </w:tc>
      </w:tr>
      <w:tr>
        <w:trPr>
          <w:trHeight w:val="26"/>
        </w:trPr>
        <w:tc>
          <w:tcPr>
            <w:tcW w:w="33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3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6,777,100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5,028,900</w:t>
            </w:r>
          </w:p>
        </w:tc>
      </w:tr>
      <w:tr>
        <w:trPr>
          <w:trHeight w:val="26"/>
        </w:trPr>
        <w:tc>
          <w:tcPr>
            <w:tcW w:w="3320" w:type="dxa"/>
            <w:vAlign w:val="bottom"/>
            <w:shd w:val="clear" w:color="auto" w:fill="CCEEFF"/>
          </w:tcPr>
          <w:p>
            <w:pPr>
              <w:spacing w:after="0"/>
              <w:rPr>
                <w:sz w:val="2"/>
                <w:szCs w:val="2"/>
                <w:color w:val="auto"/>
              </w:rPr>
            </w:pPr>
          </w:p>
        </w:tc>
        <w:tc>
          <w:tcPr>
            <w:tcW w:w="54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3320" w:type="dxa"/>
            <w:vAlign w:val="bottom"/>
          </w:tcPr>
          <w:p>
            <w:pPr>
              <w:spacing w:after="0"/>
              <w:rPr>
                <w:sz w:val="20"/>
                <w:szCs w:val="20"/>
                <w:color w:val="auto"/>
              </w:rPr>
            </w:pPr>
            <w:r>
              <w:rPr>
                <w:rFonts w:ascii="Arial" w:cs="Arial" w:eastAsia="Arial" w:hAnsi="Arial"/>
                <w:sz w:val="18"/>
                <w:szCs w:val="18"/>
                <w:color w:val="auto"/>
              </w:rPr>
              <w:t>Loss from operations</w:t>
            </w: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(6,777,100)</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(5,028,900)</w:t>
            </w:r>
          </w:p>
        </w:tc>
      </w:tr>
      <w:tr>
        <w:trPr>
          <w:trHeight w:val="211"/>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33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(4,548,700)</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(1,503,000)</w:t>
            </w:r>
          </w:p>
        </w:tc>
      </w:tr>
      <w:tr>
        <w:trPr>
          <w:trHeight w:val="211"/>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warrant liability</w:t>
            </w: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3,566,900</w:t>
            </w:r>
          </w:p>
        </w:tc>
      </w:tr>
      <w:tr>
        <w:trPr>
          <w:trHeight w:val="211"/>
        </w:trPr>
        <w:tc>
          <w:tcPr>
            <w:tcW w:w="3320" w:type="dxa"/>
            <w:vAlign w:val="bottom"/>
          </w:tcPr>
          <w:p>
            <w:pPr>
              <w:ind w:left="400"/>
              <w:spacing w:after="0"/>
              <w:rPr>
                <w:sz w:val="20"/>
                <w:szCs w:val="20"/>
                <w:color w:val="auto"/>
              </w:rPr>
            </w:pPr>
            <w:r>
              <w:rPr>
                <w:rFonts w:ascii="Arial" w:cs="Arial" w:eastAsia="Arial" w:hAnsi="Arial"/>
                <w:sz w:val="18"/>
                <w:szCs w:val="18"/>
                <w:color w:val="auto"/>
              </w:rPr>
              <w:t>Loss on extinguishment of debt</w:t>
            </w: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(2,388,000)</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(135,000)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
        </w:trPr>
        <w:tc>
          <w:tcPr>
            <w:tcW w:w="3320" w:type="dxa"/>
            <w:vAlign w:val="bottom"/>
            <w:shd w:val="clear" w:color="auto" w:fill="CCEEFF"/>
          </w:tcPr>
          <w:p>
            <w:pPr>
              <w:spacing w:after="0"/>
              <w:rPr>
                <w:sz w:val="2"/>
                <w:szCs w:val="2"/>
                <w:color w:val="auto"/>
              </w:rPr>
            </w:pPr>
          </w:p>
        </w:tc>
        <w:tc>
          <w:tcPr>
            <w:tcW w:w="54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33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(13,883,400)</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(2,965,000)</w:t>
            </w:r>
          </w:p>
        </w:tc>
      </w:tr>
      <w:tr>
        <w:trPr>
          <w:trHeight w:val="217"/>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(2,700)</w:t>
            </w:r>
          </w:p>
        </w:tc>
      </w:tr>
      <w:tr>
        <w:trPr>
          <w:trHeight w:val="211"/>
        </w:trPr>
        <w:tc>
          <w:tcPr>
            <w:tcW w:w="3320" w:type="dxa"/>
            <w:vAlign w:val="bottom"/>
            <w:tcBorders>
              <w:top w:val="single" w:sz="8" w:color="CCEEFF"/>
            </w:tcBorders>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1"/>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(13,885,800)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(2,967,700)</w:t>
            </w:r>
          </w:p>
        </w:tc>
      </w:tr>
      <w:tr>
        <w:trPr>
          <w:trHeight w:val="203"/>
        </w:trPr>
        <w:tc>
          <w:tcPr>
            <w:tcW w:w="3320" w:type="dxa"/>
            <w:vAlign w:val="bottom"/>
            <w:tcBorders>
              <w:top w:val="single" w:sz="8" w:color="CCEEFF"/>
            </w:tcBorders>
          </w:tcPr>
          <w:p>
            <w:pPr>
              <w:spacing w:after="0"/>
              <w:rPr>
                <w:sz w:val="17"/>
                <w:szCs w:val="17"/>
                <w:color w:val="auto"/>
              </w:rPr>
            </w:pPr>
          </w:p>
        </w:tc>
        <w:tc>
          <w:tcPr>
            <w:tcW w:w="54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1"/>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common share</w:t>
            </w:r>
          </w:p>
        </w:tc>
        <w:tc>
          <w:tcPr>
            <w:tcW w:w="5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r>
      <w:tr>
        <w:trPr>
          <w:trHeight w:val="203"/>
        </w:trPr>
        <w:tc>
          <w:tcPr>
            <w:tcW w:w="3320" w:type="dxa"/>
            <w:vAlign w:val="bottom"/>
            <w:tcBorders>
              <w:top w:val="single" w:sz="8" w:color="CCEEFF"/>
            </w:tcBorders>
          </w:tcPr>
          <w:p>
            <w:pPr>
              <w:spacing w:after="0"/>
              <w:rPr>
                <w:sz w:val="17"/>
                <w:szCs w:val="17"/>
                <w:color w:val="auto"/>
              </w:rPr>
            </w:pPr>
          </w:p>
        </w:tc>
        <w:tc>
          <w:tcPr>
            <w:tcW w:w="54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1"/>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common share</w:t>
            </w:r>
          </w:p>
        </w:tc>
        <w:tc>
          <w:tcPr>
            <w:tcW w:w="5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r>
      <w:tr>
        <w:trPr>
          <w:trHeight w:val="210"/>
        </w:trPr>
        <w:tc>
          <w:tcPr>
            <w:tcW w:w="3320" w:type="dxa"/>
            <w:vAlign w:val="bottom"/>
            <w:tcBorders>
              <w:top w:val="single" w:sz="8" w:color="CCEEFF"/>
            </w:tcBorders>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1"/>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shares used in computing</w:t>
            </w: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3320" w:type="dxa"/>
            <w:vAlign w:val="bottom"/>
          </w:tcPr>
          <w:p>
            <w:pPr>
              <w:ind w:left="320"/>
              <w:spacing w:after="0"/>
              <w:rPr>
                <w:sz w:val="20"/>
                <w:szCs w:val="20"/>
                <w:color w:val="auto"/>
              </w:rPr>
            </w:pPr>
            <w:r>
              <w:rPr>
                <w:rFonts w:ascii="Arial" w:cs="Arial" w:eastAsia="Arial" w:hAnsi="Arial"/>
                <w:sz w:val="18"/>
                <w:szCs w:val="18"/>
                <w:color w:val="auto"/>
              </w:rPr>
              <w:t>Basic net loss per common share</w:t>
            </w: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1,318,797</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1,098,742</w:t>
            </w:r>
          </w:p>
        </w:tc>
      </w:tr>
      <w:tr>
        <w:trPr>
          <w:trHeight w:val="20"/>
        </w:trPr>
        <w:tc>
          <w:tcPr>
            <w:tcW w:w="3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320" w:type="dxa"/>
            <w:vAlign w:val="bottom"/>
            <w:shd w:val="clear" w:color="auto" w:fill="CCEEFF"/>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3320" w:type="dxa"/>
            <w:vAlign w:val="bottom"/>
          </w:tcPr>
          <w:p>
            <w:pPr>
              <w:ind w:left="320"/>
              <w:spacing w:after="0"/>
              <w:rPr>
                <w:sz w:val="20"/>
                <w:szCs w:val="20"/>
                <w:color w:val="auto"/>
              </w:rPr>
            </w:pPr>
            <w:r>
              <w:rPr>
                <w:rFonts w:ascii="Arial" w:cs="Arial" w:eastAsia="Arial" w:hAnsi="Arial"/>
                <w:sz w:val="18"/>
                <w:szCs w:val="18"/>
                <w:color w:val="auto"/>
              </w:rPr>
              <w:t>Diluted net loss per common share</w:t>
            </w: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1,318,797</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1,099,216</w:t>
            </w:r>
          </w:p>
        </w:tc>
      </w:tr>
      <w:tr>
        <w:trPr>
          <w:trHeight w:val="20"/>
        </w:trPr>
        <w:tc>
          <w:tcPr>
            <w:tcW w:w="3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3320" w:type="dxa"/>
            <w:vAlign w:val="bottom"/>
          </w:tcPr>
          <w:p>
            <w:pPr>
              <w:spacing w:after="0"/>
              <w:rPr>
                <w:sz w:val="24"/>
                <w:szCs w:val="24"/>
                <w:color w:val="auto"/>
              </w:rPr>
            </w:pPr>
          </w:p>
        </w:tc>
        <w:tc>
          <w:tcPr>
            <w:tcW w:w="5680" w:type="dxa"/>
            <w:vAlign w:val="bottom"/>
            <w:gridSpan w:val="2"/>
          </w:tcPr>
          <w:p>
            <w:pPr>
              <w:jc w:val="center"/>
              <w:ind w:right="900"/>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93"/>
        </w:trPr>
        <w:tc>
          <w:tcPr>
            <w:tcW w:w="3320" w:type="dxa"/>
            <w:vAlign w:val="bottom"/>
          </w:tcPr>
          <w:p>
            <w:pPr>
              <w:spacing w:after="0"/>
              <w:rPr>
                <w:sz w:val="24"/>
                <w:szCs w:val="24"/>
                <w:color w:val="auto"/>
              </w:rPr>
            </w:pPr>
          </w:p>
        </w:tc>
        <w:tc>
          <w:tcPr>
            <w:tcW w:w="5480" w:type="dxa"/>
            <w:vAlign w:val="bottom"/>
          </w:tcPr>
          <w:p>
            <w:pPr>
              <w:jc w:val="right"/>
              <w:ind w:right="2852"/>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6"/>
        </w:trPr>
        <w:tc>
          <w:tcPr>
            <w:tcW w:w="3320" w:type="dxa"/>
            <w:vAlign w:val="bottom"/>
            <w:tcBorders>
              <w:bottom w:val="single" w:sz="8" w:color="808080"/>
            </w:tcBorders>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828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7"/>
        </w:trPr>
        <w:tc>
          <w:tcPr>
            <w:tcW w:w="1120" w:type="dxa"/>
            <w:vAlign w:val="bottom"/>
            <w:tcBorders>
              <w:top w:val="single" w:sz="8" w:color="0000EE"/>
            </w:tcBorders>
          </w:tcPr>
          <w:p>
            <w:pPr>
              <w:spacing w:after="0"/>
              <w:rPr>
                <w:sz w:val="24"/>
                <w:szCs w:val="24"/>
                <w:color w:val="auto"/>
              </w:rPr>
            </w:pPr>
          </w:p>
        </w:tc>
        <w:tc>
          <w:tcPr>
            <w:tcW w:w="7160" w:type="dxa"/>
            <w:vAlign w:val="bottom"/>
          </w:tcPr>
          <w:p>
            <w:pPr>
              <w:jc w:val="center"/>
              <w:ind w:left="1932"/>
              <w:spacing w:after="0"/>
              <w:rPr>
                <w:sz w:val="20"/>
                <w:szCs w:val="20"/>
                <w:color w:val="auto"/>
              </w:rPr>
            </w:pPr>
            <w:r>
              <w:rPr>
                <w:rFonts w:ascii="Arial" w:cs="Arial" w:eastAsia="Arial" w:hAnsi="Arial"/>
                <w:sz w:val="18"/>
                <w:szCs w:val="18"/>
                <w:b w:val="1"/>
                <w:bCs w:val="1"/>
                <w:color w:val="auto"/>
                <w:w w:val="98"/>
              </w:rPr>
              <w:t>VISTAGEN THERAPEUTICS, INC.</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1120" w:type="dxa"/>
            <w:vAlign w:val="bottom"/>
          </w:tcPr>
          <w:p>
            <w:pPr>
              <w:spacing w:after="0"/>
              <w:rPr>
                <w:sz w:val="24"/>
                <w:szCs w:val="24"/>
                <w:color w:val="auto"/>
              </w:rPr>
            </w:pPr>
          </w:p>
        </w:tc>
        <w:tc>
          <w:tcPr>
            <w:tcW w:w="7160" w:type="dxa"/>
            <w:vAlign w:val="bottom"/>
          </w:tcPr>
          <w:p>
            <w:pPr>
              <w:jc w:val="center"/>
              <w:ind w:left="1952"/>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1120" w:type="dxa"/>
            <w:vAlign w:val="bottom"/>
          </w:tcPr>
          <w:p>
            <w:pPr>
              <w:spacing w:after="0"/>
              <w:rPr>
                <w:sz w:val="19"/>
                <w:szCs w:val="19"/>
                <w:color w:val="auto"/>
              </w:rPr>
            </w:pPr>
          </w:p>
        </w:tc>
        <w:tc>
          <w:tcPr>
            <w:tcW w:w="7160" w:type="dxa"/>
            <w:vAlign w:val="bottom"/>
          </w:tcPr>
          <w:p>
            <w:pPr>
              <w:jc w:val="center"/>
              <w:ind w:left="1932"/>
              <w:spacing w:after="0"/>
              <w:rPr>
                <w:sz w:val="20"/>
                <w:szCs w:val="20"/>
                <w:color w:val="auto"/>
              </w:rPr>
            </w:pPr>
            <w:r>
              <w:rPr>
                <w:rFonts w:ascii="Arial" w:cs="Arial" w:eastAsia="Arial" w:hAnsi="Arial"/>
                <w:sz w:val="18"/>
                <w:szCs w:val="18"/>
                <w:b w:val="1"/>
                <w:bCs w:val="1"/>
                <w:color w:val="auto"/>
                <w:w w:val="87"/>
              </w:rPr>
              <w:t>(Amounts in dollars)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5"/>
        </w:trPr>
        <w:tc>
          <w:tcPr>
            <w:tcW w:w="11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Fiscal Years Ended March 31,</w:t>
            </w:r>
          </w:p>
        </w:tc>
      </w:tr>
      <w:tr>
        <w:trPr>
          <w:trHeight w:val="217"/>
        </w:trPr>
        <w:tc>
          <w:tcPr>
            <w:tcW w:w="11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10"/>
        </w:trPr>
        <w:tc>
          <w:tcPr>
            <w:tcW w:w="8280" w:type="dxa"/>
            <w:vAlign w:val="bottom"/>
            <w:gridSpan w:val="2"/>
          </w:tcPr>
          <w:p>
            <w:pPr>
              <w:ind w:left="40"/>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loss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(13,885,800)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(2,967,700)</w:t>
            </w:r>
          </w:p>
        </w:tc>
      </w:tr>
      <w:tr>
        <w:trPr>
          <w:trHeight w:val="211"/>
        </w:trPr>
        <w:tc>
          <w:tcPr>
            <w:tcW w:w="8280" w:type="dxa"/>
            <w:vAlign w:val="bottom"/>
            <w:gridSpan w:val="2"/>
          </w:tcPr>
          <w:p>
            <w:pPr>
              <w:ind w:left="4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2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54,600</w:t>
            </w:r>
          </w:p>
        </w:tc>
      </w:tr>
      <w:tr>
        <w:trPr>
          <w:trHeight w:val="211"/>
        </w:trPr>
        <w:tc>
          <w:tcPr>
            <w:tcW w:w="8280" w:type="dxa"/>
            <w:vAlign w:val="bottom"/>
            <w:gridSpan w:val="2"/>
          </w:tcPr>
          <w:p>
            <w:pPr>
              <w:ind w:left="600"/>
              <w:spacing w:after="0"/>
              <w:rPr>
                <w:sz w:val="20"/>
                <w:szCs w:val="20"/>
                <w:color w:val="auto"/>
              </w:rPr>
            </w:pPr>
            <w:r>
              <w:rPr>
                <w:rFonts w:ascii="Arial" w:cs="Arial" w:eastAsia="Arial" w:hAnsi="Arial"/>
                <w:sz w:val="18"/>
                <w:szCs w:val="18"/>
                <w:color w:val="auto"/>
              </w:rPr>
              <w:t>Amortization of discounts on convertible and promissory notes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3,372,000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640,000</w:t>
            </w:r>
          </w:p>
        </w:tc>
      </w:tr>
      <w:tr>
        <w:trPr>
          <w:trHeight w:val="211"/>
        </w:trPr>
        <w:tc>
          <w:tcPr>
            <w:tcW w:w="82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Change in warrant liability</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(3,566,900)</w:t>
            </w:r>
          </w:p>
        </w:tc>
      </w:tr>
      <w:tr>
        <w:trPr>
          <w:trHeight w:val="211"/>
        </w:trPr>
        <w:tc>
          <w:tcPr>
            <w:tcW w:w="8280" w:type="dxa"/>
            <w:vAlign w:val="bottom"/>
            <w:gridSpan w:val="2"/>
          </w:tcPr>
          <w:p>
            <w:pPr>
              <w:ind w:left="620"/>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2,460,100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1,137,300</w:t>
            </w:r>
          </w:p>
        </w:tc>
      </w:tr>
      <w:tr>
        <w:trPr>
          <w:trHeight w:val="211"/>
        </w:trPr>
        <w:tc>
          <w:tcPr>
            <w:tcW w:w="82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Expense related to modification of warrants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204,300</w:t>
            </w:r>
          </w:p>
        </w:tc>
      </w:tr>
      <w:tr>
        <w:trPr>
          <w:trHeight w:val="211"/>
        </w:trPr>
        <w:tc>
          <w:tcPr>
            <w:tcW w:w="8280" w:type="dxa"/>
            <w:vAlign w:val="bottom"/>
            <w:gridSpan w:val="2"/>
          </w:tcPr>
          <w:p>
            <w:pPr>
              <w:ind w:left="620"/>
              <w:spacing w:after="0"/>
              <w:rPr>
                <w:sz w:val="20"/>
                <w:szCs w:val="20"/>
                <w:color w:val="auto"/>
              </w:rPr>
            </w:pPr>
            <w:r>
              <w:rPr>
                <w:rFonts w:ascii="Arial" w:cs="Arial" w:eastAsia="Arial" w:hAnsi="Arial"/>
                <w:sz w:val="18"/>
                <w:szCs w:val="18"/>
                <w:color w:val="auto"/>
              </w:rPr>
              <w:t>Non-cash rent and relocation expense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(14,400)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56,800</w:t>
            </w:r>
          </w:p>
        </w:tc>
      </w:tr>
      <w:tr>
        <w:trPr>
          <w:trHeight w:val="211"/>
        </w:trPr>
        <w:tc>
          <w:tcPr>
            <w:tcW w:w="82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Interest income on note receivable for stock purchase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r>
      <w:tr>
        <w:trPr>
          <w:trHeight w:val="211"/>
        </w:trPr>
        <w:tc>
          <w:tcPr>
            <w:tcW w:w="8280" w:type="dxa"/>
            <w:vAlign w:val="bottom"/>
            <w:gridSpan w:val="2"/>
          </w:tcPr>
          <w:p>
            <w:pPr>
              <w:ind w:left="620"/>
              <w:spacing w:after="0"/>
              <w:rPr>
                <w:sz w:val="20"/>
                <w:szCs w:val="20"/>
                <w:color w:val="auto"/>
              </w:rPr>
            </w:pPr>
            <w:r>
              <w:rPr>
                <w:rFonts w:ascii="Arial" w:cs="Arial" w:eastAsia="Arial" w:hAnsi="Arial"/>
                <w:sz w:val="18"/>
                <w:szCs w:val="18"/>
                <w:color w:val="auto"/>
              </w:rPr>
              <w:t>Loss on settlement of note receivable for stock purchase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134,900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82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Fair value of common stock granted for services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469,000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8280" w:type="dxa"/>
            <w:vAlign w:val="bottom"/>
            <w:gridSpan w:val="2"/>
          </w:tcPr>
          <w:p>
            <w:pPr>
              <w:ind w:left="620"/>
              <w:spacing w:after="0"/>
              <w:rPr>
                <w:sz w:val="20"/>
                <w:szCs w:val="20"/>
                <w:color w:val="auto"/>
              </w:rPr>
            </w:pPr>
            <w:r>
              <w:rPr>
                <w:rFonts w:ascii="Arial" w:cs="Arial" w:eastAsia="Arial" w:hAnsi="Arial"/>
                <w:sz w:val="18"/>
                <w:szCs w:val="18"/>
                <w:color w:val="auto"/>
              </w:rPr>
              <w:t>Fair value of warrants granted for services and interest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44,500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60,700</w:t>
            </w:r>
          </w:p>
        </w:tc>
      </w:tr>
      <w:tr>
        <w:trPr>
          <w:trHeight w:val="211"/>
        </w:trPr>
        <w:tc>
          <w:tcPr>
            <w:tcW w:w="82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Gain on currency fluctuation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(48,600)</w:t>
            </w:r>
          </w:p>
        </w:tc>
      </w:tr>
      <w:tr>
        <w:trPr>
          <w:trHeight w:val="211"/>
        </w:trPr>
        <w:tc>
          <w:tcPr>
            <w:tcW w:w="8280" w:type="dxa"/>
            <w:vAlign w:val="bottom"/>
            <w:gridSpan w:val="2"/>
          </w:tcPr>
          <w:p>
            <w:pPr>
              <w:ind w:left="620"/>
              <w:spacing w:after="0"/>
              <w:rPr>
                <w:sz w:val="20"/>
                <w:szCs w:val="20"/>
                <w:color w:val="auto"/>
              </w:rPr>
            </w:pPr>
            <w:r>
              <w:rPr>
                <w:rFonts w:ascii="Arial" w:cs="Arial" w:eastAsia="Arial" w:hAnsi="Arial"/>
                <w:sz w:val="18"/>
                <w:szCs w:val="18"/>
                <w:color w:val="auto"/>
              </w:rPr>
              <w:t>Loss on extinguishment of debt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2,388,000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82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280" w:type="dxa"/>
            <w:vAlign w:val="bottom"/>
            <w:gridSpan w:val="2"/>
          </w:tcPr>
          <w:p>
            <w:pPr>
              <w:ind w:left="82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107,400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92,700</w:t>
            </w:r>
          </w:p>
        </w:tc>
      </w:tr>
      <w:tr>
        <w:trPr>
          <w:trHeight w:val="211"/>
        </w:trPr>
        <w:tc>
          <w:tcPr>
            <w:tcW w:w="8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Security deposits and other assets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(17,900)</w:t>
            </w:r>
          </w:p>
        </w:tc>
      </w:tr>
      <w:tr>
        <w:trPr>
          <w:trHeight w:val="211"/>
        </w:trPr>
        <w:tc>
          <w:tcPr>
            <w:tcW w:w="8280" w:type="dxa"/>
            <w:vAlign w:val="bottom"/>
            <w:gridSpan w:val="2"/>
          </w:tcPr>
          <w:p>
            <w:pPr>
              <w:ind w:left="800"/>
              <w:spacing w:after="0"/>
              <w:rPr>
                <w:sz w:val="20"/>
                <w:szCs w:val="20"/>
                <w:color w:val="auto"/>
              </w:rPr>
            </w:pPr>
            <w:r>
              <w:rPr>
                <w:rFonts w:ascii="Arial" w:cs="Arial" w:eastAsia="Arial" w:hAnsi="Arial"/>
                <w:sz w:val="18"/>
                <w:szCs w:val="18"/>
                <w:color w:val="auto"/>
              </w:rPr>
              <w:t>Accounts payable and accrued expenses, including accrued interest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2,024,100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2,229,900</w:t>
            </w:r>
          </w:p>
        </w:tc>
      </w:tr>
      <w:tr>
        <w:trPr>
          <w:trHeight w:val="26"/>
        </w:trPr>
        <w:tc>
          <w:tcPr>
            <w:tcW w:w="11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8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(2,768,900)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(2,126,000)</w:t>
            </w:r>
          </w:p>
        </w:tc>
      </w:tr>
      <w:tr>
        <w:trPr>
          <w:trHeight w:val="211"/>
        </w:trPr>
        <w:tc>
          <w:tcPr>
            <w:tcW w:w="1120" w:type="dxa"/>
            <w:vAlign w:val="bottom"/>
            <w:tcBorders>
              <w:top w:val="single" w:sz="8" w:color="CCEEFF"/>
            </w:tcBorders>
          </w:tcPr>
          <w:p>
            <w:pPr>
              <w:spacing w:after="0"/>
              <w:rPr>
                <w:sz w:val="18"/>
                <w:szCs w:val="18"/>
                <w:color w:val="auto"/>
              </w:rPr>
            </w:pPr>
          </w:p>
        </w:tc>
        <w:tc>
          <w:tcPr>
            <w:tcW w:w="7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1"/>
        </w:trPr>
        <w:tc>
          <w:tcPr>
            <w:tcW w:w="8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280" w:type="dxa"/>
            <w:vAlign w:val="bottom"/>
            <w:gridSpan w:val="2"/>
          </w:tcPr>
          <w:p>
            <w:pPr>
              <w:ind w:left="400"/>
              <w:spacing w:after="0"/>
              <w:rPr>
                <w:sz w:val="20"/>
                <w:szCs w:val="20"/>
                <w:color w:val="auto"/>
              </w:rPr>
            </w:pPr>
            <w:r>
              <w:rPr>
                <w:rFonts w:ascii="Arial" w:cs="Arial" w:eastAsia="Arial" w:hAnsi="Arial"/>
                <w:sz w:val="18"/>
                <w:szCs w:val="18"/>
                <w:color w:val="auto"/>
              </w:rPr>
              <w:t>Purchases of equipment, net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(9,600)</w:t>
            </w:r>
          </w:p>
        </w:tc>
      </w:tr>
      <w:tr>
        <w:trPr>
          <w:trHeight w:val="26"/>
        </w:trPr>
        <w:tc>
          <w:tcPr>
            <w:tcW w:w="11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8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(9,600)</w:t>
            </w:r>
          </w:p>
        </w:tc>
      </w:tr>
      <w:tr>
        <w:trPr>
          <w:trHeight w:val="211"/>
        </w:trPr>
        <w:tc>
          <w:tcPr>
            <w:tcW w:w="1120" w:type="dxa"/>
            <w:vAlign w:val="bottom"/>
            <w:tcBorders>
              <w:top w:val="single" w:sz="8" w:color="CCEEFF"/>
            </w:tcBorders>
          </w:tcPr>
          <w:p>
            <w:pPr>
              <w:spacing w:after="0"/>
              <w:rPr>
                <w:sz w:val="18"/>
                <w:szCs w:val="18"/>
                <w:color w:val="auto"/>
              </w:rPr>
            </w:pPr>
          </w:p>
        </w:tc>
        <w:tc>
          <w:tcPr>
            <w:tcW w:w="7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1"/>
        </w:trPr>
        <w:tc>
          <w:tcPr>
            <w:tcW w:w="8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280" w:type="dxa"/>
            <w:vAlign w:val="bottom"/>
            <w:gridSpan w:val="2"/>
          </w:tcPr>
          <w:p>
            <w:pPr>
              <w:ind w:left="40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3,146,600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1,075,500</w:t>
            </w:r>
          </w:p>
        </w:tc>
      </w:tr>
      <w:tr>
        <w:trPr>
          <w:trHeight w:val="211"/>
        </w:trPr>
        <w:tc>
          <w:tcPr>
            <w:tcW w:w="8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Proceeds from exercise of modified warrants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264,200</w:t>
            </w:r>
          </w:p>
        </w:tc>
      </w:tr>
      <w:tr>
        <w:trPr>
          <w:trHeight w:val="211"/>
        </w:trPr>
        <w:tc>
          <w:tcPr>
            <w:tcW w:w="8280" w:type="dxa"/>
            <w:vAlign w:val="bottom"/>
            <w:gridSpan w:val="2"/>
          </w:tcPr>
          <w:p>
            <w:pPr>
              <w:ind w:left="400"/>
              <w:spacing w:after="0"/>
              <w:rPr>
                <w:sz w:val="20"/>
                <w:szCs w:val="20"/>
                <w:color w:val="auto"/>
              </w:rPr>
            </w:pPr>
            <w:r>
              <w:rPr>
                <w:rFonts w:ascii="Arial" w:cs="Arial" w:eastAsia="Arial" w:hAnsi="Arial"/>
                <w:sz w:val="18"/>
                <w:szCs w:val="18"/>
                <w:color w:val="auto"/>
              </w:rPr>
              <w:t>Proceeds from sale of note and warrant to Platinum</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1"/>
        </w:trPr>
        <w:tc>
          <w:tcPr>
            <w:tcW w:w="8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Advance from officer</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64,000</w:t>
            </w:r>
          </w:p>
        </w:tc>
      </w:tr>
      <w:tr>
        <w:trPr>
          <w:trHeight w:val="211"/>
        </w:trPr>
        <w:tc>
          <w:tcPr>
            <w:tcW w:w="8280" w:type="dxa"/>
            <w:vAlign w:val="bottom"/>
            <w:gridSpan w:val="2"/>
          </w:tcPr>
          <w:p>
            <w:pPr>
              <w:ind w:left="400"/>
              <w:spacing w:after="0"/>
              <w:rPr>
                <w:sz w:val="20"/>
                <w:szCs w:val="20"/>
                <w:color w:val="auto"/>
              </w:rPr>
            </w:pPr>
            <w:r>
              <w:rPr>
                <w:rFonts w:ascii="Arial" w:cs="Arial" w:eastAsia="Arial" w:hAnsi="Arial"/>
                <w:sz w:val="18"/>
                <w:szCs w:val="18"/>
                <w:color w:val="auto"/>
              </w:rPr>
              <w:t>Repayment of capital lease obligations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(3,900)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(7,600)</w:t>
            </w:r>
          </w:p>
        </w:tc>
      </w:tr>
      <w:tr>
        <w:trPr>
          <w:trHeight w:val="211"/>
        </w:trPr>
        <w:tc>
          <w:tcPr>
            <w:tcW w:w="8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Repayment of notes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(303,800)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(148,600)</w:t>
            </w:r>
          </w:p>
        </w:tc>
      </w:tr>
      <w:tr>
        <w:trPr>
          <w:trHeight w:val="26"/>
        </w:trPr>
        <w:tc>
          <w:tcPr>
            <w:tcW w:w="1120" w:type="dxa"/>
            <w:vAlign w:val="bottom"/>
            <w:shd w:val="clear" w:color="auto" w:fill="CCEEFF"/>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8280" w:type="dxa"/>
            <w:vAlign w:val="bottom"/>
            <w:gridSpan w:val="2"/>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2,838,900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1,497,500</w:t>
            </w:r>
          </w:p>
        </w:tc>
      </w:tr>
      <w:tr>
        <w:trPr>
          <w:trHeight w:val="26"/>
        </w:trPr>
        <w:tc>
          <w:tcPr>
            <w:tcW w:w="11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8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(638,100)</w:t>
            </w:r>
          </w:p>
        </w:tc>
      </w:tr>
      <w:tr>
        <w:trPr>
          <w:trHeight w:val="211"/>
        </w:trPr>
        <w:tc>
          <w:tcPr>
            <w:tcW w:w="82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638,100</w:t>
            </w:r>
          </w:p>
        </w:tc>
      </w:tr>
      <w:tr>
        <w:trPr>
          <w:trHeight w:val="26"/>
        </w:trPr>
        <w:tc>
          <w:tcPr>
            <w:tcW w:w="11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1"/>
        </w:trPr>
        <w:tc>
          <w:tcPr>
            <w:tcW w:w="8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1120" w:type="dxa"/>
            <w:vAlign w:val="bottom"/>
            <w:tcBorders>
              <w:top w:val="single" w:sz="8" w:color="CCEEFF"/>
            </w:tcBorders>
          </w:tcPr>
          <w:p>
            <w:pPr>
              <w:spacing w:after="0"/>
              <w:rPr>
                <w:sz w:val="17"/>
                <w:szCs w:val="17"/>
                <w:color w:val="auto"/>
              </w:rPr>
            </w:pPr>
          </w:p>
        </w:tc>
        <w:tc>
          <w:tcPr>
            <w:tcW w:w="7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1"/>
        </w:trPr>
        <w:tc>
          <w:tcPr>
            <w:tcW w:w="112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280" w:type="dxa"/>
            <w:vAlign w:val="bottom"/>
            <w:gridSpan w:val="2"/>
          </w:tcPr>
          <w:p>
            <w:pPr>
              <w:ind w:left="40"/>
              <w:spacing w:after="0"/>
              <w:rPr>
                <w:sz w:val="20"/>
                <w:szCs w:val="20"/>
                <w:color w:val="auto"/>
              </w:rPr>
            </w:pPr>
            <w:r>
              <w:rPr>
                <w:rFonts w:ascii="Arial" w:cs="Arial" w:eastAsia="Arial" w:hAnsi="Arial"/>
                <w:sz w:val="18"/>
                <w:szCs w:val="18"/>
                <w:color w:val="auto"/>
              </w:rPr>
              <w:t>Supplemental disclosure of cash flow activities: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paid for interest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21,000</w:t>
            </w:r>
          </w:p>
        </w:tc>
      </w:tr>
      <w:tr>
        <w:trPr>
          <w:trHeight w:val="211"/>
        </w:trPr>
        <w:tc>
          <w:tcPr>
            <w:tcW w:w="8280" w:type="dxa"/>
            <w:vAlign w:val="bottom"/>
            <w:gridSpan w:val="2"/>
          </w:tcPr>
          <w:p>
            <w:pPr>
              <w:ind w:left="400"/>
              <w:spacing w:after="0"/>
              <w:rPr>
                <w:sz w:val="20"/>
                <w:szCs w:val="20"/>
                <w:color w:val="auto"/>
              </w:rPr>
            </w:pPr>
            <w:r>
              <w:rPr>
                <w:rFonts w:ascii="Arial" w:cs="Arial" w:eastAsia="Arial" w:hAnsi="Arial"/>
                <w:sz w:val="18"/>
                <w:szCs w:val="18"/>
                <w:color w:val="auto"/>
              </w:rPr>
              <w:t>Cash paid for income taxes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2,700</w:t>
            </w:r>
          </w:p>
        </w:tc>
      </w:tr>
      <w:tr>
        <w:trPr>
          <w:trHeight w:val="211"/>
        </w:trPr>
        <w:tc>
          <w:tcPr>
            <w:tcW w:w="112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1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Supplemental disclosure of noncash activities: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280" w:type="dxa"/>
            <w:vAlign w:val="bottom"/>
            <w:gridSpan w:val="2"/>
          </w:tcPr>
          <w:p>
            <w:pPr>
              <w:ind w:left="360"/>
              <w:spacing w:after="0"/>
              <w:rPr>
                <w:sz w:val="20"/>
                <w:szCs w:val="20"/>
                <w:color w:val="auto"/>
              </w:rPr>
            </w:pPr>
            <w:r>
              <w:rPr>
                <w:rFonts w:ascii="Arial" w:cs="Arial" w:eastAsia="Arial" w:hAnsi="Arial"/>
                <w:sz w:val="18"/>
                <w:szCs w:val="18"/>
                <w:color w:val="auto"/>
              </w:rPr>
              <w:t>Insurance premiums settled by issuing note payable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105,300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98,300</w:t>
            </w:r>
          </w:p>
        </w:tc>
      </w:tr>
      <w:tr>
        <w:trPr>
          <w:trHeight w:val="211"/>
        </w:trPr>
        <w:tc>
          <w:tcPr>
            <w:tcW w:w="8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 settled by issuance of stock or notes payable and stock</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438,400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8280" w:type="dxa"/>
            <w:vAlign w:val="bottom"/>
            <w:gridSpan w:val="2"/>
          </w:tcPr>
          <w:p>
            <w:pPr>
              <w:ind w:left="360"/>
              <w:spacing w:after="0"/>
              <w:rPr>
                <w:sz w:val="20"/>
                <w:szCs w:val="20"/>
                <w:color w:val="auto"/>
              </w:rPr>
            </w:pPr>
            <w:r>
              <w:rPr>
                <w:rFonts w:ascii="Arial" w:cs="Arial" w:eastAsia="Arial" w:hAnsi="Arial"/>
                <w:sz w:val="18"/>
                <w:szCs w:val="18"/>
                <w:color w:val="auto"/>
              </w:rPr>
              <w:t>Recognition of warrant liability upon issuance to Platinum of July 2013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2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Senior Secured Convertible Note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146,800</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13" w:right="2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type w:val="continuous"/>
        </w:sectPr>
      </w:pPr>
    </w:p>
    <w:bookmarkStart w:id="101" w:name="page102"/>
    <w:bookmarkEnd w:id="101"/>
    <w:p>
      <w:pPr>
        <w:spacing w:after="0" w:line="62" w:lineRule="exact"/>
        <w:rPr>
          <w:sz w:val="20"/>
          <w:szCs w:val="20"/>
          <w:color w:val="auto"/>
        </w:rPr>
      </w:pPr>
    </w:p>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Fiscal Years Ended march 31, 2015 and 2014</w:t>
      </w:r>
    </w:p>
    <w:p>
      <w:pPr>
        <w:spacing w:after="0" w:line="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Note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1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Receivable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18"/>
                <w:szCs w:val="18"/>
                <w:color w:val="auto"/>
              </w:rPr>
            </w:pPr>
          </w:p>
        </w:tc>
        <w:tc>
          <w:tcPr>
            <w:tcW w:w="1940" w:type="dxa"/>
            <w:vAlign w:val="bottom"/>
            <w:tcBorders>
              <w:right w:val="single" w:sz="8" w:color="auto"/>
            </w:tcBorders>
            <w:gridSpan w:val="6"/>
          </w:tcPr>
          <w:p>
            <w:pPr>
              <w:jc w:val="right"/>
              <w:ind w:right="320"/>
              <w:spacing w:after="0"/>
              <w:rPr>
                <w:sz w:val="20"/>
                <w:szCs w:val="20"/>
                <w:color w:val="auto"/>
              </w:rPr>
            </w:pPr>
            <w:r>
              <w:rPr>
                <w:rFonts w:ascii="Arial" w:cs="Arial" w:eastAsia="Arial" w:hAnsi="Arial"/>
                <w:sz w:val="18"/>
                <w:szCs w:val="18"/>
                <w:b w:val="1"/>
                <w:bCs w:val="1"/>
                <w:color w:val="auto"/>
              </w:rPr>
              <w:t>Series A Preferred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from Sale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35"/>
        </w:trPr>
        <w:tc>
          <w:tcPr>
            <w:tcW w:w="1560" w:type="dxa"/>
            <w:vAlign w:val="bottom"/>
          </w:tcPr>
          <w:p>
            <w:pPr>
              <w:spacing w:after="0"/>
              <w:rPr>
                <w:sz w:val="20"/>
                <w:szCs w:val="20"/>
                <w:color w:val="auto"/>
              </w:rPr>
            </w:pPr>
          </w:p>
        </w:tc>
        <w:tc>
          <w:tcPr>
            <w:tcW w:w="1940" w:type="dxa"/>
            <w:vAlign w:val="bottom"/>
            <w:tcBorders>
              <w:right w:val="single" w:sz="8" w:color="auto"/>
            </w:tcBorders>
            <w:gridSpan w:val="6"/>
          </w:tcPr>
          <w:p>
            <w:pPr>
              <w:jc w:val="right"/>
              <w:ind w:right="80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1540" w:type="dxa"/>
            <w:vAlign w:val="bottom"/>
            <w:gridSpan w:val="3"/>
          </w:tcPr>
          <w:p>
            <w:pPr>
              <w:ind w:left="400"/>
              <w:spacing w:after="0"/>
              <w:rPr>
                <w:sz w:val="20"/>
                <w:szCs w:val="20"/>
                <w:color w:val="auto"/>
              </w:rPr>
            </w:pPr>
            <w:r>
              <w:rPr>
                <w:rFonts w:ascii="Arial" w:cs="Arial" w:eastAsia="Arial" w:hAnsi="Arial"/>
                <w:sz w:val="18"/>
                <w:szCs w:val="18"/>
                <w:b w:val="1"/>
                <w:bCs w:val="1"/>
                <w:color w:val="auto"/>
                <w:w w:val="84"/>
              </w:rPr>
              <w:t>Common Stock</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Treasury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of</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Accumulated</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2"/>
              </w:rPr>
              <w:t>Stockholders’</w:t>
            </w:r>
          </w:p>
        </w:tc>
      </w:tr>
      <w:tr>
        <w:trPr>
          <w:trHeight w:val="217"/>
        </w:trPr>
        <w:tc>
          <w:tcPr>
            <w:tcW w:w="156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8"/>
              </w:rPr>
              <w:t>Amount</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r>
      <w:tr>
        <w:trPr>
          <w:trHeight w:val="211"/>
        </w:trPr>
        <w:tc>
          <w:tcPr>
            <w:tcW w:w="15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2"/>
        </w:trPr>
        <w:tc>
          <w:tcPr>
            <w:tcW w:w="156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7"/>
              </w:rPr>
              <w:t>Balances at March</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9"/>
        </w:trPr>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1,174,092</w:t>
            </w: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4"/>
              </w:rPr>
              <w:t>1,200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$59,288,300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 (3,968,100)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(209,100)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7"/>
              </w:rPr>
              <w:t>$ (67,669,200)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2"/>
              </w:rPr>
              <w:t>(12,556,400)</w:t>
            </w:r>
          </w:p>
        </w:tc>
      </w:tr>
      <w:tr>
        <w:trPr>
          <w:trHeight w:val="211"/>
        </w:trPr>
        <w:tc>
          <w:tcPr>
            <w:tcW w:w="1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560" w:type="dxa"/>
            <w:vAlign w:val="bottom"/>
            <w:shd w:val="clear" w:color="auto" w:fill="CCEEFF"/>
          </w:tcPr>
          <w:p>
            <w:pPr>
              <w:ind w:left="40"/>
              <w:spacing w:after="0" w:line="198" w:lineRule="exact"/>
              <w:rPr>
                <w:sz w:val="20"/>
                <w:szCs w:val="20"/>
                <w:color w:val="auto"/>
              </w:rPr>
            </w:pPr>
            <w:r>
              <w:rPr>
                <w:rFonts w:ascii="Arial" w:cs="Arial" w:eastAsia="Arial" w:hAnsi="Arial"/>
                <w:sz w:val="18"/>
                <w:szCs w:val="18"/>
                <w:color w:val="auto"/>
              </w:rPr>
              <w:t>Share-based</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1,137,300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1,137,300</w:t>
            </w:r>
          </w:p>
        </w:tc>
      </w:tr>
      <w:tr>
        <w:trPr>
          <w:trHeight w:val="198"/>
        </w:trPr>
        <w:tc>
          <w:tcPr>
            <w:tcW w:w="1560" w:type="dxa"/>
            <w:vAlign w:val="bottom"/>
          </w:tcPr>
          <w:p>
            <w:pPr>
              <w:ind w:left="40"/>
              <w:spacing w:after="0" w:line="198" w:lineRule="exact"/>
              <w:rPr>
                <w:sz w:val="20"/>
                <w:szCs w:val="20"/>
                <w:color w:val="auto"/>
              </w:rPr>
            </w:pPr>
            <w:r>
              <w:rPr>
                <w:rFonts w:ascii="Arial" w:cs="Arial" w:eastAsia="Arial" w:hAnsi="Arial"/>
                <w:sz w:val="18"/>
                <w:szCs w:val="18"/>
                <w:color w:val="auto"/>
                <w:w w:val="96"/>
              </w:rPr>
              <w:t>Proceeds from sale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w w:val="94"/>
              </w:rPr>
              <w:t>of common stock for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cash, including</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exercises of</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warrants under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Discount Warrant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560" w:type="dxa"/>
            <w:vAlign w:val="bottom"/>
          </w:tcPr>
          <w:p>
            <w:pPr>
              <w:spacing w:after="0"/>
              <w:rPr>
                <w:sz w:val="20"/>
                <w:szCs w:val="20"/>
                <w:color w:val="auto"/>
              </w:rPr>
            </w:pPr>
            <w:r>
              <w:rPr>
                <w:rFonts w:ascii="Arial" w:cs="Arial" w:eastAsia="Arial" w:hAnsi="Arial"/>
                <w:sz w:val="18"/>
                <w:szCs w:val="18"/>
                <w:color w:val="auto"/>
              </w:rPr>
              <w:t>Exercise Program</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32,751</w:t>
            </w:r>
          </w:p>
        </w:tc>
        <w:tc>
          <w:tcPr>
            <w:tcW w:w="4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335,900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335,900</w:t>
            </w:r>
          </w:p>
        </w:tc>
      </w:tr>
      <w:tr>
        <w:trPr>
          <w:trHeight w:val="199"/>
        </w:trPr>
        <w:tc>
          <w:tcPr>
            <w:tcW w:w="1560" w:type="dxa"/>
            <w:vAlign w:val="bottom"/>
            <w:shd w:val="clear" w:color="auto" w:fill="CCEEFF"/>
          </w:tcPr>
          <w:p>
            <w:pPr>
              <w:ind w:left="40"/>
              <w:spacing w:after="0" w:line="199" w:lineRule="exact"/>
              <w:rPr>
                <w:sz w:val="20"/>
                <w:szCs w:val="20"/>
                <w:color w:val="auto"/>
              </w:rPr>
            </w:pPr>
            <w:r>
              <w:rPr>
                <w:rFonts w:ascii="Arial" w:cs="Arial" w:eastAsia="Arial" w:hAnsi="Arial"/>
                <w:sz w:val="18"/>
                <w:szCs w:val="18"/>
                <w:color w:val="auto"/>
              </w:rPr>
              <w:t>Beneficial</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on note issued to</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Platinum in July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100,700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100,700</w:t>
            </w:r>
          </w:p>
        </w:tc>
      </w:tr>
      <w:tr>
        <w:trPr>
          <w:trHeight w:val="198"/>
        </w:trPr>
        <w:tc>
          <w:tcPr>
            <w:tcW w:w="1560" w:type="dxa"/>
            <w:vAlign w:val="bottom"/>
          </w:tcPr>
          <w:p>
            <w:pPr>
              <w:ind w:left="40"/>
              <w:spacing w:after="0" w:line="198" w:lineRule="exact"/>
              <w:rPr>
                <w:sz w:val="20"/>
                <w:szCs w:val="20"/>
                <w:color w:val="auto"/>
              </w:rPr>
            </w:pPr>
            <w:r>
              <w:rPr>
                <w:rFonts w:ascii="Arial" w:cs="Arial" w:eastAsia="Arial" w:hAnsi="Arial"/>
                <w:sz w:val="18"/>
                <w:szCs w:val="18"/>
                <w:color w:val="auto"/>
              </w:rPr>
              <w:t>Payment on note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w w:val="95"/>
              </w:rPr>
              <w:t>receivable from sale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560" w:type="dxa"/>
            <w:vAlign w:val="bottom"/>
          </w:tcPr>
          <w:p>
            <w:pPr>
              <w:spacing w:after="0"/>
              <w:rPr>
                <w:sz w:val="20"/>
                <w:szCs w:val="20"/>
                <w:color w:val="auto"/>
              </w:rPr>
            </w:pPr>
            <w:r>
              <w:rPr>
                <w:rFonts w:ascii="Arial" w:cs="Arial" w:eastAsia="Arial" w:hAnsi="Arial"/>
                <w:sz w:val="18"/>
                <w:szCs w:val="18"/>
                <w:color w:val="auto"/>
              </w:rPr>
              <w:t>of stock</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11,000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r>
      <w:tr>
        <w:trPr>
          <w:trHeight w:val="199"/>
        </w:trPr>
        <w:tc>
          <w:tcPr>
            <w:tcW w:w="1560" w:type="dxa"/>
            <w:vAlign w:val="bottom"/>
            <w:shd w:val="clear" w:color="auto" w:fill="CCEEFF"/>
          </w:tcPr>
          <w:p>
            <w:pPr>
              <w:ind w:left="40"/>
              <w:spacing w:after="0" w:line="199" w:lineRule="exact"/>
              <w:rPr>
                <w:sz w:val="20"/>
                <w:szCs w:val="20"/>
                <w:color w:val="auto"/>
              </w:rPr>
            </w:pPr>
            <w:r>
              <w:rPr>
                <w:rFonts w:ascii="Arial" w:cs="Arial" w:eastAsia="Arial" w:hAnsi="Arial"/>
                <w:sz w:val="18"/>
                <w:szCs w:val="18"/>
                <w:color w:val="auto"/>
                <w:w w:val="97"/>
              </w:rPr>
              <w:t>Allocated proceeds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from sale of Units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6"/>
              </w:rPr>
              <w:t>for cash under 2013</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Unit Private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Placement,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including beneficial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100,750</w:t>
            </w:r>
          </w:p>
        </w:tc>
        <w:tc>
          <w:tcPr>
            <w:tcW w:w="4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838,100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838,200</w:t>
            </w:r>
          </w:p>
        </w:tc>
      </w:tr>
      <w:tr>
        <w:trPr>
          <w:trHeight w:val="198"/>
        </w:trPr>
        <w:tc>
          <w:tcPr>
            <w:tcW w:w="1560" w:type="dxa"/>
            <w:vAlign w:val="bottom"/>
          </w:tcPr>
          <w:p>
            <w:pPr>
              <w:ind w:left="40"/>
              <w:spacing w:after="0" w:line="198" w:lineRule="exact"/>
              <w:rPr>
                <w:sz w:val="20"/>
                <w:szCs w:val="20"/>
                <w:color w:val="auto"/>
              </w:rPr>
            </w:pPr>
            <w:r>
              <w:rPr>
                <w:rFonts w:ascii="Arial" w:cs="Arial" w:eastAsia="Arial" w:hAnsi="Arial"/>
                <w:sz w:val="18"/>
                <w:szCs w:val="18"/>
                <w:color w:val="auto"/>
                <w:w w:val="97"/>
              </w:rPr>
              <w:t>Allocated proceeds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from sale of Units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w w:val="96"/>
              </w:rPr>
              <w:t>for cash under 2014</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Unit Private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Placement,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including beneficial</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560" w:type="dxa"/>
            <w:vAlign w:val="bottom"/>
          </w:tcPr>
          <w:p>
            <w:pPr>
              <w:spacing w:after="0"/>
              <w:rPr>
                <w:sz w:val="20"/>
                <w:szCs w:val="20"/>
                <w:color w:val="auto"/>
              </w:rPr>
            </w:pPr>
            <w:r>
              <w:rPr>
                <w:rFonts w:ascii="Arial" w:cs="Arial" w:eastAsia="Arial" w:hAnsi="Arial"/>
                <w:sz w:val="18"/>
                <w:szCs w:val="18"/>
                <w:color w:val="auto"/>
              </w:rPr>
              <w:t>conversion feature</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4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36,000</w:t>
            </w:r>
          </w:p>
        </w:tc>
      </w:tr>
      <w:tr>
        <w:trPr>
          <w:trHeight w:val="199"/>
        </w:trPr>
        <w:tc>
          <w:tcPr>
            <w:tcW w:w="1560" w:type="dxa"/>
            <w:vAlign w:val="bottom"/>
            <w:shd w:val="clear" w:color="auto" w:fill="CCEEFF"/>
          </w:tcPr>
          <w:p>
            <w:pPr>
              <w:ind w:left="40"/>
              <w:spacing w:after="0" w:line="199" w:lineRule="exact"/>
              <w:rPr>
                <w:sz w:val="20"/>
                <w:szCs w:val="20"/>
                <w:color w:val="auto"/>
              </w:rPr>
            </w:pPr>
            <w:r>
              <w:rPr>
                <w:rFonts w:ascii="Arial" w:cs="Arial" w:eastAsia="Arial" w:hAnsi="Arial"/>
                <w:sz w:val="18"/>
                <w:szCs w:val="18"/>
                <w:color w:val="auto"/>
              </w:rPr>
              <w:t>Incremental fair</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value of warrant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modifications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204,300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204,300</w:t>
            </w:r>
          </w:p>
        </w:tc>
      </w:tr>
      <w:tr>
        <w:trPr>
          <w:trHeight w:val="198"/>
        </w:trPr>
        <w:tc>
          <w:tcPr>
            <w:tcW w:w="1560" w:type="dxa"/>
            <w:vAlign w:val="bottom"/>
          </w:tcPr>
          <w:p>
            <w:pPr>
              <w:ind w:left="40"/>
              <w:spacing w:after="0" w:line="198" w:lineRule="exact"/>
              <w:rPr>
                <w:sz w:val="20"/>
                <w:szCs w:val="20"/>
                <w:color w:val="auto"/>
              </w:rPr>
            </w:pPr>
            <w:r>
              <w:rPr>
                <w:rFonts w:ascii="Arial" w:cs="Arial" w:eastAsia="Arial" w:hAnsi="Arial"/>
                <w:sz w:val="18"/>
                <w:szCs w:val="18"/>
                <w:color w:val="auto"/>
              </w:rPr>
              <w:t>Fair value of</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warrants issued to</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Morrison &amp;</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Foerster, Cato</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Research Ltd. and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University Health</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Network in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connection with</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accrued interest 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560" w:type="dxa"/>
            <w:vAlign w:val="bottom"/>
          </w:tcPr>
          <w:p>
            <w:pPr>
              <w:spacing w:after="0"/>
              <w:rPr>
                <w:sz w:val="20"/>
                <w:szCs w:val="20"/>
                <w:color w:val="auto"/>
              </w:rPr>
            </w:pPr>
            <w:r>
              <w:rPr>
                <w:rFonts w:ascii="Arial" w:cs="Arial" w:eastAsia="Arial" w:hAnsi="Arial"/>
                <w:sz w:val="18"/>
                <w:szCs w:val="18"/>
                <w:color w:val="auto"/>
              </w:rPr>
              <w:t>underlying notes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60,800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60,800</w:t>
            </w:r>
          </w:p>
        </w:tc>
      </w:tr>
      <w:tr>
        <w:trPr>
          <w:trHeight w:val="199"/>
        </w:trPr>
        <w:tc>
          <w:tcPr>
            <w:tcW w:w="1560" w:type="dxa"/>
            <w:vAlign w:val="bottom"/>
            <w:shd w:val="clear" w:color="auto" w:fill="CCEEFF"/>
          </w:tcPr>
          <w:p>
            <w:pPr>
              <w:ind w:left="40"/>
              <w:spacing w:after="0" w:line="199" w:lineRule="exact"/>
              <w:rPr>
                <w:sz w:val="20"/>
                <w:szCs w:val="20"/>
                <w:color w:val="auto"/>
              </w:rPr>
            </w:pPr>
            <w:r>
              <w:rPr>
                <w:rFonts w:ascii="Arial" w:cs="Arial" w:eastAsia="Arial" w:hAnsi="Arial"/>
                <w:sz w:val="18"/>
                <w:szCs w:val="18"/>
                <w:color w:val="auto"/>
              </w:rPr>
              <w:t>Net loss for fiscal</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year 2014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(2,967,700)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(2,967,700)</w:t>
            </w:r>
          </w:p>
        </w:tc>
      </w:tr>
      <w:tr>
        <w:trPr>
          <w:trHeight w:val="211"/>
        </w:trPr>
        <w:tc>
          <w:tcPr>
            <w:tcW w:w="15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right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2"/>
        </w:trPr>
        <w:tc>
          <w:tcPr>
            <w:tcW w:w="156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7"/>
              </w:rPr>
              <w:t>Balances at March</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9"/>
        </w:trPr>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1,310,093</w:t>
            </w: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4"/>
              </w:rPr>
              <w:t>1,300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$62,001,400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 (3,968,100)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(198,100)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7"/>
              </w:rPr>
              <w:t>$ (70,636,900)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2"/>
              </w:rPr>
              <w:t>(12,799,900)</w:t>
            </w:r>
          </w:p>
        </w:tc>
      </w:tr>
      <w:tr>
        <w:trPr>
          <w:trHeight w:val="211"/>
        </w:trPr>
        <w:tc>
          <w:tcPr>
            <w:tcW w:w="1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560" w:type="dxa"/>
            <w:vAlign w:val="bottom"/>
            <w:shd w:val="clear" w:color="auto" w:fill="CCEEFF"/>
          </w:tcPr>
          <w:p>
            <w:pPr>
              <w:ind w:left="40"/>
              <w:spacing w:after="0" w:line="198" w:lineRule="exact"/>
              <w:rPr>
                <w:sz w:val="20"/>
                <w:szCs w:val="20"/>
                <w:color w:val="auto"/>
              </w:rPr>
            </w:pPr>
            <w:r>
              <w:rPr>
                <w:rFonts w:ascii="Arial" w:cs="Arial" w:eastAsia="Arial" w:hAnsi="Arial"/>
                <w:sz w:val="18"/>
                <w:szCs w:val="18"/>
                <w:color w:val="auto"/>
                <w:w w:val="97"/>
              </w:rPr>
              <w:t>Allocated proceeds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from sale of Units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6"/>
              </w:rPr>
              <w:t>for cash under 2014</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Unit Private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Placement,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including beneficial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280,350</w:t>
            </w:r>
          </w:p>
        </w:tc>
        <w:tc>
          <w:tcPr>
            <w:tcW w:w="4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2,746,800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2,747,100</w:t>
            </w:r>
          </w:p>
        </w:tc>
      </w:tr>
      <w:tr>
        <w:trPr>
          <w:trHeight w:val="222"/>
        </w:trPr>
        <w:tc>
          <w:tcPr>
            <w:tcW w:w="1560" w:type="dxa"/>
            <w:vAlign w:val="bottom"/>
          </w:tcPr>
          <w:p>
            <w:pPr>
              <w:ind w:left="40"/>
              <w:spacing w:after="0"/>
              <w:rPr>
                <w:sz w:val="20"/>
                <w:szCs w:val="20"/>
                <w:color w:val="auto"/>
              </w:rPr>
            </w:pPr>
            <w:r>
              <w:rPr>
                <w:rFonts w:ascii="Arial" w:cs="Arial" w:eastAsia="Arial" w:hAnsi="Arial"/>
                <w:sz w:val="18"/>
                <w:szCs w:val="18"/>
                <w:color w:val="auto"/>
              </w:rPr>
              <w:t>Share-based</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2,460,100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2,460,100</w:t>
            </w:r>
          </w:p>
        </w:tc>
      </w:tr>
      <w:tr>
        <w:trPr>
          <w:trHeight w:val="153"/>
        </w:trPr>
        <w:tc>
          <w:tcPr>
            <w:tcW w:w="1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ectPr>
          <w:pgSz w:w="11900" w:h="16900" w:orient="portrait"/>
          <w:cols w:equalWidth="0" w:num="1">
            <w:col w:w="11420"/>
          </w:cols>
          <w:pgMar w:left="240" w:top="130" w:right="239" w:bottom="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Arial" w:cs="Arial" w:eastAsia="Arial" w:hAnsi="Arial"/>
                <w:sz w:val="18"/>
                <w:szCs w:val="18"/>
                <w:color w:val="auto"/>
              </w:rPr>
              <w:t>compensation</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560" w:type="dxa"/>
            <w:vAlign w:val="bottom"/>
          </w:tcPr>
          <w:p>
            <w:pPr>
              <w:spacing w:after="0"/>
              <w:rPr>
                <w:sz w:val="20"/>
                <w:szCs w:val="20"/>
                <w:color w:val="auto"/>
              </w:rPr>
            </w:pPr>
            <w:r>
              <w:rPr>
                <w:rFonts w:ascii="Arial" w:cs="Arial" w:eastAsia="Arial" w:hAnsi="Arial"/>
                <w:sz w:val="18"/>
                <w:szCs w:val="18"/>
                <w:color w:val="auto"/>
              </w:rPr>
              <w:t>expense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1560" w:type="dxa"/>
            <w:vAlign w:val="bottom"/>
            <w:shd w:val="clear" w:color="auto" w:fill="CCEEFF"/>
          </w:tcPr>
          <w:p>
            <w:pPr>
              <w:ind w:left="40"/>
              <w:spacing w:after="0" w:line="199" w:lineRule="exact"/>
              <w:rPr>
                <w:sz w:val="20"/>
                <w:szCs w:val="20"/>
                <w:color w:val="auto"/>
              </w:rPr>
            </w:pPr>
            <w:r>
              <w:rPr>
                <w:rFonts w:ascii="Arial" w:cs="Arial" w:eastAsia="Arial" w:hAnsi="Arial"/>
                <w:sz w:val="18"/>
                <w:szCs w:val="18"/>
                <w:color w:val="auto"/>
              </w:rPr>
              <w:t>Payment on and</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settlement of note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5"/>
              </w:rPr>
              <w:t>receivable from sale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of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198,100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198,100</w:t>
            </w:r>
          </w:p>
        </w:tc>
      </w:tr>
      <w:tr>
        <w:trPr>
          <w:trHeight w:val="198"/>
        </w:trPr>
        <w:tc>
          <w:tcPr>
            <w:tcW w:w="1560" w:type="dxa"/>
            <w:vAlign w:val="bottom"/>
          </w:tcPr>
          <w:p>
            <w:pPr>
              <w:ind w:left="40"/>
              <w:spacing w:after="0" w:line="198" w:lineRule="exact"/>
              <w:rPr>
                <w:sz w:val="20"/>
                <w:szCs w:val="20"/>
                <w:color w:val="auto"/>
              </w:rPr>
            </w:pPr>
            <w:r>
              <w:rPr>
                <w:rFonts w:ascii="Arial" w:cs="Arial" w:eastAsia="Arial" w:hAnsi="Arial"/>
                <w:sz w:val="18"/>
                <w:szCs w:val="18"/>
                <w:color w:val="auto"/>
              </w:rPr>
              <w:t>Incremental fair</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value of modified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560" w:type="dxa"/>
            <w:vAlign w:val="bottom"/>
          </w:tcPr>
          <w:p>
            <w:pPr>
              <w:spacing w:after="0"/>
              <w:rPr>
                <w:sz w:val="20"/>
                <w:szCs w:val="20"/>
                <w:color w:val="auto"/>
              </w:rPr>
            </w:pPr>
            <w:r>
              <w:rPr>
                <w:rFonts w:ascii="Arial" w:cs="Arial" w:eastAsia="Arial" w:hAnsi="Arial"/>
                <w:sz w:val="18"/>
                <w:szCs w:val="18"/>
                <w:color w:val="auto"/>
              </w:rPr>
              <w:t>warrants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98,400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98,400</w:t>
            </w:r>
          </w:p>
        </w:tc>
      </w:tr>
      <w:tr>
        <w:trPr>
          <w:trHeight w:val="199"/>
        </w:trPr>
        <w:tc>
          <w:tcPr>
            <w:tcW w:w="1560" w:type="dxa"/>
            <w:vAlign w:val="bottom"/>
            <w:shd w:val="clear" w:color="auto" w:fill="CCEEFF"/>
          </w:tcPr>
          <w:p>
            <w:pPr>
              <w:ind w:left="40"/>
              <w:spacing w:after="0" w:line="199" w:lineRule="exact"/>
              <w:rPr>
                <w:sz w:val="20"/>
                <w:szCs w:val="20"/>
                <w:color w:val="auto"/>
              </w:rPr>
            </w:pPr>
            <w:r>
              <w:rPr>
                <w:rFonts w:ascii="Arial" w:cs="Arial" w:eastAsia="Arial" w:hAnsi="Arial"/>
                <w:sz w:val="18"/>
                <w:szCs w:val="18"/>
                <w:color w:val="auto"/>
              </w:rPr>
              <w:t>Fair Value of</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issued for services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71,667</w:t>
            </w: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635,600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635,700</w:t>
            </w:r>
          </w:p>
        </w:tc>
      </w:tr>
      <w:tr>
        <w:trPr>
          <w:trHeight w:val="198"/>
        </w:trPr>
        <w:tc>
          <w:tcPr>
            <w:tcW w:w="1560" w:type="dxa"/>
            <w:vAlign w:val="bottom"/>
          </w:tcPr>
          <w:p>
            <w:pPr>
              <w:ind w:left="40"/>
              <w:spacing w:after="0" w:line="198" w:lineRule="exact"/>
              <w:rPr>
                <w:sz w:val="20"/>
                <w:szCs w:val="20"/>
                <w:color w:val="auto"/>
              </w:rPr>
            </w:pPr>
            <w:r>
              <w:rPr>
                <w:rFonts w:ascii="Arial" w:cs="Arial" w:eastAsia="Arial" w:hAnsi="Arial"/>
                <w:sz w:val="18"/>
                <w:szCs w:val="18"/>
                <w:color w:val="auto"/>
              </w:rPr>
              <w:t>Fair value of</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common stock and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warrants issued in</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settlement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of technology</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560" w:type="dxa"/>
            <w:vAlign w:val="bottom"/>
          </w:tcPr>
          <w:p>
            <w:pPr>
              <w:spacing w:after="0"/>
              <w:rPr>
                <w:sz w:val="20"/>
                <w:szCs w:val="20"/>
                <w:color w:val="auto"/>
              </w:rPr>
            </w:pPr>
            <w:r>
              <w:rPr>
                <w:rFonts w:ascii="Arial" w:cs="Arial" w:eastAsia="Arial" w:hAnsi="Arial"/>
                <w:sz w:val="18"/>
                <w:szCs w:val="18"/>
                <w:color w:val="auto"/>
              </w:rPr>
              <w:t>license expenses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230,200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230,200</w:t>
            </w:r>
          </w:p>
        </w:tc>
      </w:tr>
      <w:tr>
        <w:trPr>
          <w:trHeight w:val="199"/>
        </w:trPr>
        <w:tc>
          <w:tcPr>
            <w:tcW w:w="1560" w:type="dxa"/>
            <w:vAlign w:val="bottom"/>
            <w:shd w:val="clear" w:color="auto" w:fill="CCEEFF"/>
          </w:tcPr>
          <w:p>
            <w:pPr>
              <w:ind w:left="40"/>
              <w:spacing w:after="0" w:line="199" w:lineRule="exact"/>
              <w:rPr>
                <w:sz w:val="20"/>
                <w:szCs w:val="20"/>
                <w:color w:val="auto"/>
              </w:rPr>
            </w:pPr>
            <w:r>
              <w:rPr>
                <w:rFonts w:ascii="Arial" w:cs="Arial" w:eastAsia="Arial" w:hAnsi="Arial"/>
                <w:sz w:val="18"/>
                <w:szCs w:val="18"/>
                <w:color w:val="auto"/>
              </w:rPr>
              <w:t>Fair value of</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to</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Morrison &amp;</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Foerster, Cato</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Research Ltd. and</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University Health</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Network in</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on</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underlying notes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44,400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44,400</w:t>
            </w:r>
          </w:p>
        </w:tc>
      </w:tr>
      <w:tr>
        <w:trPr>
          <w:trHeight w:val="198"/>
        </w:trPr>
        <w:tc>
          <w:tcPr>
            <w:tcW w:w="1560" w:type="dxa"/>
            <w:vAlign w:val="bottom"/>
          </w:tcPr>
          <w:p>
            <w:pPr>
              <w:ind w:left="40"/>
              <w:spacing w:after="0" w:line="198" w:lineRule="exact"/>
              <w:rPr>
                <w:sz w:val="20"/>
                <w:szCs w:val="20"/>
                <w:color w:val="auto"/>
              </w:rPr>
            </w:pPr>
            <w:r>
              <w:rPr>
                <w:rFonts w:ascii="Arial" w:cs="Arial" w:eastAsia="Arial" w:hAnsi="Arial"/>
                <w:sz w:val="18"/>
                <w:szCs w:val="18"/>
                <w:color w:val="auto"/>
              </w:rPr>
              <w:t>Effect of</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w w:val="91"/>
              </w:rPr>
              <w:t>amendments of 2013</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Unit Notes and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warrants,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w w:val="92"/>
              </w:rPr>
              <w:t>including repurchase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560" w:type="dxa"/>
            <w:vAlign w:val="bottom"/>
          </w:tcPr>
          <w:p>
            <w:pPr>
              <w:spacing w:after="0"/>
              <w:rPr>
                <w:sz w:val="20"/>
                <w:szCs w:val="20"/>
                <w:color w:val="auto"/>
              </w:rPr>
            </w:pPr>
            <w:r>
              <w:rPr>
                <w:rFonts w:ascii="Arial" w:cs="Arial" w:eastAsia="Arial" w:hAnsi="Arial"/>
                <w:sz w:val="18"/>
                <w:szCs w:val="18"/>
                <w:color w:val="auto"/>
              </w:rPr>
              <w:t>of beneficial</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560" w:type="dxa"/>
            <w:vAlign w:val="bottom"/>
          </w:tcPr>
          <w:p>
            <w:pPr>
              <w:spacing w:after="0"/>
              <w:rPr>
                <w:sz w:val="20"/>
                <w:szCs w:val="20"/>
                <w:color w:val="auto"/>
              </w:rPr>
            </w:pPr>
            <w:r>
              <w:rPr>
                <w:rFonts w:ascii="Arial" w:cs="Arial" w:eastAsia="Arial" w:hAnsi="Arial"/>
                <w:sz w:val="18"/>
                <w:szCs w:val="18"/>
                <w:color w:val="auto"/>
              </w:rPr>
              <w:t>conversion feature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109,300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109,300</w:t>
            </w:r>
          </w:p>
        </w:tc>
      </w:tr>
      <w:tr>
        <w:trPr>
          <w:trHeight w:val="199"/>
        </w:trPr>
        <w:tc>
          <w:tcPr>
            <w:tcW w:w="1560" w:type="dxa"/>
            <w:vAlign w:val="bottom"/>
            <w:shd w:val="clear" w:color="auto" w:fill="CCEEFF"/>
          </w:tcPr>
          <w:p>
            <w:pPr>
              <w:ind w:left="40"/>
              <w:spacing w:after="0" w:line="199" w:lineRule="exact"/>
              <w:rPr>
                <w:sz w:val="20"/>
                <w:szCs w:val="20"/>
                <w:color w:val="auto"/>
              </w:rPr>
            </w:pPr>
            <w:r>
              <w:rPr>
                <w:rFonts w:ascii="Arial" w:cs="Arial" w:eastAsia="Arial" w:hAnsi="Arial"/>
                <w:sz w:val="18"/>
                <w:szCs w:val="18"/>
                <w:color w:val="auto"/>
              </w:rPr>
              <w:t>Effect of</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amendments of</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Platinum Senior</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5"/>
              </w:rPr>
              <w:t>Secured Promissory</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Notes, including</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repurchase of</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beneficial</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(380,400)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(380,400)</w:t>
            </w:r>
          </w:p>
        </w:tc>
      </w:tr>
      <w:tr>
        <w:trPr>
          <w:trHeight w:val="198"/>
        </w:trPr>
        <w:tc>
          <w:tcPr>
            <w:tcW w:w="1560" w:type="dxa"/>
            <w:vAlign w:val="bottom"/>
          </w:tcPr>
          <w:p>
            <w:pPr>
              <w:ind w:left="40"/>
              <w:spacing w:after="0" w:line="198" w:lineRule="exact"/>
              <w:rPr>
                <w:sz w:val="20"/>
                <w:szCs w:val="20"/>
                <w:color w:val="auto"/>
              </w:rPr>
            </w:pPr>
            <w:r>
              <w:rPr>
                <w:rFonts w:ascii="Arial" w:cs="Arial" w:eastAsia="Arial" w:hAnsi="Arial"/>
                <w:sz w:val="18"/>
                <w:szCs w:val="18"/>
                <w:color w:val="auto"/>
              </w:rPr>
              <w:t>Net loss for fiscal</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1560" w:type="dxa"/>
            <w:vAlign w:val="bottom"/>
          </w:tcPr>
          <w:p>
            <w:pPr>
              <w:spacing w:after="0"/>
              <w:rPr>
                <w:sz w:val="20"/>
                <w:szCs w:val="20"/>
                <w:color w:val="auto"/>
              </w:rPr>
            </w:pPr>
            <w:r>
              <w:rPr>
                <w:rFonts w:ascii="Arial" w:cs="Arial" w:eastAsia="Arial" w:hAnsi="Arial"/>
                <w:sz w:val="18"/>
                <w:szCs w:val="18"/>
                <w:color w:val="auto"/>
              </w:rPr>
              <w:t>year 2015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(13,885,800)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(13,885,800)</w:t>
            </w:r>
          </w:p>
        </w:tc>
      </w:tr>
      <w:tr>
        <w:trPr>
          <w:trHeight w:val="211"/>
        </w:trPr>
        <w:tc>
          <w:tcPr>
            <w:tcW w:w="15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2"/>
        </w:trPr>
        <w:tc>
          <w:tcPr>
            <w:tcW w:w="1560" w:type="dxa"/>
            <w:vAlign w:val="bottom"/>
          </w:tcPr>
          <w:p>
            <w:pPr>
              <w:spacing w:after="0" w:line="192" w:lineRule="exact"/>
              <w:rPr>
                <w:sz w:val="20"/>
                <w:szCs w:val="20"/>
                <w:color w:val="auto"/>
              </w:rPr>
            </w:pPr>
            <w:r>
              <w:rPr>
                <w:rFonts w:ascii="Arial" w:cs="Arial" w:eastAsia="Arial" w:hAnsi="Arial"/>
                <w:sz w:val="18"/>
                <w:szCs w:val="18"/>
                <w:b w:val="1"/>
                <w:bCs w:val="1"/>
                <w:color w:val="auto"/>
                <w:w w:val="97"/>
              </w:rPr>
              <w:t>Balances at March</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1560" w:type="dxa"/>
            <w:vAlign w:val="bottom"/>
          </w:tcPr>
          <w:p>
            <w:pPr>
              <w:spacing w:after="0"/>
              <w:rPr>
                <w:sz w:val="20"/>
                <w:szCs w:val="20"/>
                <w:color w:val="auto"/>
              </w:rPr>
            </w:pPr>
            <w:r>
              <w:rPr>
                <w:rFonts w:ascii="Arial" w:cs="Arial" w:eastAsia="Arial" w:hAnsi="Arial"/>
                <w:sz w:val="18"/>
                <w:szCs w:val="18"/>
                <w:b w:val="1"/>
                <w:bCs w:val="1"/>
                <w:color w:val="auto"/>
              </w:rPr>
              <w:t>31, 2015</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500,000</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1,677,110</w:t>
            </w:r>
          </w:p>
        </w:tc>
        <w:tc>
          <w:tcPr>
            <w:tcW w:w="28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1,700</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67,945,800</w:t>
            </w:r>
          </w:p>
        </w:tc>
        <w:tc>
          <w:tcPr>
            <w:tcW w:w="14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9"/>
              </w:rPr>
              <w:t>$ (3,968,100)  $</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 (84,522,700)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0"/>
              </w:rPr>
              <w:t>$ (20,542,800)</w:t>
            </w:r>
          </w:p>
        </w:tc>
      </w:tr>
      <w:tr>
        <w:trPr>
          <w:trHeight w:val="20"/>
        </w:trPr>
        <w:tc>
          <w:tcPr>
            <w:tcW w:w="1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VistaGen Therapeutics, Inc., a Nevada corporation, is a clinical-stage biopharmaceutical company committed to developing and commercializing product candidates for patients with depression, other diseases and disorders related to the central nervous system (CNS), and cancer. Our principal executive offices are located at 343 Allerton Avenue, South San Francisco, California 94080, and our telephone number is (650) 577-3600. Our website address is </w:t>
      </w:r>
      <w:r>
        <w:rPr>
          <w:rFonts w:ascii="Arial" w:cs="Arial" w:eastAsia="Arial" w:hAnsi="Arial"/>
          <w:sz w:val="18"/>
          <w:szCs w:val="18"/>
          <w:i w:val="1"/>
          <w:iCs w:val="1"/>
          <w:color w:val="auto"/>
        </w:rPr>
        <w:t>www.vistagen.com</w:t>
      </w:r>
      <w:r>
        <w:rPr>
          <w:rFonts w:ascii="Arial" w:cs="Arial" w:eastAsia="Arial" w:hAnsi="Arial"/>
          <w:sz w:val="18"/>
          <w:szCs w:val="18"/>
          <w:color w:val="auto"/>
        </w:rPr>
        <w:t>.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 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VistaGen Therapeutics, Inc., a Nevada corporation.</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VistaGen Therapeutics, Inc., a California corporation incorporated on May 26, 1998 (</w:t>
      </w:r>
      <w:r>
        <w:rPr>
          <w:rFonts w:ascii="Arial" w:cs="Arial" w:eastAsia="Arial" w:hAnsi="Arial"/>
          <w:sz w:val="18"/>
          <w:szCs w:val="18"/>
          <w:i w:val="1"/>
          <w:iCs w:val="1"/>
          <w:color w:val="auto"/>
        </w:rPr>
        <w:t>VistaGen California</w:t>
      </w:r>
      <w:r>
        <w:rPr>
          <w:rFonts w:ascii="Arial" w:cs="Arial" w:eastAsia="Arial" w:hAnsi="Arial"/>
          <w:sz w:val="18"/>
          <w:szCs w:val="18"/>
          <w:color w:val="auto"/>
        </w:rPr>
        <w:t>), is our wholly-owned subsidiary. Pursuant to a strategic merger transaction on May 11, 2011, we acquired all outstanding shares of VistaGen California in exchange for 341,823 shares of our common stock (</w:t>
      </w:r>
      <w:r>
        <w:rPr>
          <w:rFonts w:ascii="Arial" w:cs="Arial" w:eastAsia="Arial" w:hAnsi="Arial"/>
          <w:sz w:val="18"/>
          <w:szCs w:val="18"/>
          <w:i w:val="1"/>
          <w:iCs w:val="1"/>
          <w:color w:val="auto"/>
        </w:rPr>
        <w:t>Merger</w:t>
      </w:r>
      <w:r>
        <w:rPr>
          <w:rFonts w:ascii="Arial" w:cs="Arial" w:eastAsia="Arial" w:hAnsi="Arial"/>
          <w:sz w:val="18"/>
          <w:szCs w:val="18"/>
          <w:color w:val="auto"/>
        </w:rPr>
        <w:t>), and assumed all of VistaGen California’s pre-Merger obligations. The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lead product candidate, AV-101, is an orally-active small molecule prodrug in Phase 2 development for Major Depressive Disorder (MDD). AV-101’s mechanism of action (MOA), as an N-methyl-D-aspartate receptor (NMDAR) antagonist binding selectively at the glycine-binding (GlyB) co-agonist site of the NMDAR, is fundamentally different from all currently-approved antidepressants. In three preclinical studies utilizing well-validated animal models of depression, AV-101 was shown to induce fast-acting, dose-dependent, persistent and statistically significant antidepressant-like responses, following a single treatment, which were equivalent to response seen with a single sub-anesthetic dose of ketamine. In the same studies, fluoxetine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9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Following our two successful randomized, double-blind, placebo-controlled Phase 1 safety studies funded by the U.S. National Institutes of Health (NIH), AV-101 is the only small molecule product candidate known to management that is (A) in Phase 2 clinical development as a monotherapy for MDD, (B) designed to modulate the NMDAR through antagonistic binding at the GlyB co-agonist site of the NMDAR and (C) orally-active in human subjects.</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February 2015, we entered a Cooperative Research and Development Agreement (CRADA) with the U.S. National Institute of Mental Health (NIMH), part of the NIH. Under this agreement, we will collaborate with the NIH on a Phase 2 clinical study of AV-101 in subjects with treatment resistant Major Depressive Disorder. Pursuant to the CRADA, this study will be conducted and fully-funded by the NIMH. It is contemplated that this clinical study will begin this year under the direction of Dr. Carlos Zarate, Jr., the NIMH’s Chief of Experimental Therapeutics &amp; Pathophysiology Branch and of the Section on Neurobiology and Treatment of Mood and Anxiety Disorders.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In addition to developing AV-101 for MDD and other CNS indications, we are using our stem cell technology platform for drug rescue –to identify and develop proprietary new chemical entities (NCEs) for our internal drug candidate pipeline by leveraging our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bioassay systems, prior investment by pharmaceutical companies and others to discover, optimize and test for efficacy NCEs terminated before FDA approval due to unexpected toxicity and medicinal chemistry. Our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bioassay system uses our human pluripotent stem cell (hPSC)-derived cardiomyocytes, or heart cells. Our</w:t>
      </w:r>
      <w:r>
        <w:rPr>
          <w:rFonts w:ascii="Arial" w:cs="Arial" w:eastAsia="Arial" w:hAnsi="Arial"/>
          <w:sz w:val="16"/>
          <w:szCs w:val="16"/>
          <w:i w:val="1"/>
          <w:iCs w:val="1"/>
          <w:color w:val="auto"/>
        </w:rPr>
        <w:t xml:space="preserve"> LiverSafe </w:t>
      </w:r>
      <w:r>
        <w:rPr>
          <w:rFonts w:ascii="Arial" w:cs="Arial" w:eastAsia="Arial" w:hAnsi="Arial"/>
          <w:sz w:val="16"/>
          <w:szCs w:val="16"/>
          <w:color w:val="auto"/>
        </w:rPr>
        <w:t>3D™bioassay system uses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stem cell-derived hepatocytes, or liver cells. We believe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offer a new paradigm for evaluating and predicting potential heart and liver toxicity of NCEs, including potential drug rescue NCEs, early in development, long before costly, high risk animal studies and human clinical trials. We intend to develop each optimized drug rescue NCE internally to establish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proof-of-concept (POC), as to both efficacy and safety, using both established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as well as in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when available,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have previously generated approximately $16.4 million of revenue from grant awards and collaborations, we currently have no commercially available, revenue-generating products and, since inception, we have devoted substantially all of our time and efforts to development of AV-101 for CNS indications and our human pluripotent stem cell technology research and development programs, including, customized bioassay system development, creating, protecting and patenting intellectual property, recruiting personnel and raising working capital.</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04" w:name="page105"/>
    <w:bookmarkEnd w:id="10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Going Concern</w:t>
      </w:r>
    </w:p>
    <w:p>
      <w:pPr>
        <w:spacing w:after="0" w:line="24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 xml:space="preserve">Effective August 14, 2014, we consummated a 1-for-20 reverse split of our authorized, and issued and outstanding shares of common stock (the </w:t>
      </w:r>
      <w:r>
        <w:rPr>
          <w:rFonts w:ascii="Arial" w:cs="Arial" w:eastAsia="Arial" w:hAnsi="Arial"/>
          <w:sz w:val="16"/>
          <w:szCs w:val="16"/>
          <w:i w:val="1"/>
          <w:iCs w:val="1"/>
          <w:color w:val="auto"/>
        </w:rPr>
        <w:t>Stock</w:t>
      </w:r>
      <w:r>
        <w:rPr>
          <w:rFonts w:ascii="Arial" w:cs="Arial" w:eastAsia="Arial" w:hAnsi="Arial"/>
          <w:sz w:val="16"/>
          <w:szCs w:val="16"/>
          <w:color w:val="auto"/>
        </w:rPr>
        <w:t xml:space="preserve"> </w:t>
      </w:r>
      <w:r>
        <w:rPr>
          <w:rFonts w:ascii="Arial" w:cs="Arial" w:eastAsia="Arial" w:hAnsi="Arial"/>
          <w:sz w:val="16"/>
          <w:szCs w:val="16"/>
          <w:i w:val="1"/>
          <w:iCs w:val="1"/>
          <w:color w:val="auto"/>
        </w:rPr>
        <w:t>Consolidation</w:t>
      </w:r>
      <w:r>
        <w:rPr>
          <w:rFonts w:ascii="Arial" w:cs="Arial" w:eastAsia="Arial" w:hAnsi="Arial"/>
          <w:sz w:val="16"/>
          <w:szCs w:val="16"/>
          <w:color w:val="auto"/>
        </w:rPr>
        <w:t>). Each reference to shares of common stock or the price per share of common stock in these financial statements is post-Stock Consolidation,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reflects the 1-for-20 adjustment as a result of the Stock Consolidation. See Note 8, </w:t>
      </w:r>
      <w:r>
        <w:rPr>
          <w:rFonts w:ascii="Arial" w:cs="Arial" w:eastAsia="Arial" w:hAnsi="Arial"/>
          <w:sz w:val="16"/>
          <w:szCs w:val="16"/>
          <w:i w:val="1"/>
          <w:iCs w:val="1"/>
          <w:color w:val="auto"/>
        </w:rPr>
        <w:t>Capital Stock</w:t>
      </w:r>
      <w:r>
        <w:rPr>
          <w:rFonts w:ascii="Arial" w:cs="Arial" w:eastAsia="Arial" w:hAnsi="Arial"/>
          <w:sz w:val="16"/>
          <w:szCs w:val="16"/>
          <w:color w:val="auto"/>
        </w:rPr>
        <w:t>, for more information regarding the Stock Consolidation.</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accompanying Consolidated Financial Statements have been prepared assuming that we will continue as a going concern. As a developing-technology company having not yet developed commercial products or achieved sustainable revenues, we have experienced recurring losses and negative cash flows from operations resulting in a deficit of $84.5 million accumulated from inception through March 31, 2015. We expect losses and negative cash flows from operations to continue for the foreseeable future as we engage in further potential development of AV-101 and launch and execute our drug rescue programs and pursue potential drug development and regenerative medicine opportunities.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our inception in May 1998 through March 31, 2015, we have financed our operations and technology acquisitions primarily through the issuance and sale of equity and debt securities, including convertible promissory notes and short-term promissory notes, for cash proceeds of approximately $29.0 million, as well as from an aggregate of approximately $16.4 million of government research grant awards, strategic collaboration payments and other revenues. Additionally, we have issued equity securities with an approximate value at issuance of $13.5 million in non-cash settlements of certain liabilities, including liabilities for professional services rendered to us or as compensation for such services.</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Between late-March 2014 and March 31, 2015, we entered into securities purchase agreements with accredited investors and institutions, including Platinum, pursuant to which we sold units to such accredited investors, in private placement transactions (</w:t>
      </w:r>
      <w:r>
        <w:rPr>
          <w:rFonts w:ascii="Arial" w:cs="Arial" w:eastAsia="Arial" w:hAnsi="Arial"/>
          <w:sz w:val="16"/>
          <w:szCs w:val="16"/>
          <w:i w:val="1"/>
          <w:iCs w:val="1"/>
          <w:color w:val="auto"/>
        </w:rPr>
        <w:t>2014 Units</w:t>
      </w:r>
      <w:r>
        <w:rPr>
          <w:rFonts w:ascii="Arial" w:cs="Arial" w:eastAsia="Arial" w:hAnsi="Arial"/>
          <w:sz w:val="16"/>
          <w:szCs w:val="16"/>
          <w:color w:val="auto"/>
        </w:rPr>
        <w:t xml:space="preserve"> or </w:t>
      </w:r>
      <w:r>
        <w:rPr>
          <w:rFonts w:ascii="Arial" w:cs="Arial" w:eastAsia="Arial" w:hAnsi="Arial"/>
          <w:sz w:val="16"/>
          <w:szCs w:val="16"/>
          <w:i w:val="1"/>
          <w:iCs w:val="1"/>
          <w:color w:val="auto"/>
        </w:rPr>
        <w:t>2014 Unit Private Placement</w:t>
      </w:r>
      <w:r>
        <w:rPr>
          <w:rFonts w:ascii="Arial" w:cs="Arial" w:eastAsia="Arial" w:hAnsi="Arial"/>
          <w:sz w:val="16"/>
          <w:szCs w:val="16"/>
          <w:color w:val="auto"/>
        </w:rPr>
        <w:t>), for aggregate cash proceeds of approximately $3.1 million, consisting of (i) 2014 Unit Notes in the aggregate face amount of approximately $3.1 million which matured between March 31, 2015 and April 30, 2015, or were automatically convertible into securities we might issue upon the consummation of a Qualified Financing, as defined,</w:t>
      </w:r>
    </w:p>
    <w:p>
      <w:pPr>
        <w:spacing w:after="0" w:line="2" w:lineRule="exact"/>
        <w:rPr>
          <w:sz w:val="20"/>
          <w:szCs w:val="20"/>
          <w:color w:val="auto"/>
        </w:rPr>
      </w:pPr>
    </w:p>
    <w:p>
      <w:pPr>
        <w:jc w:val="both"/>
        <w:ind w:firstLine="5"/>
        <w:spacing w:after="0" w:line="286" w:lineRule="auto"/>
        <w:tabs>
          <w:tab w:leader="none" w:pos="268"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aggregate of 282,850 restricted shares of our common stock (</w:t>
      </w:r>
      <w:r>
        <w:rPr>
          <w:rFonts w:ascii="Arial" w:cs="Arial" w:eastAsia="Arial" w:hAnsi="Arial"/>
          <w:sz w:val="16"/>
          <w:szCs w:val="16"/>
          <w:i w:val="1"/>
          <w:iCs w:val="1"/>
          <w:color w:val="auto"/>
        </w:rPr>
        <w:t>2014 Unit Stock)</w:t>
      </w:r>
      <w:r>
        <w:rPr>
          <w:rFonts w:ascii="Arial" w:cs="Arial" w:eastAsia="Arial" w:hAnsi="Arial"/>
          <w:sz w:val="16"/>
          <w:szCs w:val="16"/>
          <w:color w:val="auto"/>
        </w:rPr>
        <w:t>; and (iii) warrants exercisable through December 31, 2016 to purchase an aggregate of 282,850 restricted shares of our common stock at an exercise price of $10.00 per share (</w:t>
      </w:r>
      <w:r>
        <w:rPr>
          <w:rFonts w:ascii="Arial" w:cs="Arial" w:eastAsia="Arial" w:hAnsi="Arial"/>
          <w:sz w:val="16"/>
          <w:szCs w:val="16"/>
          <w:i w:val="1"/>
          <w:iCs w:val="1"/>
          <w:color w:val="auto"/>
        </w:rPr>
        <w:t>2014 Unit Warrants).</w:t>
      </w:r>
      <w:r>
        <w:rPr>
          <w:rFonts w:ascii="Arial" w:cs="Arial" w:eastAsia="Arial" w:hAnsi="Arial"/>
          <w:sz w:val="16"/>
          <w:szCs w:val="16"/>
          <w:color w:val="auto"/>
        </w:rPr>
        <w:t xml:space="preserve"> At March 31, 2015, we did not have sufficient cash and cash equivalents to enable us to fund our planned operations, including expected cash expenditures of approximately $7 million over the next twelve months, including expenditures required to prepare for further clinical trials of AV-101.</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As described more completely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between April 1 and May 14, 2015, we continued the 2014 Unit Private Placement, pursuant to which we sold to accredited investors 2014 Units, for aggregate cash proceeds of $280,000, consisting of: (i) 10% convertible promissory notes maturing between April 30, 2015 and May 15, 2015, in the aggregate face amount of $280,000, (ii) an aggregate of 33,000 shares of our restricted common stock, and (iii) warrants exercisable through December 31, 2016 to purchase an aggregate of 24,250 restricted shares of our common stock at an exercise price of $10.00 per share. As also described more completely in Note 16, Subsequent Events, during May 2015, we entered into an agreement with Platinum (</w:t>
      </w:r>
      <w:r>
        <w:rPr>
          <w:rFonts w:ascii="Arial" w:cs="Arial" w:eastAsia="Arial" w:hAnsi="Arial"/>
          <w:sz w:val="16"/>
          <w:szCs w:val="16"/>
          <w:i w:val="1"/>
          <w:iCs w:val="1"/>
          <w:color w:val="auto"/>
        </w:rPr>
        <w:t>Platinum Agreement</w:t>
      </w:r>
      <w:r>
        <w:rPr>
          <w:rFonts w:ascii="Arial" w:cs="Arial" w:eastAsia="Arial" w:hAnsi="Arial"/>
          <w:sz w:val="16"/>
          <w:szCs w:val="16"/>
          <w:color w:val="auto"/>
        </w:rPr>
        <w:t>), pursuant to which, Platinum has, among other things:</w:t>
      </w:r>
    </w:p>
    <w:p>
      <w:pPr>
        <w:spacing w:after="0" w:line="221" w:lineRule="exact"/>
        <w:rPr>
          <w:sz w:val="20"/>
          <w:szCs w:val="20"/>
          <w:color w:val="auto"/>
        </w:rPr>
      </w:pPr>
    </w:p>
    <w:p>
      <w:pPr>
        <w:jc w:val="both"/>
        <w:ind w:firstLine="163"/>
        <w:spacing w:after="0" w:line="253" w:lineRule="auto"/>
        <w:tabs>
          <w:tab w:leader="none" w:pos="413"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Converted the approximately $4.5 million outstanding balance (principal and accrued but unpaid interest) of the Senior Notes we issued to Platinum into 641,335 shares of our newly-created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 , thereby cancelling approximately $4.5 million of our outstanding indebtedness;</w:t>
      </w:r>
    </w:p>
    <w:p>
      <w:pPr>
        <w:spacing w:after="0" w:line="214" w:lineRule="exact"/>
        <w:rPr>
          <w:rFonts w:ascii="Arial" w:cs="Arial" w:eastAsia="Arial" w:hAnsi="Arial"/>
          <w:sz w:val="18"/>
          <w:szCs w:val="18"/>
          <w:color w:val="auto"/>
        </w:rPr>
      </w:pPr>
    </w:p>
    <w:p>
      <w:pPr>
        <w:ind w:firstLine="163"/>
        <w:spacing w:after="0" w:line="262" w:lineRule="auto"/>
        <w:tabs>
          <w:tab w:leader="none" w:pos="413"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Released all of its security interests in our assets and those of our subsidiaries by terminating the Amended and Restated Security Agreement, IP Security Agreement and Negative Covenant, which we had entered into with Platinum in October 2012; and</w:t>
      </w:r>
    </w:p>
    <w:p>
      <w:pPr>
        <w:spacing w:after="0" w:line="232" w:lineRule="exact"/>
        <w:rPr>
          <w:rFonts w:ascii="Arial" w:cs="Arial" w:eastAsia="Arial" w:hAnsi="Arial"/>
          <w:sz w:val="18"/>
          <w:szCs w:val="18"/>
          <w:color w:val="auto"/>
        </w:rPr>
      </w:pPr>
    </w:p>
    <w:p>
      <w:pPr>
        <w:jc w:val="both"/>
        <w:ind w:firstLine="163"/>
        <w:spacing w:after="0" w:line="250" w:lineRule="auto"/>
        <w:tabs>
          <w:tab w:leader="none" w:pos="413"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Converted the approximately $1.3 million outstanding balance (principal and accrued but unpaid interest) of the convertible promissory notes we issued to Platinum in the 2014 Unit Private Placement (</w:t>
      </w:r>
      <w:r>
        <w:rPr>
          <w:rFonts w:ascii="Arial" w:cs="Arial" w:eastAsia="Arial" w:hAnsi="Arial"/>
          <w:sz w:val="18"/>
          <w:szCs w:val="18"/>
          <w:i w:val="1"/>
          <w:iCs w:val="1"/>
          <w:color w:val="auto"/>
        </w:rPr>
        <w:t>2014 Unit Notes</w:t>
      </w:r>
      <w:r>
        <w:rPr>
          <w:rFonts w:ascii="Arial" w:cs="Arial" w:eastAsia="Arial" w:hAnsi="Arial"/>
          <w:sz w:val="18"/>
          <w:szCs w:val="18"/>
          <w:color w:val="auto"/>
        </w:rPr>
        <w:t>) into 240,305 shares of Series B Preferred and five-year warrants to purchase 240,305 shares of our common stock at a fixed exercise price of $7.00 per share (</w:t>
      </w:r>
      <w:r>
        <w:rPr>
          <w:rFonts w:ascii="Arial" w:cs="Arial" w:eastAsia="Arial" w:hAnsi="Arial"/>
          <w:sz w:val="18"/>
          <w:szCs w:val="18"/>
          <w:i w:val="1"/>
          <w:iCs w:val="1"/>
          <w:color w:val="auto"/>
        </w:rPr>
        <w:t>Series B Warrants</w:t>
      </w:r>
      <w:r>
        <w:rPr>
          <w:rFonts w:ascii="Arial" w:cs="Arial" w:eastAsia="Arial" w:hAnsi="Arial"/>
          <w:sz w:val="18"/>
          <w:szCs w:val="18"/>
          <w:color w:val="auto"/>
        </w:rPr>
        <w:t>), thereby cancelling approximately $1.3 million of our outstanding indebtedness; and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5" w:name="page106"/>
    <w:bookmarkEnd w:id="10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both"/>
        <w:ind w:firstLine="163"/>
        <w:spacing w:after="0" w:line="250" w:lineRule="auto"/>
        <w:tabs>
          <w:tab w:leader="none" w:pos="4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Purchased approximately $1.5 million (principal and accrued but unpaid interest) of outstanding 2014 Unit Notes we issued to various other investors from the respective holders thereof (</w:t>
      </w:r>
      <w:r>
        <w:rPr>
          <w:rFonts w:ascii="Arial" w:cs="Arial" w:eastAsia="Arial" w:hAnsi="Arial"/>
          <w:sz w:val="18"/>
          <w:szCs w:val="18"/>
          <w:i w:val="1"/>
          <w:iCs w:val="1"/>
          <w:color w:val="auto"/>
        </w:rPr>
        <w:t>Investor 2014 Unit Notes</w:t>
      </w:r>
      <w:r>
        <w:rPr>
          <w:rFonts w:ascii="Arial" w:cs="Arial" w:eastAsia="Arial" w:hAnsi="Arial"/>
          <w:sz w:val="18"/>
          <w:szCs w:val="18"/>
          <w:color w:val="auto"/>
        </w:rPr>
        <w:t xml:space="preserve"> ) and converted the entire outstanding balance of the Investor 2014 Unit Notes into 265,699 shares of Series B Preferred and Series B Warrants to purchase 265,699 shares of our common stock, thereby cancelling approximately $1.5 million of our outstanding indebtedness; and</w:t>
      </w:r>
    </w:p>
    <w:p>
      <w:pPr>
        <w:spacing w:after="0" w:line="243" w:lineRule="exact"/>
        <w:rPr>
          <w:rFonts w:ascii="Arial" w:cs="Arial" w:eastAsia="Arial" w:hAnsi="Arial"/>
          <w:sz w:val="18"/>
          <w:szCs w:val="18"/>
          <w:color w:val="auto"/>
        </w:rPr>
      </w:pPr>
    </w:p>
    <w:p>
      <w:pPr>
        <w:jc w:val="both"/>
        <w:ind w:firstLine="163"/>
        <w:spacing w:after="0" w:line="253" w:lineRule="auto"/>
        <w:tabs>
          <w:tab w:leader="none" w:pos="4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Entered into a Securities Purchase Agreement (</w:t>
      </w:r>
      <w:r>
        <w:rPr>
          <w:rFonts w:ascii="Arial" w:cs="Arial" w:eastAsia="Arial" w:hAnsi="Arial"/>
          <w:sz w:val="18"/>
          <w:szCs w:val="18"/>
          <w:i w:val="1"/>
          <w:iCs w:val="1"/>
          <w:color w:val="auto"/>
        </w:rPr>
        <w:t>SPA</w:t>
      </w:r>
      <w:r>
        <w:rPr>
          <w:rFonts w:ascii="Arial" w:cs="Arial" w:eastAsia="Arial" w:hAnsi="Arial"/>
          <w:sz w:val="18"/>
          <w:szCs w:val="18"/>
          <w:color w:val="auto"/>
        </w:rPr>
        <w:t>) to purchase, for $1.0 million, a total of 142,857 shares of Series B Preferred and a Series B Warrant (</w:t>
      </w:r>
      <w:r>
        <w:rPr>
          <w:rFonts w:ascii="Arial" w:cs="Arial" w:eastAsia="Arial" w:hAnsi="Arial"/>
          <w:sz w:val="18"/>
          <w:szCs w:val="18"/>
          <w:i w:val="1"/>
          <w:iCs w:val="1"/>
          <w:color w:val="auto"/>
        </w:rPr>
        <w:t>Series B Preferred Unit</w:t>
      </w:r>
      <w:r>
        <w:rPr>
          <w:rFonts w:ascii="Arial" w:cs="Arial" w:eastAsia="Arial" w:hAnsi="Arial"/>
          <w:sz w:val="18"/>
          <w:szCs w:val="18"/>
          <w:color w:val="auto"/>
        </w:rPr>
        <w:t>) to purchase 142,857 shares of our common stock, on or before June 11, 2015 (a portion of which purchase was consummated on June 19, 2015).</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As further described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effective May 20, 2015, holders of the remaining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 Between May 26, 2015 and June 25, 2015, we sold to accredited investors and institutions an aggregate of $557,500 of units in our Series B Preferred Unit offering, which units consist of Series B Preferred and Series B Warrants (together </w:t>
      </w:r>
      <w:r>
        <w:rPr>
          <w:rFonts w:ascii="Arial" w:cs="Arial" w:eastAsia="Arial" w:hAnsi="Arial"/>
          <w:sz w:val="16"/>
          <w:szCs w:val="16"/>
          <w:i w:val="1"/>
          <w:iCs w:val="1"/>
          <w:color w:val="auto"/>
        </w:rPr>
        <w:t>Series B Preferred Units</w:t>
      </w:r>
      <w:r>
        <w:rPr>
          <w:rFonts w:ascii="Arial" w:cs="Arial" w:eastAsia="Arial" w:hAnsi="Arial"/>
          <w:sz w:val="16"/>
          <w:szCs w:val="16"/>
          <w:color w:val="auto"/>
        </w:rPr>
        <w:t>),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Additionally, as further described in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strategic adjustments) into 831,577 shares of Series B Preferred stock.</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Since March 31, 2015, we have eliminated approximately $14.9 million of promissory notes, other debt and certain adjustments thereto that was either already due and payable or would have otherwise matured prior to March 31, 2016, through conversion into our Series B Preferred stock and, with respect to a portion of the indebtedness converted, warrants to purchase common stock. Together with the cash proceeds from our Series B Preferred Unit Offering, our working capital position has improved significantly since March 31, 2015. We will, however, need to raise additional capital to fund our operations and execute our business plan over the next year and thereafter.</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believe that our participation in potential strategic collaborations, including potential transactions involving AV-101 such as our February 2015 Cooperative Research and Development Agreement with the U.S. National Institutes of Health (NIH) for an NIH-funded and sponsored Phase 2 study of AV-101 in major depressive disorder, may provide resources to support a portion of our future cash needs and working capital requirements. When and as necessary, we will seek to raise a material amount of financing through a combination of additional private placements and/or registered public offerings of our securities, which may include both debt and equity securities, stem cell technology-based research and development collaborations, stem cell technology and drug candidate license fees, and government grant awards and collaborations. Our future working capital requirements will depend on many factors, including, without limitation, the scope and nature of strategic opportunities related to our success in clinical trials of and further developing AV-101 as a treatment for major depressive disorder and/or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applications of our stem cell technology platform, as well as support our operating activities, we plan to continue to carefully manage our routine operating costs, including salaries and benefits, regulatory and public company consulting, contract research and development, legal, accounting and other professional services and working capital costs.</w:t>
      </w:r>
    </w:p>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These Consolidated Financial Statements do not include any adjustments that might result from the outcome of this uncertainty.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06" w:name="page107"/>
    <w:bookmarkEnd w:id="10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w:t>
      </w:r>
      <w:r>
        <w:rPr>
          <w:rFonts w:ascii="Arial" w:cs="Arial" w:eastAsia="Arial" w:hAnsi="Arial"/>
          <w:sz w:val="18"/>
          <w:szCs w:val="18"/>
          <w:i w:val="1"/>
          <w:iCs w:val="1"/>
          <w:color w:val="auto"/>
        </w:rPr>
        <w:t>U.S. GAAP</w:t>
      </w:r>
      <w:r>
        <w:rPr>
          <w:rFonts w:ascii="Arial" w:cs="Arial" w:eastAsia="Arial" w:hAnsi="Arial"/>
          <w:sz w:val="18"/>
          <w:szCs w:val="18"/>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consolidated financial statements include the Company’s accounts, and the accounts of VistaGen California’s wholly-owned inactive subsidiaries, Artemis Neurosciences and VistaStem Canada.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considered to be highly liquid investments with maturities of three months or less at the date of purchase.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or Disposal of Long-Lived Assets</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evaluate our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we record an impairment loss in the amount by which the carrying value of the assets exceeds their fair value. If the assets are determined to be recoverable, but the useful lives are shorter than originally estimated, we depreciate or amortize the net book value of the assets over the newly determined remaining useful lives. We have not recorded any impairment charges to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Although we do not currently have any such arrangements, we have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07" w:name="page108"/>
    <w:bookmarkEnd w:id="10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215" w:lineRule="exact"/>
        <w:rPr>
          <w:sz w:val="20"/>
          <w:szCs w:val="20"/>
          <w:color w:val="auto"/>
        </w:rPr>
      </w:pPr>
    </w:p>
    <w:p>
      <w:pPr>
        <w:jc w:val="both"/>
        <w:ind w:left="800" w:firstLine="153"/>
        <w:spacing w:after="0" w:line="279" w:lineRule="auto"/>
        <w:tabs>
          <w:tab w:leader="none" w:pos="1574"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2" w:lineRule="exact"/>
        <w:rPr>
          <w:rFonts w:ascii="Arial" w:cs="Arial" w:eastAsia="Arial" w:hAnsi="Arial"/>
          <w:sz w:val="16"/>
          <w:szCs w:val="16"/>
          <w:color w:val="auto"/>
        </w:rPr>
      </w:pPr>
    </w:p>
    <w:p>
      <w:pPr>
        <w:jc w:val="both"/>
        <w:ind w:left="800" w:firstLine="153"/>
        <w:spacing w:after="0" w:line="247" w:lineRule="auto"/>
        <w:tabs>
          <w:tab w:leader="none" w:pos="15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223" w:lineRule="exact"/>
        <w:rPr>
          <w:rFonts w:ascii="Arial" w:cs="Arial" w:eastAsia="Arial" w:hAnsi="Arial"/>
          <w:sz w:val="18"/>
          <w:szCs w:val="18"/>
          <w:color w:val="auto"/>
        </w:rPr>
      </w:pPr>
    </w:p>
    <w:p>
      <w:pPr>
        <w:ind w:left="800" w:firstLine="153"/>
        <w:spacing w:after="0" w:line="262" w:lineRule="auto"/>
        <w:tabs>
          <w:tab w:leader="none" w:pos="14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08" w:name="page109"/>
    <w:bookmarkEnd w:id="10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instruments, which potentially subject us to concentrations of credit risk, consist principally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have issued to Platinum Long Term Growth VII, LLC, our largest investor (</w:t>
      </w:r>
      <w:r>
        <w:rPr>
          <w:rFonts w:ascii="Arial" w:cs="Arial" w:eastAsia="Arial" w:hAnsi="Arial"/>
          <w:sz w:val="16"/>
          <w:szCs w:val="16"/>
          <w:i w:val="1"/>
          <w:iCs w:val="1"/>
          <w:color w:val="auto"/>
        </w:rPr>
        <w:t>Platinum</w:t>
      </w:r>
      <w:r>
        <w:rPr>
          <w:rFonts w:ascii="Arial" w:cs="Arial" w:eastAsia="Arial" w:hAnsi="Arial"/>
          <w:sz w:val="16"/>
          <w:szCs w:val="16"/>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6"/>
          <w:szCs w:val="16"/>
          <w:i w:val="1"/>
          <w:iCs w:val="1"/>
          <w:color w:val="auto"/>
        </w:rPr>
        <w:t>Platinum Warrants</w:t>
      </w:r>
      <w:r>
        <w:rPr>
          <w:rFonts w:ascii="Arial" w:cs="Arial" w:eastAsia="Arial" w:hAnsi="Arial"/>
          <w:sz w:val="16"/>
          <w:szCs w:val="16"/>
          <w:color w:val="auto"/>
        </w:rPr>
        <w:t xml:space="preserve">). The Platinum Warrants contain an exercise price adjustment feature that will lower the exercise price of the warrants in the event we subsequently issue equity instruments at a price lower than the exercise price of the Platinum Warrants. We account for the Platinum Warrants as non-cash liabilities and estimate their fair value as described in Note 4,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Measurements, </w:t>
      </w:r>
      <w:r>
        <w:rPr>
          <w:rFonts w:ascii="Arial" w:cs="Arial" w:eastAsia="Arial" w:hAnsi="Arial"/>
          <w:sz w:val="16"/>
          <w:szCs w:val="16"/>
          <w:color w:val="auto"/>
        </w:rPr>
        <w:t>Note 8,</w:t>
      </w:r>
      <w:r>
        <w:rPr>
          <w:rFonts w:ascii="Arial" w:cs="Arial" w:eastAsia="Arial" w:hAnsi="Arial"/>
          <w:sz w:val="16"/>
          <w:szCs w:val="16"/>
          <w:i w:val="1"/>
          <w:iCs w:val="1"/>
          <w:color w:val="auto"/>
        </w:rPr>
        <w:t xml:space="preserve"> Convertible Promissory Notes and Other Notes Payable</w:t>
      </w:r>
      <w:r>
        <w:rPr>
          <w:rFonts w:ascii="Arial" w:cs="Arial" w:eastAsia="Arial" w:hAnsi="Arial"/>
          <w:sz w:val="16"/>
          <w:szCs w:val="16"/>
          <w:color w:val="auto"/>
        </w:rPr>
        <w:t>, and Note 9</w:t>
      </w:r>
      <w:r>
        <w:rPr>
          <w:rFonts w:ascii="Arial" w:cs="Arial" w:eastAsia="Arial" w:hAnsi="Arial"/>
          <w:sz w:val="16"/>
          <w:szCs w:val="16"/>
          <w:i w:val="1"/>
          <w:iCs w:val="1"/>
          <w:color w:val="auto"/>
        </w:rPr>
        <w:t>, Capital Stock</w:t>
      </w:r>
      <w:r>
        <w:rPr>
          <w:rFonts w:ascii="Arial" w:cs="Arial" w:eastAsia="Arial" w:hAnsi="Arial"/>
          <w:sz w:val="16"/>
          <w:szCs w:val="16"/>
          <w:color w:val="auto"/>
        </w:rPr>
        <w:t>. We compute the fair value of the warrant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liability at each reporting period and 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 As described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during May 2015, we entered into an agreement with Platinum pursuant to which Platinum agreed to amend the Platinum Warrants to fix the exercise price thereof at $7.00 per share and eliminate the exercise price reset features and fix the number of shares of our common stock issuable thereunder. This amendment will result in the elimination of the warrant liability with respect to the Platinum Warrants during the first quarter of our fiscal year ended March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adjust the numerator for the change in the fair value of the warrant liability attributable to the outstanding Platinum Warrants, only if dilutive, and increase the denominator to include the number of potentially dilutive common shares assumed to be outstanding during the period using the treasury stock method. As a result of our net loss for both periods presented, potentially dilutive securities were excluded from the computation of diluted loss per share, as their effect would be antidilutive.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4"/>
        </w:trPr>
        <w:tc>
          <w:tcPr>
            <w:tcW w:w="872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1120" w:type="dxa"/>
            <w:vAlign w:val="bottom"/>
            <w:tcBorders>
              <w:top w:val="single" w:sz="8" w:color="0000EE"/>
            </w:tcBorders>
          </w:tcPr>
          <w:p>
            <w:pPr>
              <w:spacing w:after="0"/>
              <w:rPr>
                <w:sz w:val="24"/>
                <w:szCs w:val="24"/>
                <w:color w:val="auto"/>
              </w:rPr>
            </w:pPr>
          </w:p>
        </w:tc>
        <w:tc>
          <w:tcPr>
            <w:tcW w:w="7600" w:type="dxa"/>
            <w:vAlign w:val="bottom"/>
          </w:tcPr>
          <w:p>
            <w:pPr>
              <w:jc w:val="center"/>
              <w:ind w:left="1492"/>
              <w:spacing w:after="0"/>
              <w:rPr>
                <w:sz w:val="20"/>
                <w:szCs w:val="20"/>
                <w:color w:val="auto"/>
              </w:rPr>
            </w:pPr>
            <w:r>
              <w:rPr>
                <w:rFonts w:ascii="Arial" w:cs="Arial" w:eastAsia="Arial" w:hAnsi="Arial"/>
                <w:sz w:val="18"/>
                <w:szCs w:val="18"/>
                <w:b w:val="1"/>
                <w:bCs w:val="1"/>
                <w:color w:val="auto"/>
                <w:w w:val="98"/>
              </w:rPr>
              <w:t>VISTAGEN THERAPEUTICS, INC.</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7600" w:type="dxa"/>
            <w:vAlign w:val="bottom"/>
          </w:tcPr>
          <w:p>
            <w:pPr>
              <w:jc w:val="center"/>
              <w:ind w:left="1512"/>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8720" w:type="dxa"/>
            <w:vAlign w:val="bottom"/>
            <w:gridSpan w:val="2"/>
          </w:tcPr>
          <w:p>
            <w:pPr>
              <w:spacing w:after="0"/>
              <w:rPr>
                <w:sz w:val="20"/>
                <w:szCs w:val="20"/>
                <w:color w:val="auto"/>
              </w:rPr>
            </w:pPr>
            <w:r>
              <w:rPr>
                <w:rFonts w:ascii="Arial" w:cs="Arial" w:eastAsia="Arial" w:hAnsi="Arial"/>
                <w:sz w:val="18"/>
                <w:szCs w:val="18"/>
                <w:color w:val="auto"/>
              </w:rPr>
              <w:t>Basic and diluted net loss attributable to common stockholders per share was computed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1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2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7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Net loss attributable to common stockholders for basic earnings per share</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(13,885,800)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(2,967,700)</w:t>
            </w:r>
          </w:p>
        </w:tc>
        <w:tc>
          <w:tcPr>
            <w:tcW w:w="0" w:type="dxa"/>
            <w:vAlign w:val="bottom"/>
          </w:tcPr>
          <w:p>
            <w:pPr>
              <w:spacing w:after="0"/>
              <w:rPr>
                <w:sz w:val="1"/>
                <w:szCs w:val="1"/>
                <w:color w:val="auto"/>
              </w:rPr>
            </w:pPr>
          </w:p>
        </w:tc>
      </w:tr>
      <w:tr>
        <w:trPr>
          <w:trHeight w:val="198"/>
        </w:trPr>
        <w:tc>
          <w:tcPr>
            <w:tcW w:w="8720" w:type="dxa"/>
            <w:vAlign w:val="bottom"/>
            <w:gridSpan w:val="2"/>
          </w:tcPr>
          <w:p>
            <w:pPr>
              <w:ind w:left="920"/>
              <w:spacing w:after="0" w:line="198" w:lineRule="exact"/>
              <w:rPr>
                <w:sz w:val="20"/>
                <w:szCs w:val="20"/>
                <w:color w:val="auto"/>
              </w:rPr>
            </w:pPr>
            <w:r>
              <w:rPr>
                <w:rFonts w:ascii="Arial" w:cs="Arial" w:eastAsia="Arial" w:hAnsi="Arial"/>
                <w:sz w:val="18"/>
                <w:szCs w:val="18"/>
                <w:color w:val="auto"/>
                <w:w w:val="89"/>
              </w:rPr>
              <w:t>less: change in fair value of warrant liability attributable to Exchange, Investment and Bridge Warrants issued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20" w:type="dxa"/>
            <w:vAlign w:val="bottom"/>
            <w:gridSpan w:val="2"/>
          </w:tcPr>
          <w:p>
            <w:pPr>
              <w:ind w:left="920"/>
              <w:spacing w:after="0"/>
              <w:rPr>
                <w:sz w:val="20"/>
                <w:szCs w:val="20"/>
                <w:color w:val="auto"/>
              </w:rPr>
            </w:pPr>
            <w:r>
              <w:rPr>
                <w:rFonts w:ascii="Arial" w:cs="Arial" w:eastAsia="Arial" w:hAnsi="Arial"/>
                <w:sz w:val="18"/>
                <w:szCs w:val="18"/>
                <w:color w:val="auto"/>
              </w:rPr>
              <w:t>to Platinum</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(105,200)</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(1,219,500)</w:t>
            </w:r>
          </w:p>
        </w:tc>
        <w:tc>
          <w:tcPr>
            <w:tcW w:w="0" w:type="dxa"/>
            <w:vAlign w:val="bottom"/>
          </w:tcPr>
          <w:p>
            <w:pPr>
              <w:spacing w:after="0"/>
              <w:rPr>
                <w:sz w:val="1"/>
                <w:szCs w:val="1"/>
                <w:color w:val="auto"/>
              </w:rPr>
            </w:pPr>
          </w:p>
        </w:tc>
      </w:tr>
      <w:tr>
        <w:trPr>
          <w:trHeight w:val="211"/>
        </w:trPr>
        <w:tc>
          <w:tcPr>
            <w:tcW w:w="112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720" w:type="dxa"/>
            <w:vAlign w:val="bottom"/>
            <w:gridSpan w:val="2"/>
          </w:tcPr>
          <w:p>
            <w:pPr>
              <w:ind w:left="460"/>
              <w:spacing w:after="0"/>
              <w:rPr>
                <w:sz w:val="20"/>
                <w:szCs w:val="20"/>
                <w:color w:val="auto"/>
              </w:rPr>
            </w:pPr>
            <w:r>
              <w:rPr>
                <w:rFonts w:ascii="Arial" w:cs="Arial" w:eastAsia="Arial" w:hAnsi="Arial"/>
                <w:sz w:val="18"/>
                <w:szCs w:val="18"/>
                <w:color w:val="auto"/>
              </w:rPr>
              <w:t>Net loss for diluted earnings per share attributable to common stockholders</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(13,991,000)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(4,187,200)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shd w:val="clear" w:color="auto" w:fill="CCEEFF"/>
          </w:tcPr>
          <w:p>
            <w:pPr>
              <w:spacing w:after="0"/>
              <w:rPr>
                <w:sz w:val="17"/>
                <w:szCs w:val="17"/>
                <w:color w:val="auto"/>
              </w:rPr>
            </w:pPr>
          </w:p>
        </w:tc>
        <w:tc>
          <w:tcPr>
            <w:tcW w:w="7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72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Weighted average basic common shares outstanding</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1,318,797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1,098,742</w:t>
            </w:r>
          </w:p>
        </w:tc>
        <w:tc>
          <w:tcPr>
            <w:tcW w:w="0" w:type="dxa"/>
            <w:vAlign w:val="bottom"/>
          </w:tcPr>
          <w:p>
            <w:pPr>
              <w:spacing w:after="0"/>
              <w:rPr>
                <w:sz w:val="1"/>
                <w:szCs w:val="1"/>
                <w:color w:val="auto"/>
              </w:rPr>
            </w:pPr>
          </w:p>
        </w:tc>
      </w:tr>
      <w:tr>
        <w:trPr>
          <w:trHeight w:val="211"/>
        </w:trPr>
        <w:tc>
          <w:tcPr>
            <w:tcW w:w="8720" w:type="dxa"/>
            <w:vAlign w:val="bottom"/>
            <w:gridSpan w:val="2"/>
          </w:tcPr>
          <w:p>
            <w:pPr>
              <w:ind w:left="460"/>
              <w:spacing w:after="0"/>
              <w:rPr>
                <w:sz w:val="20"/>
                <w:szCs w:val="20"/>
                <w:color w:val="auto"/>
              </w:rPr>
            </w:pPr>
            <w:r>
              <w:rPr>
                <w:rFonts w:ascii="Arial" w:cs="Arial" w:eastAsia="Arial" w:hAnsi="Arial"/>
                <w:sz w:val="18"/>
                <w:szCs w:val="18"/>
                <w:color w:val="auto"/>
              </w:rPr>
              <w:t>Assumed conversion of dilutive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7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Warrants to purchase common stock</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6"/>
        </w:trPr>
        <w:tc>
          <w:tcPr>
            <w:tcW w:w="1120" w:type="dxa"/>
            <w:vAlign w:val="bottom"/>
            <w:shd w:val="clear" w:color="auto" w:fill="CCEEFF"/>
          </w:tcPr>
          <w:p>
            <w:pPr>
              <w:spacing w:after="0"/>
              <w:rPr>
                <w:sz w:val="2"/>
                <w:szCs w:val="2"/>
                <w:color w:val="auto"/>
              </w:rPr>
            </w:pPr>
          </w:p>
        </w:tc>
        <w:tc>
          <w:tcPr>
            <w:tcW w:w="7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720" w:type="dxa"/>
            <w:vAlign w:val="bottom"/>
            <w:gridSpan w:val="2"/>
          </w:tcPr>
          <w:p>
            <w:pPr>
              <w:ind w:left="920"/>
              <w:spacing w:after="0"/>
              <w:rPr>
                <w:sz w:val="20"/>
                <w:szCs w:val="20"/>
                <w:color w:val="auto"/>
              </w:rPr>
            </w:pPr>
            <w:r>
              <w:rPr>
                <w:rFonts w:ascii="Arial" w:cs="Arial" w:eastAsia="Arial" w:hAnsi="Arial"/>
                <w:sz w:val="18"/>
                <w:szCs w:val="18"/>
                <w:color w:val="auto"/>
              </w:rPr>
              <w:t>Potentially dilutive common shares assumed converted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1"/>
        </w:trPr>
        <w:tc>
          <w:tcPr>
            <w:tcW w:w="112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Denominator for diluted earnings per share - adjusted weighted average shares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1,318,797</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1,099,216</w:t>
            </w:r>
          </w:p>
        </w:tc>
        <w:tc>
          <w:tcPr>
            <w:tcW w:w="0" w:type="dxa"/>
            <w:vAlign w:val="bottom"/>
          </w:tcPr>
          <w:p>
            <w:pPr>
              <w:spacing w:after="0"/>
              <w:rPr>
                <w:sz w:val="1"/>
                <w:szCs w:val="1"/>
                <w:color w:val="auto"/>
              </w:rPr>
            </w:pPr>
          </w:p>
        </w:tc>
      </w:tr>
      <w:tr>
        <w:trPr>
          <w:trHeight w:val="203"/>
        </w:trPr>
        <w:tc>
          <w:tcPr>
            <w:tcW w:w="1120" w:type="dxa"/>
            <w:vAlign w:val="bottom"/>
            <w:tcBorders>
              <w:top w:val="single" w:sz="8" w:color="CCEEFF"/>
            </w:tcBorders>
          </w:tcPr>
          <w:p>
            <w:pPr>
              <w:spacing w:after="0"/>
              <w:rPr>
                <w:sz w:val="17"/>
                <w:szCs w:val="17"/>
                <w:color w:val="auto"/>
              </w:rPr>
            </w:pPr>
          </w:p>
        </w:tc>
        <w:tc>
          <w:tcPr>
            <w:tcW w:w="76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2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720" w:type="dxa"/>
            <w:vAlign w:val="bottom"/>
            <w:gridSpan w:val="2"/>
          </w:tcPr>
          <w:p>
            <w:pPr>
              <w:spacing w:after="0"/>
              <w:rPr>
                <w:sz w:val="20"/>
                <w:szCs w:val="20"/>
                <w:color w:val="auto"/>
              </w:rPr>
            </w:pPr>
            <w:r>
              <w:rPr>
                <w:rFonts w:ascii="Arial" w:cs="Arial" w:eastAsia="Arial" w:hAnsi="Arial"/>
                <w:sz w:val="18"/>
                <w:szCs w:val="18"/>
                <w:color w:val="auto"/>
              </w:rPr>
              <w:t>Basic net loss attributable to common stockholders per common share</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(10.53)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shd w:val="clear" w:color="auto" w:fill="CCEEFF"/>
          </w:tcPr>
          <w:p>
            <w:pPr>
              <w:spacing w:after="0"/>
              <w:rPr>
                <w:sz w:val="17"/>
                <w:szCs w:val="17"/>
                <w:color w:val="auto"/>
              </w:rPr>
            </w:pPr>
          </w:p>
        </w:tc>
        <w:tc>
          <w:tcPr>
            <w:tcW w:w="7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720" w:type="dxa"/>
            <w:vAlign w:val="bottom"/>
            <w:gridSpan w:val="2"/>
          </w:tcPr>
          <w:p>
            <w:pPr>
              <w:spacing w:after="0"/>
              <w:rPr>
                <w:sz w:val="20"/>
                <w:szCs w:val="20"/>
                <w:color w:val="auto"/>
              </w:rPr>
            </w:pPr>
            <w:r>
              <w:rPr>
                <w:rFonts w:ascii="Arial" w:cs="Arial" w:eastAsia="Arial" w:hAnsi="Arial"/>
                <w:sz w:val="18"/>
                <w:szCs w:val="18"/>
                <w:color w:val="auto"/>
              </w:rPr>
              <w:t>Diluted net loss attributable to common stockholders per common share</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(10.61)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jc w:val="center"/>
              <w:ind w:left="2613"/>
              <w:spacing w:after="0"/>
              <w:rPr>
                <w:sz w:val="20"/>
                <w:szCs w:val="20"/>
                <w:color w:val="auto"/>
              </w:rPr>
            </w:pPr>
            <w:r>
              <w:rPr>
                <w:rFonts w:ascii="Arial" w:cs="Arial" w:eastAsia="Arial" w:hAnsi="Arial"/>
                <w:sz w:val="18"/>
                <w:szCs w:val="18"/>
                <w:color w:val="auto"/>
                <w:w w:val="90"/>
              </w:rPr>
              <w:t>-106-</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87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20" w:type="dxa"/>
            <w:vAlign w:val="bottom"/>
            <w:tcBorders>
              <w:bottom w:val="single" w:sz="8" w:color="808080"/>
            </w:tcBorders>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10" w:name="page111"/>
    <w:bookmarkEnd w:id="11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Potentially dilutive securities excluded in determining diluted net loss per common share for the fiscal years ended March 31, 2015 and 2014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4"/>
          </w:tcPr>
          <w:p>
            <w:pPr>
              <w:ind w:left="140"/>
              <w:spacing w:after="0"/>
              <w:rPr>
                <w:sz w:val="20"/>
                <w:szCs w:val="20"/>
                <w:color w:val="auto"/>
              </w:rPr>
            </w:pPr>
            <w:r>
              <w:rPr>
                <w:rFonts w:ascii="Arial" w:cs="Arial" w:eastAsia="Arial" w:hAnsi="Arial"/>
                <w:sz w:val="18"/>
                <w:szCs w:val="18"/>
                <w:b w:val="1"/>
                <w:bCs w:val="1"/>
                <w:color w:val="auto"/>
                <w:w w:val="97"/>
              </w:rPr>
              <w:t>Fiscal Years Ended March 31,</w:t>
            </w:r>
          </w:p>
        </w:tc>
      </w:tr>
      <w:tr>
        <w:trPr>
          <w:trHeight w:val="21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11"/>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680" w:type="dxa"/>
            <w:vAlign w:val="bottom"/>
            <w:shd w:val="clear" w:color="auto" w:fill="CCEEFF"/>
          </w:tcPr>
          <w:p>
            <w:pPr>
              <w:spacing w:after="0" w:line="211"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11"/>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shares issuable to Platinum upon exercise of common stock warrants by Platinum</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upon exchange of Series A Preferred under the terms of the October 11, 2012 Note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and Purchase Agreement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r>
      <w:tr>
        <w:trPr>
          <w:trHeight w:val="211"/>
        </w:trPr>
        <w:tc>
          <w:tcPr>
            <w:tcW w:w="86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under the 2008 and 1999 Stock Incentive Plans</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207,638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212,486</w:t>
            </w:r>
          </w:p>
        </w:tc>
      </w:tr>
      <w:tr>
        <w:trPr>
          <w:trHeight w:val="211"/>
        </w:trPr>
        <w:tc>
          <w:tcPr>
            <w:tcW w:w="86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1,544,474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854,782</w:t>
            </w:r>
          </w:p>
        </w:tc>
      </w:tr>
      <w:tr>
        <w:trPr>
          <w:trHeight w:val="211"/>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10% convertible Exchange Note and Investment Notes issued to Platinum in October 2012,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7"/>
        </w:trPr>
        <w:tc>
          <w:tcPr>
            <w:tcW w:w="86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February 2013 and March 2013, including accrued interest through March 31, 2015</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868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 xml:space="preserve">and 2014, respectively </w:t>
            </w:r>
            <w:r>
              <w:rPr>
                <w:rFonts w:ascii="Arial" w:cs="Arial" w:eastAsia="Arial" w:hAnsi="Arial"/>
                <w:sz w:val="24"/>
                <w:szCs w:val="24"/>
                <w:color w:val="auto"/>
                <w:vertAlign w:val="superscript"/>
              </w:rPr>
              <w:t>(2)</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414,615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374,798</w:t>
            </w:r>
          </w:p>
        </w:tc>
      </w:tr>
      <w:tr>
        <w:trPr>
          <w:trHeight w:val="211"/>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10% convertible note issued to Platinum on July 26, 2013, including accrued interest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through March 31, 2015 and 2014, respectively</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29,620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26,776</w:t>
            </w:r>
          </w:p>
        </w:tc>
      </w:tr>
      <w:tr>
        <w:trPr>
          <w:trHeight w:val="211"/>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1"/>
              </w:rPr>
              <w:t>10% convertible notes issued as a component of Unit Private Placements, including accrued interest through March 31,</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1"/>
        </w:trPr>
        <w:tc>
          <w:tcPr>
            <w:tcW w:w="868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 xml:space="preserve">accrued interest through March 31, 2015 and 2014, respectively </w:t>
            </w:r>
            <w:r>
              <w:rPr>
                <w:rFonts w:ascii="Arial" w:cs="Arial" w:eastAsia="Arial" w:hAnsi="Arial"/>
                <w:sz w:val="24"/>
                <w:szCs w:val="24"/>
                <w:color w:val="auto"/>
                <w:vertAlign w:val="superscript"/>
              </w:rPr>
              <w:t>(3)</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433,758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109,341</w:t>
            </w:r>
          </w:p>
        </w:tc>
      </w:tr>
      <w:tr>
        <w:trPr>
          <w:trHeight w:val="211"/>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3,755,105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2,703,183</w:t>
            </w:r>
          </w:p>
        </w:tc>
      </w:tr>
      <w:tr>
        <w:trPr>
          <w:trHeight w:val="43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w:t>
            </w:r>
          </w:p>
        </w:tc>
        <w:tc>
          <w:tcPr>
            <w:tcW w:w="12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ind w:left="220" w:hanging="215"/>
        <w:spacing w:after="0" w:line="186" w:lineRule="auto"/>
        <w:tabs>
          <w:tab w:leader="none" w:pos="22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Assumes exchange under the terms of the October 11, 2012 Note Exchange and Purchase Agreement with Platinum</w:t>
      </w:r>
    </w:p>
    <w:p>
      <w:pPr>
        <w:spacing w:after="0" w:line="2" w:lineRule="exact"/>
        <w:rPr>
          <w:rFonts w:ascii="Arial" w:cs="Arial" w:eastAsia="Arial" w:hAnsi="Arial"/>
          <w:sz w:val="24"/>
          <w:szCs w:val="24"/>
          <w:color w:val="auto"/>
          <w:vertAlign w:val="superscript"/>
        </w:rPr>
      </w:pPr>
    </w:p>
    <w:p>
      <w:pPr>
        <w:ind w:left="220" w:hanging="215"/>
        <w:spacing w:after="0" w:line="189" w:lineRule="auto"/>
        <w:tabs>
          <w:tab w:leader="none" w:pos="220" w:val="left"/>
        </w:tabs>
        <w:numPr>
          <w:ilvl w:val="0"/>
          <w:numId w:val="55"/>
        </w:numPr>
        <w:rPr>
          <w:rFonts w:ascii="Arial" w:cs="Arial" w:eastAsia="Arial" w:hAnsi="Arial"/>
          <w:sz w:val="23"/>
          <w:szCs w:val="23"/>
          <w:color w:val="auto"/>
          <w:vertAlign w:val="superscript"/>
        </w:rPr>
      </w:pPr>
      <w:r>
        <w:rPr>
          <w:rFonts w:ascii="Arial" w:cs="Arial" w:eastAsia="Arial" w:hAnsi="Arial"/>
          <w:sz w:val="16"/>
          <w:szCs w:val="16"/>
          <w:color w:val="auto"/>
        </w:rPr>
        <w:t>Assumes conversion under the terms of the October 11, 2012 Note Exchange and Purchase Agreement with Platinum and the terms of the individual notes</w:t>
      </w:r>
    </w:p>
    <w:p>
      <w:pPr>
        <w:spacing w:after="0" w:line="2" w:lineRule="exact"/>
        <w:rPr>
          <w:rFonts w:ascii="Arial" w:cs="Arial" w:eastAsia="Arial" w:hAnsi="Arial"/>
          <w:sz w:val="23"/>
          <w:szCs w:val="23"/>
          <w:color w:val="auto"/>
          <w:vertAlign w:val="superscript"/>
        </w:rPr>
      </w:pPr>
    </w:p>
    <w:p>
      <w:pPr>
        <w:ind w:left="200" w:hanging="195"/>
        <w:spacing w:after="0" w:line="189" w:lineRule="auto"/>
        <w:tabs>
          <w:tab w:leader="none" w:pos="200" w:val="left"/>
        </w:tabs>
        <w:numPr>
          <w:ilvl w:val="0"/>
          <w:numId w:val="55"/>
        </w:numPr>
        <w:rPr>
          <w:rFonts w:ascii="Arial" w:cs="Arial" w:eastAsia="Arial" w:hAnsi="Arial"/>
          <w:sz w:val="23"/>
          <w:szCs w:val="23"/>
          <w:color w:val="auto"/>
          <w:vertAlign w:val="superscript"/>
        </w:rPr>
      </w:pPr>
      <w:r>
        <w:rPr>
          <w:rFonts w:ascii="Arial" w:cs="Arial" w:eastAsia="Arial" w:hAnsi="Arial"/>
          <w:sz w:val="16"/>
          <w:szCs w:val="16"/>
          <w:color w:val="auto"/>
        </w:rPr>
        <w:t>Excludes effect of conversion premium upon conversion into securities which may be issued in a Qualified Financing, as defined in the notes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11" w:name="page112"/>
    <w:bookmarkEnd w:id="11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May 2014,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which supersedes the revenue recognition requirements in ASC 605, Revenue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amendment in this ASU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on revenue recognition to depict the transfer of promised goods or services to customers in an amount that reflects the consideration to which the entity expects to be entitled in exchange for those goods or services. The core principle of this update provides guidance to identify the performance obligations under the contract(s) with a customer and how to allocate the transaction price to the performance obligations in the contract. It further provides guidance to recognize revenue when (or as) the entity satisfies a performance obligation. The ASU is effective for public entities for annual and interim periods beginning after December 15, 2016 (the first quarter of our fiscal year ending March 31, 2018). In April 2015, the FASB proposed to defer for one year the effective date of the new revenue standard, with an option that would permit companies to adopt the standard as early as the original effective date. Early adoption prior to the original effective date is not permitted. We have not determined the potential effects of adopting this ASU on our consolidated financial statements.</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 June 2014, the FASB issued ASU No. 2014-10, </w:t>
      </w:r>
      <w:r>
        <w:rPr>
          <w:rFonts w:ascii="Arial" w:cs="Arial" w:eastAsia="Arial" w:hAnsi="Arial"/>
          <w:sz w:val="16"/>
          <w:szCs w:val="16"/>
          <w:i w:val="1"/>
          <w:iCs w:val="1"/>
          <w:color w:val="auto"/>
        </w:rPr>
        <w:t>Development Stage Entities (Topic 915): Elimination of Certain Financial Reporting Requirements, Including</w:t>
      </w:r>
      <w:r>
        <w:rPr>
          <w:rFonts w:ascii="Arial" w:cs="Arial" w:eastAsia="Arial" w:hAnsi="Arial"/>
          <w:sz w:val="16"/>
          <w:szCs w:val="16"/>
          <w:color w:val="auto"/>
        </w:rPr>
        <w:t xml:space="preserve"> </w:t>
      </w:r>
      <w:r>
        <w:rPr>
          <w:rFonts w:ascii="Arial" w:cs="Arial" w:eastAsia="Arial" w:hAnsi="Arial"/>
          <w:sz w:val="16"/>
          <w:szCs w:val="16"/>
          <w:i w:val="1"/>
          <w:iCs w:val="1"/>
          <w:color w:val="auto"/>
        </w:rPr>
        <w:t>an Amendment to Variable Interest Entities Guidance in Topic 810, Consolidation</w:t>
      </w:r>
      <w:r>
        <w:rPr>
          <w:rFonts w:ascii="Arial" w:cs="Arial" w:eastAsia="Arial" w:hAnsi="Arial"/>
          <w:sz w:val="16"/>
          <w:szCs w:val="16"/>
          <w:color w:val="auto"/>
        </w:rPr>
        <w:t>. The amendments in this ASU remove all incremental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development stage entities. Among other changes, this ASU no longer requires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with early adoption permitted. We have adopted ASU 2014-10 effective with our fiscal year beginning April 1, 2014 and, accordingly, have eliminated inception-to-date information in the accompanying Consolidated Statements of Operations and Comprehensive Loss and Consolidated Statements of Cash Flows.</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 Uncertainties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 Entity’s Ability to Continue as a Going Concern. </w:t>
      </w:r>
      <w:r>
        <w:rPr>
          <w:rFonts w:ascii="Arial" w:cs="Arial" w:eastAsia="Arial" w:hAnsi="Arial"/>
          <w:sz w:val="16"/>
          <w:szCs w:val="16"/>
          <w:color w:val="auto"/>
        </w:rPr>
        <w:t>The amendments in this ASU define when and how an entity is required to disclose going concern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uncertainties, which must be evaluated each interim and annual period. Specifically, the ASU requires management to determine whether substantial doubt exists regarding the entity’s going concern presumption. Substantial doubt about an entity’s ability to continue as a going concern exists when relevant conditions and events, considered in the aggregate, indicate that it is probable (as defined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that the entity will be unable to meet its obligations as they become due within one year after the date that the financial statements are issued or are available to be issued. If substantial doubt exists, certain disclosures are required, the extent of which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audited financial statements for our fiscal year ended March 31, 2015, our auditors indicated that there was substantial doubt about our ability to continue as a going concern. Although we have not yet adopted ASU 2014-15, we have indicated in Note 2, </w:t>
      </w:r>
      <w:r>
        <w:rPr>
          <w:rFonts w:ascii="Arial" w:cs="Arial" w:eastAsia="Arial" w:hAnsi="Arial"/>
          <w:sz w:val="16"/>
          <w:szCs w:val="16"/>
          <w:i w:val="1"/>
          <w:iCs w:val="1"/>
          <w:color w:val="auto"/>
        </w:rPr>
        <w:t>Basis of</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 and Going Concern</w:t>
      </w:r>
      <w:r>
        <w:rPr>
          <w:rFonts w:ascii="Arial" w:cs="Arial" w:eastAsia="Arial" w:hAnsi="Arial"/>
          <w:sz w:val="16"/>
          <w:szCs w:val="16"/>
          <w:color w:val="auto"/>
        </w:rPr>
        <w:t>, steps we have taken to eliminate certain of our indebtedness and raise additional financing that is expected to permit us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our operations for at least one year. Upon our adoption of ASU 2014-15, assuming conditions at such time indicate there is substantial doubt about our ability to continue as a going concern, or that such doubt has been alleviated, we will conform our disclosure to comply with the guidance contained in ASU 2014-15.</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12" w:name="page113"/>
    <w:bookmarkEnd w:id="11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4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follow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95" w:lineRule="exact"/>
        <w:rPr>
          <w:sz w:val="20"/>
          <w:szCs w:val="20"/>
          <w:color w:val="auto"/>
        </w:rPr>
      </w:pPr>
    </w:p>
    <w:p>
      <w:pPr>
        <w:ind w:left="820" w:hanging="314"/>
        <w:spacing w:after="0" w:line="262" w:lineRule="auto"/>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in active markets that are accessible at the measurement date for assets or liabilities. The fair value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gives the highest priority to Level 1 inputs.</w:t>
      </w:r>
    </w:p>
    <w:p>
      <w:pPr>
        <w:spacing w:after="0" w:line="206" w:lineRule="exact"/>
        <w:rPr>
          <w:rFonts w:ascii="Arial" w:cs="Arial" w:eastAsia="Arial" w:hAnsi="Arial"/>
          <w:sz w:val="18"/>
          <w:szCs w:val="18"/>
          <w:color w:val="auto"/>
        </w:rPr>
      </w:pPr>
    </w:p>
    <w:p>
      <w:pPr>
        <w:jc w:val="both"/>
        <w:ind w:left="820" w:hanging="314"/>
        <w:spacing w:after="0" w:line="253" w:lineRule="auto"/>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214" w:lineRule="exact"/>
        <w:rPr>
          <w:rFonts w:ascii="Arial" w:cs="Arial" w:eastAsia="Arial" w:hAnsi="Arial"/>
          <w:sz w:val="18"/>
          <w:szCs w:val="18"/>
          <w:color w:val="auto"/>
        </w:rPr>
      </w:pPr>
    </w:p>
    <w:p>
      <w:pPr>
        <w:jc w:val="both"/>
        <w:ind w:left="820" w:hanging="314"/>
        <w:spacing w:after="0" w:line="253" w:lineRule="auto"/>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w:t>
      </w:r>
      <w:r>
        <w:rPr>
          <w:rFonts w:ascii="Arial" w:cs="Arial" w:eastAsia="Arial" w:hAnsi="Arial"/>
          <w:sz w:val="18"/>
          <w:szCs w:val="18"/>
          <w:i w:val="1"/>
          <w:iCs w:val="1"/>
          <w:color w:val="auto"/>
        </w:rPr>
        <w:t xml:space="preserve">i.e., </w:t>
      </w:r>
      <w:r>
        <w:rPr>
          <w:rFonts w:ascii="Arial" w:cs="Arial" w:eastAsia="Arial" w:hAnsi="Arial"/>
          <w:sz w:val="18"/>
          <w:szCs w:val="18"/>
          <w:color w:val="auto"/>
        </w:rPr>
        <w:t>inputs that reflect the reporting entity’s own assumptions about the assumptions that market participants would</w:t>
      </w:r>
      <w:r>
        <w:rPr>
          <w:rFonts w:ascii="Arial" w:cs="Arial" w:eastAsia="Arial" w:hAnsi="Arial"/>
          <w:sz w:val="18"/>
          <w:szCs w:val="18"/>
          <w:i w:val="1"/>
          <w:iCs w:val="1"/>
          <w:color w:val="auto"/>
        </w:rPr>
        <w:t xml:space="preserve"> </w:t>
      </w:r>
      <w:r>
        <w:rPr>
          <w:rFonts w:ascii="Arial" w:cs="Arial" w:eastAsia="Arial" w:hAnsi="Arial"/>
          <w:sz w:val="18"/>
          <w:szCs w:val="18"/>
          <w:color w:val="auto"/>
        </w:rPr>
        <w:t>use in estimating the fair value of an asset or liability) are used when little or no market data is available. The fair value hierarchy gives the lowest priority to Level 3 inputs.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We do not use derivative instruments for hedging of market risks or for trading or speculative purposes. In conjunction with the Senior Secured Convertible Promissory Notes issued to Platinum between October 2012 and July 2013 and the related Platinum Warrants (see Note 8, </w:t>
      </w:r>
      <w:r>
        <w:rPr>
          <w:rFonts w:ascii="Arial" w:cs="Arial" w:eastAsia="Arial" w:hAnsi="Arial"/>
          <w:sz w:val="16"/>
          <w:szCs w:val="16"/>
          <w:i w:val="1"/>
          <w:iCs w:val="1"/>
          <w:color w:val="auto"/>
        </w:rPr>
        <w:t>Convertible Promissory Notes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Notes Payable</w:t>
      </w:r>
      <w:r>
        <w:rPr>
          <w:rFonts w:ascii="Arial" w:cs="Arial" w:eastAsia="Arial" w:hAnsi="Arial"/>
          <w:sz w:val="16"/>
          <w:szCs w:val="16"/>
          <w:color w:val="auto"/>
        </w:rPr>
        <w:t>), and the contingently issuable Series A Exchange Warrant (see Note 9,</w:t>
      </w:r>
      <w:r>
        <w:rPr>
          <w:rFonts w:ascii="Arial" w:cs="Arial" w:eastAsia="Arial" w:hAnsi="Arial"/>
          <w:sz w:val="16"/>
          <w:szCs w:val="16"/>
          <w:i w:val="1"/>
          <w:iCs w:val="1"/>
          <w:color w:val="auto"/>
        </w:rPr>
        <w:t xml:space="preserve"> Capital Stock</w:t>
      </w:r>
      <w:r>
        <w:rPr>
          <w:rFonts w:ascii="Arial" w:cs="Arial" w:eastAsia="Arial" w:hAnsi="Arial"/>
          <w:sz w:val="16"/>
          <w:szCs w:val="16"/>
          <w:color w:val="auto"/>
        </w:rPr>
        <w:t>), we determined that the warrants included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adjustment features requiring the warrants to be treated as liabilities, which were recorded at their issuance-date estimated fair values. We determined the fair value of the warrant liabilities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2015 and 2014.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for liabilities measured at fair value on a recurring basis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9"/>
          </w:tcPr>
          <w:p>
            <w:pPr>
              <w:jc w:val="center"/>
              <w:ind w:right="100"/>
              <w:spacing w:after="0"/>
              <w:rPr>
                <w:sz w:val="20"/>
                <w:szCs w:val="20"/>
                <w:color w:val="auto"/>
              </w:rPr>
            </w:pPr>
            <w:r>
              <w:rPr>
                <w:rFonts w:ascii="Arial" w:cs="Arial" w:eastAsia="Arial" w:hAnsi="Arial"/>
                <w:sz w:val="18"/>
                <w:szCs w:val="18"/>
                <w:b w:val="1"/>
                <w:bCs w:val="1"/>
                <w:color w:val="auto"/>
                <w:w w:val="88"/>
              </w:rPr>
              <w:t>Fair Value Measurements at Reporting Date Using</w:t>
            </w:r>
          </w:p>
        </w:tc>
      </w:tr>
      <w:tr>
        <w:trPr>
          <w:trHeight w:val="192"/>
        </w:trPr>
        <w:tc>
          <w:tcPr>
            <w:tcW w:w="35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80"/>
              <w:spacing w:after="0" w:line="192" w:lineRule="exact"/>
              <w:rPr>
                <w:sz w:val="20"/>
                <w:szCs w:val="20"/>
                <w:color w:val="auto"/>
              </w:rPr>
            </w:pPr>
            <w:r>
              <w:rPr>
                <w:rFonts w:ascii="Arial" w:cs="Arial" w:eastAsia="Arial" w:hAnsi="Arial"/>
                <w:sz w:val="18"/>
                <w:szCs w:val="18"/>
                <w:b w:val="1"/>
                <w:bCs w:val="1"/>
                <w:color w:val="auto"/>
                <w:w w:val="88"/>
              </w:rPr>
              <w:t>Quoted</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Prices in</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Active Markets</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for</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r>
      <w:tr>
        <w:trPr>
          <w:trHeight w:val="211"/>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Total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Observable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Unobservable</w:t>
            </w:r>
          </w:p>
        </w:tc>
      </w:tr>
      <w:tr>
        <w:trPr>
          <w:trHeight w:val="211"/>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2"/>
              <w:spacing w:after="0"/>
              <w:rPr>
                <w:sz w:val="20"/>
                <w:szCs w:val="20"/>
                <w:color w:val="auto"/>
              </w:rPr>
            </w:pPr>
            <w:r>
              <w:rPr>
                <w:rFonts w:ascii="Arial" w:cs="Arial" w:eastAsia="Arial" w:hAnsi="Arial"/>
                <w:sz w:val="18"/>
                <w:szCs w:val="18"/>
                <w:b w:val="1"/>
                <w:bCs w:val="1"/>
                <w:color w:val="auto"/>
                <w:w w:val="91"/>
              </w:rPr>
              <w:t>Carrying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r>
      <w:tr>
        <w:trPr>
          <w:trHeight w:val="235"/>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Value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(Level 2)</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3)</w:t>
            </w:r>
          </w:p>
        </w:tc>
      </w:tr>
      <w:tr>
        <w:trPr>
          <w:trHeight w:val="217"/>
        </w:trPr>
        <w:tc>
          <w:tcPr>
            <w:tcW w:w="3520" w:type="dxa"/>
            <w:vAlign w:val="bottom"/>
          </w:tcPr>
          <w:p>
            <w:pPr>
              <w:spacing w:after="0"/>
              <w:rPr>
                <w:sz w:val="20"/>
                <w:szCs w:val="20"/>
                <w:color w:val="auto"/>
              </w:rPr>
            </w:pPr>
            <w:r>
              <w:rPr>
                <w:rFonts w:ascii="Arial" w:cs="Arial" w:eastAsia="Arial" w:hAnsi="Arial"/>
                <w:sz w:val="18"/>
                <w:szCs w:val="18"/>
                <w:color w:val="auto"/>
              </w:rPr>
              <w:t>March 31, 2015:</w:t>
            </w:r>
          </w:p>
        </w:tc>
        <w:tc>
          <w:tcPr>
            <w:tcW w:w="25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2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3,008,500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3,008,500</w:t>
            </w:r>
          </w:p>
        </w:tc>
      </w:tr>
      <w:tr>
        <w:trPr>
          <w:trHeight w:val="203"/>
        </w:trPr>
        <w:tc>
          <w:tcPr>
            <w:tcW w:w="35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March 31, 2014:</w:t>
            </w:r>
          </w:p>
        </w:tc>
        <w:tc>
          <w:tcPr>
            <w:tcW w:w="25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1"/>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2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2,973,900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2,973,900</w:t>
            </w:r>
          </w:p>
        </w:tc>
      </w:tr>
      <w:tr>
        <w:trPr>
          <w:trHeight w:val="585"/>
        </w:trPr>
        <w:tc>
          <w:tcPr>
            <w:tcW w:w="3520" w:type="dxa"/>
            <w:vAlign w:val="bottom"/>
            <w:tcBorders>
              <w:top w:val="single" w:sz="8" w:color="CCEEFF"/>
            </w:tcBorders>
          </w:tcPr>
          <w:p>
            <w:pPr>
              <w:spacing w:after="0"/>
              <w:rPr>
                <w:sz w:val="24"/>
                <w:szCs w:val="24"/>
                <w:color w:val="auto"/>
              </w:rPr>
            </w:pPr>
          </w:p>
        </w:tc>
        <w:tc>
          <w:tcPr>
            <w:tcW w:w="2540" w:type="dxa"/>
            <w:vAlign w:val="bottom"/>
            <w:tcBorders>
              <w:top w:val="single" w:sz="8" w:color="CCEEFF"/>
            </w:tcBorders>
          </w:tcPr>
          <w:p>
            <w:pPr>
              <w:jc w:val="right"/>
              <w:ind w:right="72"/>
              <w:spacing w:after="0"/>
              <w:rPr>
                <w:sz w:val="20"/>
                <w:szCs w:val="20"/>
                <w:color w:val="auto"/>
              </w:rPr>
            </w:pPr>
            <w:r>
              <w:rPr>
                <w:rFonts w:ascii="Arial" w:cs="Arial" w:eastAsia="Arial" w:hAnsi="Arial"/>
                <w:sz w:val="18"/>
                <w:szCs w:val="18"/>
                <w:color w:val="auto"/>
              </w:rPr>
              <w:t>-109-</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6"/>
        </w:trPr>
        <w:tc>
          <w:tcPr>
            <w:tcW w:w="352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13" w:name="page114"/>
    <w:bookmarkEnd w:id="11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fiscal years ended March 31, 2015 and 2014, there were no significant changes to the valuation models used for purposes of determining the fair value of the Level 3 warrant liability.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60" w:type="dxa"/>
            <w:vAlign w:val="bottom"/>
          </w:tcPr>
          <w:p>
            <w:pPr>
              <w:spacing w:after="0"/>
              <w:rPr>
                <w:sz w:val="20"/>
                <w:szCs w:val="20"/>
                <w:color w:val="auto"/>
              </w:rPr>
            </w:pPr>
            <w:r>
              <w:rPr>
                <w:rFonts w:ascii="Arial" w:cs="Arial" w:eastAsia="Arial" w:hAnsi="Arial"/>
                <w:sz w:val="18"/>
                <w:szCs w:val="18"/>
                <w:color w:val="auto"/>
              </w:rPr>
              <w:t>The changes in Level 3 liabilities measured at fair value on a recurring basis are as follows: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0"/>
        </w:trPr>
        <w:tc>
          <w:tcPr>
            <w:tcW w:w="10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Fair Value</w:t>
            </w:r>
          </w:p>
        </w:tc>
      </w:tr>
      <w:tr>
        <w:trPr>
          <w:trHeight w:val="211"/>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Measurements</w:t>
            </w:r>
          </w:p>
        </w:tc>
      </w:tr>
      <w:tr>
        <w:trPr>
          <w:trHeight w:val="211"/>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Using</w:t>
            </w:r>
          </w:p>
        </w:tc>
      </w:tr>
      <w:tr>
        <w:trPr>
          <w:trHeight w:val="211"/>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Significant</w:t>
            </w:r>
          </w:p>
        </w:tc>
      </w:tr>
      <w:tr>
        <w:trPr>
          <w:trHeight w:val="211"/>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Unobservable</w:t>
            </w:r>
          </w:p>
        </w:tc>
      </w:tr>
      <w:tr>
        <w:trPr>
          <w:trHeight w:val="211"/>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Inputs</w:t>
            </w:r>
          </w:p>
        </w:tc>
      </w:tr>
      <w:tr>
        <w:trPr>
          <w:trHeight w:val="235"/>
        </w:trPr>
        <w:tc>
          <w:tcPr>
            <w:tcW w:w="10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3)</w:t>
            </w:r>
          </w:p>
        </w:tc>
      </w:tr>
      <w:tr>
        <w:trPr>
          <w:trHeight w:val="192"/>
        </w:trPr>
        <w:tc>
          <w:tcPr>
            <w:tcW w:w="10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2"/>
              <w:spacing w:after="0" w:line="192" w:lineRule="exact"/>
              <w:rPr>
                <w:sz w:val="20"/>
                <w:szCs w:val="20"/>
                <w:color w:val="auto"/>
              </w:rPr>
            </w:pPr>
            <w:r>
              <w:rPr>
                <w:rFonts w:ascii="Arial" w:cs="Arial" w:eastAsia="Arial" w:hAnsi="Arial"/>
                <w:sz w:val="18"/>
                <w:szCs w:val="18"/>
                <w:b w:val="1"/>
                <w:bCs w:val="1"/>
                <w:color w:val="auto"/>
                <w:w w:val="96"/>
              </w:rPr>
              <w:t>Warrant</w:t>
            </w:r>
          </w:p>
        </w:tc>
        <w:tc>
          <w:tcPr>
            <w:tcW w:w="100" w:type="dxa"/>
            <w:vAlign w:val="bottom"/>
          </w:tcPr>
          <w:p>
            <w:pPr>
              <w:spacing w:after="0"/>
              <w:rPr>
                <w:sz w:val="16"/>
                <w:szCs w:val="16"/>
                <w:color w:val="auto"/>
              </w:rPr>
            </w:pPr>
          </w:p>
        </w:tc>
      </w:tr>
      <w:tr>
        <w:trPr>
          <w:trHeight w:val="235"/>
        </w:trPr>
        <w:tc>
          <w:tcPr>
            <w:tcW w:w="10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Liability</w:t>
            </w:r>
          </w:p>
        </w:tc>
      </w:tr>
      <w:tr>
        <w:trPr>
          <w:trHeight w:val="211"/>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6,394,000</w:t>
            </w:r>
          </w:p>
        </w:tc>
      </w:tr>
      <w:tr>
        <w:trPr>
          <w:trHeight w:val="211"/>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warrant liability upon issuance of Senior Secured Convertible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Promissory Note and warrant to Platinum on July 26, 2013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146,800</w:t>
            </w:r>
          </w:p>
        </w:tc>
      </w:tr>
      <w:tr>
        <w:trPr>
          <w:trHeight w:val="217"/>
        </w:trPr>
        <w:tc>
          <w:tcPr>
            <w:tcW w:w="10060" w:type="dxa"/>
            <w:vAlign w:val="bottom"/>
          </w:tcPr>
          <w:p>
            <w:pPr>
              <w:spacing w:after="0"/>
              <w:rPr>
                <w:sz w:val="20"/>
                <w:szCs w:val="20"/>
                <w:color w:val="auto"/>
              </w:rPr>
            </w:pPr>
            <w:r>
              <w:rPr>
                <w:rFonts w:ascii="Arial" w:cs="Arial" w:eastAsia="Arial" w:hAnsi="Arial"/>
                <w:sz w:val="18"/>
                <w:szCs w:val="18"/>
                <w:color w:val="auto"/>
              </w:rPr>
              <w:t>Mark to market gain included in net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(3,566,900)</w:t>
            </w:r>
          </w:p>
        </w:tc>
      </w:tr>
      <w:tr>
        <w:trPr>
          <w:trHeight w:val="211"/>
        </w:trPr>
        <w:tc>
          <w:tcPr>
            <w:tcW w:w="10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0060" w:type="dxa"/>
            <w:vAlign w:val="bottom"/>
          </w:tcPr>
          <w:p>
            <w:pPr>
              <w:spacing w:after="0"/>
              <w:rPr>
                <w:sz w:val="20"/>
                <w:szCs w:val="20"/>
                <w:color w:val="auto"/>
              </w:rPr>
            </w:pPr>
            <w:r>
              <w:rPr>
                <w:rFonts w:ascii="Arial" w:cs="Arial" w:eastAsia="Arial" w:hAnsi="Arial"/>
                <w:sz w:val="18"/>
                <w:szCs w:val="18"/>
                <w:color w:val="auto"/>
              </w:rPr>
              <w:t>Balance at March 31, 2014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2,973,900</w:t>
            </w:r>
          </w:p>
        </w:tc>
      </w:tr>
      <w:tr>
        <w:trPr>
          <w:trHeight w:val="217"/>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Mark to market loss included in net loss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34,600</w:t>
            </w:r>
          </w:p>
        </w:tc>
      </w:tr>
      <w:tr>
        <w:trPr>
          <w:trHeight w:val="211"/>
        </w:trPr>
        <w:tc>
          <w:tcPr>
            <w:tcW w:w="10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1"/>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3,008,500</w:t>
            </w:r>
          </w:p>
        </w:tc>
      </w:tr>
      <w:tr>
        <w:trPr>
          <w:trHeight w:val="20"/>
        </w:trPr>
        <w:tc>
          <w:tcPr>
            <w:tcW w:w="10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As described in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No assets or other liabilities were measured on a recurring basis at fair value at March 31, 2015 or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tcPr>
          <w:p>
            <w:pPr>
              <w:spacing w:after="0"/>
              <w:rPr>
                <w:sz w:val="20"/>
                <w:szCs w:val="20"/>
                <w:color w:val="auto"/>
              </w:rPr>
            </w:pPr>
            <w:r>
              <w:rPr>
                <w:rFonts w:ascii="Arial" w:cs="Arial" w:eastAsia="Arial" w:hAnsi="Arial"/>
                <w:sz w:val="18"/>
                <w:szCs w:val="18"/>
                <w:b w:val="1"/>
                <w:bCs w:val="1"/>
                <w:color w:val="auto"/>
              </w:rPr>
              <w:t>5. Prepaid Expenses and Other Current Assets</w:t>
            </w: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8"/>
        </w:trPr>
        <w:tc>
          <w:tcPr>
            <w:tcW w:w="5100" w:type="dxa"/>
            <w:vAlign w:val="bottom"/>
          </w:tcPr>
          <w:p>
            <w:pPr>
              <w:spacing w:after="0"/>
              <w:rPr>
                <w:sz w:val="20"/>
                <w:szCs w:val="20"/>
                <w:color w:val="auto"/>
              </w:rPr>
            </w:pPr>
            <w:r>
              <w:rPr>
                <w:rFonts w:ascii="Arial" w:cs="Arial" w:eastAsia="Arial" w:hAnsi="Arial"/>
                <w:sz w:val="18"/>
                <w:szCs w:val="18"/>
                <w:color w:val="auto"/>
                <w:w w:val="95"/>
              </w:rPr>
              <w:t>Prepaid expenses and other current assets consist of the following:</w:t>
            </w: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5"/>
        </w:trPr>
        <w:tc>
          <w:tcPr>
            <w:tcW w:w="5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8"/>
                <w:szCs w:val="18"/>
                <w:color w:val="auto"/>
              </w:rPr>
            </w:pPr>
          </w:p>
        </w:tc>
      </w:tr>
      <w:tr>
        <w:trPr>
          <w:trHeight w:val="211"/>
        </w:trPr>
        <w:tc>
          <w:tcPr>
            <w:tcW w:w="5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3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27,300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21,800</w:t>
            </w:r>
          </w:p>
        </w:tc>
      </w:tr>
      <w:tr>
        <w:trPr>
          <w:trHeight w:val="211"/>
        </w:trPr>
        <w:tc>
          <w:tcPr>
            <w:tcW w:w="5100" w:type="dxa"/>
            <w:vAlign w:val="bottom"/>
          </w:tcPr>
          <w:p>
            <w:pPr>
              <w:ind w:left="40"/>
              <w:spacing w:after="0"/>
              <w:rPr>
                <w:sz w:val="20"/>
                <w:szCs w:val="20"/>
                <w:color w:val="auto"/>
              </w:rPr>
            </w:pPr>
            <w:r>
              <w:rPr>
                <w:rFonts w:ascii="Arial" w:cs="Arial" w:eastAsia="Arial" w:hAnsi="Arial"/>
                <w:sz w:val="18"/>
                <w:szCs w:val="18"/>
                <w:color w:val="auto"/>
              </w:rPr>
              <w:t>Legal fees</w:t>
            </w: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3,400</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r>
      <w:tr>
        <w:trPr>
          <w:trHeight w:val="211"/>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receivable on note receivable from sale</w:t>
            </w: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5100" w:type="dxa"/>
            <w:vAlign w:val="bottom"/>
          </w:tcPr>
          <w:p>
            <w:pPr>
              <w:ind w:left="180"/>
              <w:spacing w:after="0"/>
              <w:rPr>
                <w:sz w:val="20"/>
                <w:szCs w:val="20"/>
                <w:color w:val="auto"/>
              </w:rPr>
            </w:pPr>
            <w:r>
              <w:rPr>
                <w:rFonts w:ascii="Arial" w:cs="Arial" w:eastAsia="Arial" w:hAnsi="Arial"/>
                <w:sz w:val="18"/>
                <w:szCs w:val="18"/>
                <w:color w:val="auto"/>
              </w:rPr>
              <w:t>of common stock</w:t>
            </w: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r>
      <w:tr>
        <w:trPr>
          <w:trHeight w:val="217"/>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Technology license fees and all other</w:t>
            </w: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11"/>
        </w:trPr>
        <w:tc>
          <w:tcPr>
            <w:tcW w:w="510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1"/>
        </w:trPr>
        <w:tc>
          <w:tcPr>
            <w:tcW w:w="5100" w:type="dxa"/>
            <w:vAlign w:val="bottom"/>
            <w:shd w:val="clear" w:color="auto" w:fill="CCEEFF"/>
          </w:tcPr>
          <w:p>
            <w:pPr>
              <w:spacing w:after="0"/>
              <w:rPr>
                <w:sz w:val="21"/>
                <w:szCs w:val="21"/>
                <w:color w:val="auto"/>
              </w:rPr>
            </w:pPr>
          </w:p>
        </w:tc>
        <w:tc>
          <w:tcPr>
            <w:tcW w:w="3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40,500</w:t>
            </w:r>
          </w:p>
        </w:tc>
      </w:tr>
      <w:tr>
        <w:trPr>
          <w:trHeight w:val="585"/>
        </w:trPr>
        <w:tc>
          <w:tcPr>
            <w:tcW w:w="5100" w:type="dxa"/>
            <w:vAlign w:val="bottom"/>
            <w:tcBorders>
              <w:top w:val="single" w:sz="8" w:color="CCEEFF"/>
            </w:tcBorders>
          </w:tcPr>
          <w:p>
            <w:pPr>
              <w:spacing w:after="0"/>
              <w:rPr>
                <w:sz w:val="24"/>
                <w:szCs w:val="24"/>
                <w:color w:val="auto"/>
              </w:rPr>
            </w:pPr>
          </w:p>
        </w:tc>
        <w:tc>
          <w:tcPr>
            <w:tcW w:w="3700" w:type="dxa"/>
            <w:vAlign w:val="bottom"/>
            <w:tcBorders>
              <w:top w:val="single" w:sz="8" w:color="CCEEFF"/>
            </w:tcBorders>
          </w:tcPr>
          <w:p>
            <w:pPr>
              <w:jc w:val="right"/>
              <w:ind w:right="2812"/>
              <w:spacing w:after="0"/>
              <w:rPr>
                <w:sz w:val="20"/>
                <w:szCs w:val="20"/>
                <w:color w:val="auto"/>
              </w:rPr>
            </w:pPr>
            <w:r>
              <w:rPr>
                <w:rFonts w:ascii="Arial" w:cs="Arial" w:eastAsia="Arial" w:hAnsi="Arial"/>
                <w:sz w:val="18"/>
                <w:szCs w:val="18"/>
                <w:color w:val="auto"/>
              </w:rPr>
              <w:t>-110-</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6"/>
        </w:trPr>
        <w:tc>
          <w:tcPr>
            <w:tcW w:w="510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84"/>
        </w:trPr>
        <w:tc>
          <w:tcPr>
            <w:tcW w:w="840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40"/>
        </w:trPr>
        <w:tc>
          <w:tcPr>
            <w:tcW w:w="1120" w:type="dxa"/>
            <w:vAlign w:val="bottom"/>
            <w:tcBorders>
              <w:top w:val="single" w:sz="8" w:color="0000EE"/>
            </w:tcBorders>
          </w:tcPr>
          <w:p>
            <w:pPr>
              <w:spacing w:after="0"/>
              <w:rPr>
                <w:sz w:val="24"/>
                <w:szCs w:val="24"/>
                <w:color w:val="auto"/>
              </w:rPr>
            </w:pPr>
          </w:p>
        </w:tc>
        <w:tc>
          <w:tcPr>
            <w:tcW w:w="7280" w:type="dxa"/>
            <w:vAlign w:val="bottom"/>
          </w:tcPr>
          <w:p>
            <w:pPr>
              <w:jc w:val="center"/>
              <w:ind w:left="1812"/>
              <w:spacing w:after="0"/>
              <w:rPr>
                <w:sz w:val="20"/>
                <w:szCs w:val="20"/>
                <w:color w:val="auto"/>
              </w:rPr>
            </w:pPr>
            <w:r>
              <w:rPr>
                <w:rFonts w:ascii="Arial" w:cs="Arial" w:eastAsia="Arial" w:hAnsi="Arial"/>
                <w:sz w:val="18"/>
                <w:szCs w:val="18"/>
                <w:b w:val="1"/>
                <w:bCs w:val="1"/>
                <w:color w:val="auto"/>
                <w:w w:val="98"/>
              </w:rPr>
              <w:t>VISTAGEN THERAPEUTICS, INC.</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1120" w:type="dxa"/>
            <w:vAlign w:val="bottom"/>
          </w:tcPr>
          <w:p>
            <w:pPr>
              <w:spacing w:after="0"/>
              <w:rPr>
                <w:sz w:val="24"/>
                <w:szCs w:val="24"/>
                <w:color w:val="auto"/>
              </w:rPr>
            </w:pPr>
          </w:p>
        </w:tc>
        <w:tc>
          <w:tcPr>
            <w:tcW w:w="7280" w:type="dxa"/>
            <w:vAlign w:val="bottom"/>
          </w:tcPr>
          <w:p>
            <w:pPr>
              <w:jc w:val="center"/>
              <w:ind w:left="1832"/>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6. Property and Equipment</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840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5"/>
        </w:trPr>
        <w:tc>
          <w:tcPr>
            <w:tcW w:w="11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11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8"/>
                <w:szCs w:val="18"/>
                <w:color w:val="auto"/>
              </w:rPr>
            </w:pPr>
          </w:p>
        </w:tc>
      </w:tr>
      <w:tr>
        <w:trPr>
          <w:trHeight w:val="211"/>
        </w:trPr>
        <w:tc>
          <w:tcPr>
            <w:tcW w:w="11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Laboratory equipment</w:t>
            </w:r>
          </w:p>
        </w:tc>
        <w:tc>
          <w:tcPr>
            <w:tcW w:w="6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653,600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653,600</w:t>
            </w:r>
          </w:p>
        </w:tc>
      </w:tr>
      <w:tr>
        <w:trPr>
          <w:trHeight w:val="211"/>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Tenant improvements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26,900</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26,900</w:t>
            </w:r>
          </w:p>
        </w:tc>
      </w:tr>
      <w:tr>
        <w:trPr>
          <w:trHeight w:val="211"/>
        </w:trPr>
        <w:tc>
          <w:tcPr>
            <w:tcW w:w="8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Computers and network equipment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32,200</w:t>
            </w:r>
          </w:p>
        </w:tc>
      </w:tr>
      <w:tr>
        <w:trPr>
          <w:trHeight w:val="211"/>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Office furniture and equipment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69,500</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69,500</w:t>
            </w:r>
          </w:p>
        </w:tc>
      </w:tr>
      <w:tr>
        <w:trPr>
          <w:trHeight w:val="26"/>
        </w:trPr>
        <w:tc>
          <w:tcPr>
            <w:tcW w:w="11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112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782,200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782,200</w:t>
            </w:r>
          </w:p>
        </w:tc>
      </w:tr>
      <w:tr>
        <w:trPr>
          <w:trHeight w:val="211"/>
        </w:trPr>
        <w:tc>
          <w:tcPr>
            <w:tcW w:w="11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(665,100)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(605,900)</w:t>
            </w:r>
          </w:p>
        </w:tc>
      </w:tr>
      <w:tr>
        <w:trPr>
          <w:trHeight w:val="211"/>
        </w:trPr>
        <w:tc>
          <w:tcPr>
            <w:tcW w:w="1120" w:type="dxa"/>
            <w:vAlign w:val="bottom"/>
            <w:tcBorders>
              <w:top w:val="single" w:sz="8" w:color="CCEEFF"/>
            </w:tcBorders>
          </w:tcPr>
          <w:p>
            <w:pPr>
              <w:spacing w:after="0"/>
              <w:rPr>
                <w:sz w:val="18"/>
                <w:szCs w:val="18"/>
                <w:color w:val="auto"/>
              </w:rPr>
            </w:pPr>
          </w:p>
        </w:tc>
        <w:tc>
          <w:tcPr>
            <w:tcW w:w="7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1"/>
        </w:trPr>
        <w:tc>
          <w:tcPr>
            <w:tcW w:w="8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117,100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176,300</w:t>
            </w: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connection with the issuance of Senior Secured Convertible Promissory Notes to Platinum beginning in October 2012, we entered into a Security Agreement with Platinum under which the repayment of all amounts due under the terms of the various Senior Secured Convertible Promissory Notes is secured by all of our assets, including our tangible and intangible personal property, licenses, patent licenses, trademarks and trademark licenses (see Note 8, </w:t>
      </w:r>
      <w:r>
        <w:rPr>
          <w:rFonts w:ascii="Arial" w:cs="Arial" w:eastAsia="Arial" w:hAnsi="Arial"/>
          <w:sz w:val="18"/>
          <w:szCs w:val="18"/>
          <w:i w:val="1"/>
          <w:iCs w:val="1"/>
          <w:color w:val="auto"/>
        </w:rPr>
        <w:t>Convertible Promissory</w:t>
      </w:r>
      <w:r>
        <w:rPr>
          <w:rFonts w:ascii="Arial" w:cs="Arial" w:eastAsia="Arial" w:hAnsi="Arial"/>
          <w:sz w:val="18"/>
          <w:szCs w:val="18"/>
          <w:color w:val="auto"/>
        </w:rPr>
        <w:t xml:space="preserve"> </w:t>
      </w:r>
      <w:r>
        <w:rPr>
          <w:rFonts w:ascii="Arial" w:cs="Arial" w:eastAsia="Arial" w:hAnsi="Arial"/>
          <w:sz w:val="18"/>
          <w:szCs w:val="18"/>
          <w:i w:val="1"/>
          <w:iCs w:val="1"/>
          <w:color w:val="auto"/>
        </w:rPr>
        <w:t>Notes and Other Notes Payable</w:t>
      </w:r>
      <w:r>
        <w:rPr>
          <w:rFonts w:ascii="Arial" w:cs="Arial" w:eastAsia="Arial" w:hAnsi="Arial"/>
          <w:sz w:val="18"/>
          <w:szCs w:val="18"/>
          <w:color w:val="auto"/>
        </w:rPr>
        <w:t>). As described in Note 16,</w:t>
      </w:r>
      <w:r>
        <w:rPr>
          <w:rFonts w:ascii="Arial" w:cs="Arial" w:eastAsia="Arial" w:hAnsi="Arial"/>
          <w:sz w:val="18"/>
          <w:szCs w:val="18"/>
          <w:i w:val="1"/>
          <w:iCs w:val="1"/>
          <w:color w:val="auto"/>
        </w:rPr>
        <w:t xml:space="preserve"> Subsequent Events</w:t>
      </w:r>
      <w:r>
        <w:rPr>
          <w:rFonts w:ascii="Arial" w:cs="Arial" w:eastAsia="Arial" w:hAnsi="Arial"/>
          <w:sz w:val="18"/>
          <w:szCs w:val="18"/>
          <w:color w:val="auto"/>
        </w:rPr>
        <w:t>, during May 2015, we entered into an agreement with Platinum pursuant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Platinum converted all of the Senior Secured Convertible Promissory Notes it held into shares of our newly created Series B Preferred stock and terminated its security interests in our assets.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7. Accrued Expenses</w:t>
            </w:r>
          </w:p>
        </w:tc>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8"/>
        </w:trPr>
        <w:tc>
          <w:tcPr>
            <w:tcW w:w="3840" w:type="dxa"/>
            <w:vAlign w:val="bottom"/>
          </w:tcPr>
          <w:p>
            <w:pPr>
              <w:spacing w:after="0"/>
              <w:rPr>
                <w:sz w:val="20"/>
                <w:szCs w:val="20"/>
                <w:color w:val="auto"/>
              </w:rPr>
            </w:pPr>
            <w:r>
              <w:rPr>
                <w:rFonts w:ascii="Arial" w:cs="Arial" w:eastAsia="Arial" w:hAnsi="Arial"/>
                <w:sz w:val="18"/>
                <w:szCs w:val="18"/>
                <w:color w:val="auto"/>
              </w:rPr>
              <w:t>Accrued expenses consist of:</w:t>
            </w: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5"/>
        </w:trPr>
        <w:tc>
          <w:tcPr>
            <w:tcW w:w="38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38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8"/>
                <w:szCs w:val="18"/>
                <w:color w:val="auto"/>
              </w:rPr>
            </w:pPr>
          </w:p>
        </w:tc>
      </w:tr>
      <w:tr>
        <w:trPr>
          <w:trHeight w:val="211"/>
        </w:trPr>
        <w:tc>
          <w:tcPr>
            <w:tcW w:w="38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5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213,800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135,700</w:t>
            </w:r>
          </w:p>
        </w:tc>
      </w:tr>
      <w:tr>
        <w:trPr>
          <w:trHeight w:val="211"/>
        </w:trPr>
        <w:tc>
          <w:tcPr>
            <w:tcW w:w="384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990,700</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489,900</w:t>
            </w:r>
          </w:p>
        </w:tc>
      </w:tr>
      <w:tr>
        <w:trPr>
          <w:trHeight w:val="217"/>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384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1"/>
        </w:trPr>
        <w:tc>
          <w:tcPr>
            <w:tcW w:w="3840" w:type="dxa"/>
            <w:vAlign w:val="bottom"/>
            <w:shd w:val="clear" w:color="auto" w:fill="CCEEFF"/>
          </w:tcPr>
          <w:p>
            <w:pPr>
              <w:spacing w:after="0"/>
              <w:rPr>
                <w:sz w:val="21"/>
                <w:szCs w:val="21"/>
                <w:color w:val="auto"/>
              </w:rPr>
            </w:pPr>
          </w:p>
        </w:tc>
        <w:tc>
          <w:tcPr>
            <w:tcW w:w="5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1,206,500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625,600</w:t>
            </w:r>
          </w:p>
        </w:tc>
      </w:tr>
      <w:tr>
        <w:trPr>
          <w:trHeight w:val="822"/>
        </w:trPr>
        <w:tc>
          <w:tcPr>
            <w:tcW w:w="3840" w:type="dxa"/>
            <w:vAlign w:val="bottom"/>
            <w:tcBorders>
              <w:top w:val="single" w:sz="8" w:color="CCEEFF"/>
            </w:tcBorders>
          </w:tcPr>
          <w:p>
            <w:pPr>
              <w:spacing w:after="0"/>
              <w:rPr>
                <w:sz w:val="24"/>
                <w:szCs w:val="24"/>
                <w:color w:val="auto"/>
              </w:rPr>
            </w:pPr>
          </w:p>
        </w:tc>
        <w:tc>
          <w:tcPr>
            <w:tcW w:w="4960" w:type="dxa"/>
            <w:vAlign w:val="bottom"/>
            <w:tcBorders>
              <w:top w:val="single" w:sz="8" w:color="CCEEFF"/>
            </w:tcBorders>
          </w:tcPr>
          <w:p>
            <w:pPr>
              <w:jc w:val="right"/>
              <w:ind w:right="2812"/>
              <w:spacing w:after="0"/>
              <w:rPr>
                <w:sz w:val="20"/>
                <w:szCs w:val="20"/>
                <w:color w:val="auto"/>
              </w:rPr>
            </w:pPr>
            <w:r>
              <w:rPr>
                <w:rFonts w:ascii="Arial" w:cs="Arial" w:eastAsia="Arial" w:hAnsi="Arial"/>
                <w:sz w:val="18"/>
                <w:szCs w:val="18"/>
                <w:color w:val="auto"/>
              </w:rPr>
              <w:t>-111-</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6"/>
        </w:trPr>
        <w:tc>
          <w:tcPr>
            <w:tcW w:w="3840" w:type="dxa"/>
            <w:vAlign w:val="bottom"/>
            <w:tcBorders>
              <w:bottom w:val="single" w:sz="8" w:color="808080"/>
            </w:tcBorders>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15" w:name="page116"/>
    <w:bookmarkEnd w:id="11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Promissory Notes and Other Notes Payable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the Company’s convertible promissory notes and other notes payable: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9"/>
              </w:rPr>
              <w:t>March 31, 2015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March 31, 2014</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00"/>
              <w:spacing w:after="0" w:line="198" w:lineRule="exact"/>
              <w:rPr>
                <w:sz w:val="20"/>
                <w:szCs w:val="20"/>
                <w:color w:val="auto"/>
              </w:rPr>
            </w:pPr>
            <w:r>
              <w:rPr>
                <w:rFonts w:ascii="Arial" w:cs="Arial" w:eastAsia="Arial" w:hAnsi="Arial"/>
                <w:sz w:val="18"/>
                <w:szCs w:val="18"/>
                <w:color w:val="auto"/>
              </w:rPr>
              <w:t>Principal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20"/>
              <w:spacing w:after="0" w:line="198" w:lineRule="exact"/>
              <w:rPr>
                <w:sz w:val="20"/>
                <w:szCs w:val="20"/>
                <w:color w:val="auto"/>
              </w:rPr>
            </w:pPr>
            <w:r>
              <w:rPr>
                <w:rFonts w:ascii="Arial" w:cs="Arial" w:eastAsia="Arial" w:hAnsi="Arial"/>
                <w:sz w:val="18"/>
                <w:szCs w:val="18"/>
                <w:color w:val="auto"/>
              </w:rPr>
              <w:t>Accrued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80"/>
              <w:spacing w:after="0" w:line="198" w:lineRule="exact"/>
              <w:rPr>
                <w:sz w:val="20"/>
                <w:szCs w:val="20"/>
                <w:color w:val="auto"/>
              </w:rPr>
            </w:pPr>
            <w:r>
              <w:rPr>
                <w:rFonts w:ascii="Arial" w:cs="Arial" w:eastAsia="Arial" w:hAnsi="Arial"/>
                <w:sz w:val="18"/>
                <w:szCs w:val="18"/>
                <w:color w:val="auto"/>
              </w:rPr>
              <w:t>Principal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80"/>
              <w:spacing w:after="0" w:line="198" w:lineRule="exact"/>
              <w:rPr>
                <w:sz w:val="20"/>
                <w:szCs w:val="20"/>
                <w:color w:val="auto"/>
              </w:rPr>
            </w:pPr>
            <w:r>
              <w:rPr>
                <w:rFonts w:ascii="Arial" w:cs="Arial" w:eastAsia="Arial" w:hAnsi="Arial"/>
                <w:sz w:val="18"/>
                <w:szCs w:val="18"/>
                <w:color w:val="auto"/>
                <w:w w:val="99"/>
              </w:rPr>
              <w:t>Accrued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Balance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r>
      <w:tr>
        <w:trPr>
          <w:trHeight w:val="198"/>
        </w:trPr>
        <w:tc>
          <w:tcPr>
            <w:tcW w:w="3320" w:type="dxa"/>
            <w:vAlign w:val="bottom"/>
          </w:tcPr>
          <w:p>
            <w:pPr>
              <w:ind w:left="320"/>
              <w:spacing w:after="0" w:line="198" w:lineRule="exact"/>
              <w:rPr>
                <w:sz w:val="20"/>
                <w:szCs w:val="20"/>
                <w:color w:val="auto"/>
              </w:rPr>
            </w:pPr>
            <w:r>
              <w:rPr>
                <w:rFonts w:ascii="Arial" w:cs="Arial" w:eastAsia="Arial" w:hAnsi="Arial"/>
                <w:sz w:val="18"/>
                <w:szCs w:val="18"/>
                <w:b w:val="1"/>
                <w:bCs w:val="1"/>
                <w:i w:val="1"/>
                <w:iCs w:val="1"/>
                <w:color w:val="auto"/>
              </w:rPr>
              <w:t>Senior Secured 10% Convertible</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b w:val="1"/>
                <w:bCs w:val="1"/>
                <w:i w:val="1"/>
                <w:iCs w:val="1"/>
                <w:color w:val="auto"/>
              </w:rPr>
              <w:t>Promissory Notes issued to Platinum:</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3320" w:type="dxa"/>
            <w:vAlign w:val="bottom"/>
            <w:tcBorders>
              <w:right w:val="single" w:sz="8" w:color="CCEEFF"/>
            </w:tcBorders>
            <w:shd w:val="clear" w:color="auto" w:fill="CCEEFF"/>
          </w:tcPr>
          <w:p>
            <w:pPr>
              <w:ind w:left="480"/>
              <w:spacing w:after="0" w:line="199" w:lineRule="exact"/>
              <w:rPr>
                <w:sz w:val="20"/>
                <w:szCs w:val="20"/>
                <w:color w:val="auto"/>
              </w:rPr>
            </w:pPr>
            <w:r>
              <w:rPr>
                <w:rFonts w:ascii="Arial" w:cs="Arial" w:eastAsia="Arial" w:hAnsi="Arial"/>
                <w:sz w:val="18"/>
                <w:szCs w:val="18"/>
                <w:color w:val="auto"/>
                <w:w w:val="92"/>
              </w:rPr>
              <w:t>Exchange Note issued on October 11,</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1,272,600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360,200</w:t>
            </w:r>
          </w:p>
        </w:tc>
        <w:tc>
          <w:tcPr>
            <w:tcW w:w="1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1,632,800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1,272,600</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203,400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1,476,000</w:t>
            </w:r>
          </w:p>
        </w:tc>
      </w:tr>
      <w:tr>
        <w:trPr>
          <w:trHeight w:val="198"/>
        </w:trPr>
        <w:tc>
          <w:tcPr>
            <w:tcW w:w="3320" w:type="dxa"/>
            <w:vAlign w:val="bottom"/>
          </w:tcPr>
          <w:p>
            <w:pPr>
              <w:ind w:left="480"/>
              <w:spacing w:after="0" w:line="198" w:lineRule="exact"/>
              <w:rPr>
                <w:sz w:val="20"/>
                <w:szCs w:val="20"/>
                <w:color w:val="auto"/>
              </w:rPr>
            </w:pPr>
            <w:r>
              <w:rPr>
                <w:rFonts w:ascii="Arial" w:cs="Arial" w:eastAsia="Arial" w:hAnsi="Arial"/>
                <w:sz w:val="18"/>
                <w:szCs w:val="18"/>
                <w:color w:val="auto"/>
                <w:w w:val="99"/>
              </w:rPr>
              <w:t>Investment Note issued on October</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11, 2012</w:t>
            </w: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141,500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641,500</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79,900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579,900</w:t>
            </w:r>
          </w:p>
        </w:tc>
      </w:tr>
      <w:tr>
        <w:trPr>
          <w:trHeight w:val="199"/>
        </w:trPr>
        <w:tc>
          <w:tcPr>
            <w:tcW w:w="3320" w:type="dxa"/>
            <w:vAlign w:val="bottom"/>
            <w:tcBorders>
              <w:right w:val="single" w:sz="8" w:color="CCEEFF"/>
            </w:tcBorders>
            <w:shd w:val="clear" w:color="auto" w:fill="CCEEFF"/>
          </w:tcPr>
          <w:p>
            <w:pPr>
              <w:ind w:left="480"/>
              <w:spacing w:after="0" w:line="199" w:lineRule="exact"/>
              <w:rPr>
                <w:sz w:val="20"/>
                <w:szCs w:val="20"/>
                <w:color w:val="auto"/>
              </w:rPr>
            </w:pPr>
            <w:r>
              <w:rPr>
                <w:rFonts w:ascii="Arial" w:cs="Arial" w:eastAsia="Arial" w:hAnsi="Arial"/>
                <w:sz w:val="18"/>
                <w:szCs w:val="18"/>
                <w:color w:val="auto"/>
                <w:w w:val="99"/>
              </w:rPr>
              <w:t>Investment Note issued on October</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19, 2012</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640,100</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78,600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578,600</w:t>
            </w:r>
          </w:p>
        </w:tc>
      </w:tr>
      <w:tr>
        <w:trPr>
          <w:trHeight w:val="198"/>
        </w:trPr>
        <w:tc>
          <w:tcPr>
            <w:tcW w:w="3320" w:type="dxa"/>
            <w:vAlign w:val="bottom"/>
          </w:tcPr>
          <w:p>
            <w:pPr>
              <w:ind w:left="480"/>
              <w:spacing w:after="0" w:line="198" w:lineRule="exact"/>
              <w:rPr>
                <w:sz w:val="20"/>
                <w:szCs w:val="20"/>
                <w:color w:val="auto"/>
              </w:rPr>
            </w:pPr>
            <w:r>
              <w:rPr>
                <w:rFonts w:ascii="Arial" w:cs="Arial" w:eastAsia="Arial" w:hAnsi="Arial"/>
                <w:sz w:val="18"/>
                <w:szCs w:val="18"/>
                <w:color w:val="auto"/>
                <w:w w:val="96"/>
              </w:rPr>
              <w:t>Investment Note issued on February</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22, 2013</w:t>
            </w: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309,100</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29,400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279,400</w:t>
            </w:r>
          </w:p>
        </w:tc>
      </w:tr>
      <w:tr>
        <w:trPr>
          <w:trHeight w:val="199"/>
        </w:trPr>
        <w:tc>
          <w:tcPr>
            <w:tcW w:w="3320" w:type="dxa"/>
            <w:vAlign w:val="bottom"/>
            <w:tcBorders>
              <w:right w:val="single" w:sz="8" w:color="CCEEFF"/>
            </w:tcBorders>
            <w:shd w:val="clear" w:color="auto" w:fill="CCEEFF"/>
          </w:tcPr>
          <w:p>
            <w:pPr>
              <w:ind w:left="480"/>
              <w:spacing w:after="0" w:line="199" w:lineRule="exact"/>
              <w:rPr>
                <w:sz w:val="20"/>
                <w:szCs w:val="20"/>
                <w:color w:val="auto"/>
              </w:rPr>
            </w:pPr>
            <w:r>
              <w:rPr>
                <w:rFonts w:ascii="Arial" w:cs="Arial" w:eastAsia="Arial" w:hAnsi="Arial"/>
                <w:sz w:val="18"/>
                <w:szCs w:val="18"/>
                <w:color w:val="auto"/>
                <w:w w:val="93"/>
              </w:rPr>
              <w:t>Investment Note issued on March 12,</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922,600</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84,100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834,100</w:t>
            </w:r>
          </w:p>
        </w:tc>
      </w:tr>
      <w:tr>
        <w:trPr>
          <w:trHeight w:val="27"/>
        </w:trPr>
        <w:tc>
          <w:tcPr>
            <w:tcW w:w="3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3,272,600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873,500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4,146,100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3,272,600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475,400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3,748,000</w:t>
            </w:r>
          </w:p>
        </w:tc>
      </w:tr>
      <w:tr>
        <w:trPr>
          <w:trHeight w:val="211"/>
        </w:trPr>
        <w:tc>
          <w:tcPr>
            <w:tcW w:w="3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320" w:type="dxa"/>
            <w:vAlign w:val="bottom"/>
          </w:tcPr>
          <w:p>
            <w:pPr>
              <w:ind w:left="480"/>
              <w:spacing w:after="0" w:line="198" w:lineRule="exact"/>
              <w:rPr>
                <w:sz w:val="20"/>
                <w:szCs w:val="20"/>
                <w:color w:val="auto"/>
              </w:rPr>
            </w:pPr>
            <w:r>
              <w:rPr>
                <w:rFonts w:ascii="Arial" w:cs="Arial" w:eastAsia="Arial" w:hAnsi="Arial"/>
                <w:sz w:val="18"/>
                <w:szCs w:val="18"/>
                <w:color w:val="auto"/>
                <w:w w:val="91"/>
              </w:rPr>
              <w:t>Convertible promissory note issued on</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July 26, 2013</w:t>
            </w: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296,200</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17,700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267,700</w:t>
            </w:r>
          </w:p>
        </w:tc>
      </w:tr>
      <w:tr>
        <w:trPr>
          <w:trHeight w:val="27"/>
        </w:trPr>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332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Senior notes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3,522,600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4,442,300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3,522,600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493,100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4,015,700</w:t>
            </w:r>
          </w:p>
        </w:tc>
      </w:tr>
      <w:tr>
        <w:trPr>
          <w:trHeight w:val="211"/>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32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Aggregate note discount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(2,085,900)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(2,085,900)</w:t>
            </w:r>
          </w:p>
        </w:tc>
      </w:tr>
      <w:tr>
        <w:trPr>
          <w:trHeight w:val="26"/>
        </w:trPr>
        <w:tc>
          <w:tcPr>
            <w:tcW w:w="3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3320" w:type="dxa"/>
            <w:vAlign w:val="bottom"/>
          </w:tcPr>
          <w:p>
            <w:pPr>
              <w:ind w:left="660"/>
              <w:spacing w:after="0"/>
              <w:rPr>
                <w:sz w:val="20"/>
                <w:szCs w:val="20"/>
                <w:color w:val="auto"/>
              </w:rPr>
            </w:pPr>
            <w:r>
              <w:rPr>
                <w:rFonts w:ascii="Arial" w:cs="Arial" w:eastAsia="Arial" w:hAnsi="Arial"/>
                <w:sz w:val="18"/>
                <w:szCs w:val="18"/>
                <w:color w:val="auto"/>
              </w:rPr>
              <w:t>Net Senior notes</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3,522,600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919,700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4,442,300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1,436,700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493,100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1,929,800</w:t>
            </w:r>
          </w:p>
        </w:tc>
      </w:tr>
      <w:tr>
        <w:trPr>
          <w:trHeight w:val="217"/>
        </w:trPr>
        <w:tc>
          <w:tcPr>
            <w:tcW w:w="332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less: current portion</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(3,272,600)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(873,500)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(4,146,100)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8"/>
        </w:trPr>
        <w:tc>
          <w:tcPr>
            <w:tcW w:w="3320" w:type="dxa"/>
            <w:vAlign w:val="bottom"/>
            <w:tcBorders>
              <w:top w:val="single" w:sz="8" w:color="CCEEFF"/>
            </w:tcBorders>
          </w:tcPr>
          <w:p>
            <w:pPr>
              <w:ind w:left="660"/>
              <w:spacing w:after="0" w:line="198" w:lineRule="exact"/>
              <w:rPr>
                <w:sz w:val="20"/>
                <w:szCs w:val="20"/>
                <w:color w:val="auto"/>
              </w:rPr>
            </w:pPr>
            <w:r>
              <w:rPr>
                <w:rFonts w:ascii="Arial" w:cs="Arial" w:eastAsia="Arial" w:hAnsi="Arial"/>
                <w:sz w:val="18"/>
                <w:szCs w:val="18"/>
                <w:color w:val="auto"/>
                <w:w w:val="97"/>
              </w:rPr>
              <w:t>Senior notes - non-current portion</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and discount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250,000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46,200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296,200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1,436,700</w:t>
            </w:r>
          </w:p>
        </w:tc>
        <w:tc>
          <w:tcPr>
            <w:tcW w:w="12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493,100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1,929,800</w:t>
            </w:r>
          </w:p>
        </w:tc>
      </w:tr>
      <w:tr>
        <w:trPr>
          <w:trHeight w:val="20"/>
        </w:trPr>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20" w:type="dxa"/>
            <w:vAlign w:val="bottom"/>
            <w:tcBorders>
              <w:bottom w:val="single" w:sz="8" w:color="auto"/>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r>
      <w:tr>
        <w:trPr>
          <w:trHeight w:val="211"/>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320" w:type="dxa"/>
            <w:vAlign w:val="bottom"/>
          </w:tcPr>
          <w:p>
            <w:pPr>
              <w:ind w:left="320"/>
              <w:spacing w:after="0" w:line="198" w:lineRule="exact"/>
              <w:rPr>
                <w:sz w:val="20"/>
                <w:szCs w:val="20"/>
                <w:color w:val="auto"/>
              </w:rPr>
            </w:pPr>
            <w:r>
              <w:rPr>
                <w:rFonts w:ascii="Arial" w:cs="Arial" w:eastAsia="Arial" w:hAnsi="Arial"/>
                <w:sz w:val="18"/>
                <w:szCs w:val="18"/>
                <w:b w:val="1"/>
                <w:bCs w:val="1"/>
                <w:i w:val="1"/>
                <w:iCs w:val="1"/>
                <w:color w:val="auto"/>
                <w:w w:val="98"/>
              </w:rPr>
              <w:t>10% Convertible Promissory Notes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b w:val="1"/>
                <w:bCs w:val="1"/>
                <w:i w:val="1"/>
                <w:iCs w:val="1"/>
                <w:color w:val="auto"/>
              </w:rPr>
              <w:t>(Unit Notes)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32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2013 Unit Notes, due 7/31/14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1,007,500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1,043,200</w:t>
            </w:r>
          </w:p>
        </w:tc>
      </w:tr>
      <w:tr>
        <w:trPr>
          <w:trHeight w:val="198"/>
        </w:trPr>
        <w:tc>
          <w:tcPr>
            <w:tcW w:w="3320" w:type="dxa"/>
            <w:vAlign w:val="bottom"/>
          </w:tcPr>
          <w:p>
            <w:pPr>
              <w:ind w:left="480"/>
              <w:spacing w:after="0" w:line="198" w:lineRule="exact"/>
              <w:rPr>
                <w:sz w:val="20"/>
                <w:szCs w:val="20"/>
                <w:color w:val="auto"/>
              </w:rPr>
            </w:pPr>
            <w:r>
              <w:rPr>
                <w:rFonts w:ascii="Arial" w:cs="Arial" w:eastAsia="Arial" w:hAnsi="Arial"/>
                <w:sz w:val="18"/>
                <w:szCs w:val="18"/>
                <w:color w:val="auto"/>
                <w:w w:val="96"/>
              </w:rPr>
              <w:t>2014 Unit Notes, including amended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notes, due 3/31/15</w:t>
            </w: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4,066,900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270,700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4,337,600</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50,200</w:t>
            </w:r>
          </w:p>
        </w:tc>
      </w:tr>
      <w:tr>
        <w:trPr>
          <w:trHeight w:val="27"/>
        </w:trPr>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3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4,066,900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4,337,600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1,093,400</w:t>
            </w:r>
          </w:p>
        </w:tc>
      </w:tr>
      <w:tr>
        <w:trPr>
          <w:trHeight w:val="211"/>
        </w:trPr>
        <w:tc>
          <w:tcPr>
            <w:tcW w:w="3320" w:type="dxa"/>
            <w:vAlign w:val="bottom"/>
          </w:tcPr>
          <w:p>
            <w:pPr>
              <w:ind w:left="840"/>
              <w:spacing w:after="0"/>
              <w:rPr>
                <w:sz w:val="20"/>
                <w:szCs w:val="20"/>
                <w:color w:val="auto"/>
              </w:rPr>
            </w:pPr>
            <w:r>
              <w:rPr>
                <w:rFonts w:ascii="Arial" w:cs="Arial" w:eastAsia="Arial" w:hAnsi="Arial"/>
                <w:sz w:val="18"/>
                <w:szCs w:val="18"/>
                <w:color w:val="auto"/>
              </w:rPr>
              <w:t>Note discounts</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(697,400)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(697,400)</w:t>
            </w:r>
          </w:p>
        </w:tc>
      </w:tr>
      <w:tr>
        <w:trPr>
          <w:trHeight w:val="26"/>
        </w:trPr>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1"/>
        </w:trPr>
        <w:tc>
          <w:tcPr>
            <w:tcW w:w="332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8"/>
              </w:rPr>
              <w:t>Net convertible notes (all 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3,886,900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270,700</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4,157,600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360,100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w:t>
            </w:r>
          </w:p>
        </w:tc>
      </w:tr>
      <w:tr>
        <w:trPr>
          <w:trHeight w:val="210"/>
        </w:trPr>
        <w:tc>
          <w:tcPr>
            <w:tcW w:w="33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r>
      <w:tr>
        <w:trPr>
          <w:trHeight w:val="211"/>
        </w:trPr>
        <w:tc>
          <w:tcPr>
            <w:tcW w:w="3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3320" w:type="dxa"/>
            <w:vAlign w:val="bottom"/>
          </w:tcPr>
          <w:p>
            <w:pPr>
              <w:ind w:left="320"/>
              <w:spacing w:after="0"/>
              <w:rPr>
                <w:sz w:val="20"/>
                <w:szCs w:val="20"/>
                <w:color w:val="auto"/>
              </w:rPr>
            </w:pPr>
            <w:r>
              <w:rPr>
                <w:rFonts w:ascii="Arial" w:cs="Arial" w:eastAsia="Arial" w:hAnsi="Arial"/>
                <w:sz w:val="18"/>
                <w:szCs w:val="18"/>
                <w:b w:val="1"/>
                <w:bCs w:val="1"/>
                <w:i w:val="1"/>
                <w:iCs w:val="1"/>
                <w:color w:val="auto"/>
                <w:w w:val="98"/>
              </w:rPr>
              <w:t>Notes Payable to unrelated parties: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320" w:type="dxa"/>
            <w:vAlign w:val="bottom"/>
            <w:tcBorders>
              <w:right w:val="single" w:sz="8" w:color="CCEEFF"/>
            </w:tcBorders>
            <w:shd w:val="clear" w:color="auto" w:fill="CCEEFF"/>
          </w:tcPr>
          <w:p>
            <w:pPr>
              <w:ind w:left="560"/>
              <w:spacing w:after="0" w:line="198" w:lineRule="exact"/>
              <w:rPr>
                <w:sz w:val="20"/>
                <w:szCs w:val="20"/>
                <w:color w:val="auto"/>
              </w:rPr>
            </w:pPr>
            <w:r>
              <w:rPr>
                <w:rFonts w:ascii="Arial" w:cs="Arial" w:eastAsia="Arial" w:hAnsi="Arial"/>
                <w:sz w:val="18"/>
                <w:szCs w:val="18"/>
                <w:color w:val="auto"/>
              </w:rPr>
              <w:t>7.5% Notes payable to service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providers for</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8"/>
        </w:trPr>
        <w:tc>
          <w:tcPr>
            <w:tcW w:w="3320" w:type="dxa"/>
            <w:vAlign w:val="bottom"/>
          </w:tcPr>
          <w:p>
            <w:pPr>
              <w:ind w:left="640"/>
              <w:spacing w:after="0" w:line="198" w:lineRule="exact"/>
              <w:rPr>
                <w:sz w:val="20"/>
                <w:szCs w:val="20"/>
                <w:color w:val="auto"/>
              </w:rPr>
            </w:pPr>
            <w:r>
              <w:rPr>
                <w:rFonts w:ascii="Arial" w:cs="Arial" w:eastAsia="Arial" w:hAnsi="Arial"/>
                <w:sz w:val="18"/>
                <w:szCs w:val="18"/>
                <w:color w:val="auto"/>
                <w:w w:val="90"/>
              </w:rPr>
              <w:t>accounts payable converted to notes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payable: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320" w:type="dxa"/>
            <w:vAlign w:val="bottom"/>
            <w:tcBorders>
              <w:right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Burr, Pilger, Mayer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90,400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97,200</w:t>
            </w:r>
          </w:p>
        </w:tc>
      </w:tr>
      <w:tr>
        <w:trPr>
          <w:trHeight w:val="211"/>
        </w:trPr>
        <w:tc>
          <w:tcPr>
            <w:tcW w:w="3320" w:type="dxa"/>
            <w:vAlign w:val="bottom"/>
          </w:tcPr>
          <w:p>
            <w:pPr>
              <w:ind w:left="860"/>
              <w:spacing w:after="0"/>
              <w:rPr>
                <w:sz w:val="20"/>
                <w:szCs w:val="20"/>
                <w:color w:val="auto"/>
              </w:rPr>
            </w:pPr>
            <w:r>
              <w:rPr>
                <w:rFonts w:ascii="Arial" w:cs="Arial" w:eastAsia="Arial" w:hAnsi="Arial"/>
                <w:sz w:val="18"/>
                <w:szCs w:val="18"/>
                <w:color w:val="auto"/>
              </w:rPr>
              <w:t>Desjardins</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156,300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180,400</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178,600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14,100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192,700</w:t>
            </w:r>
          </w:p>
        </w:tc>
      </w:tr>
      <w:tr>
        <w:trPr>
          <w:trHeight w:val="211"/>
        </w:trPr>
        <w:tc>
          <w:tcPr>
            <w:tcW w:w="3320" w:type="dxa"/>
            <w:vAlign w:val="bottom"/>
            <w:tcBorders>
              <w:right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McCarthy Tetrault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319,700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365,700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360,900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385,700</w:t>
            </w:r>
          </w:p>
        </w:tc>
      </w:tr>
      <w:tr>
        <w:trPr>
          <w:trHeight w:val="198"/>
        </w:trPr>
        <w:tc>
          <w:tcPr>
            <w:tcW w:w="3320" w:type="dxa"/>
            <w:vAlign w:val="bottom"/>
          </w:tcPr>
          <w:p>
            <w:pPr>
              <w:ind w:left="840"/>
              <w:spacing w:after="0" w:line="198" w:lineRule="exact"/>
              <w:rPr>
                <w:sz w:val="20"/>
                <w:szCs w:val="20"/>
                <w:color w:val="auto"/>
              </w:rPr>
            </w:pPr>
            <w:r>
              <w:rPr>
                <w:rFonts w:ascii="Arial" w:cs="Arial" w:eastAsia="Arial" w:hAnsi="Arial"/>
                <w:sz w:val="18"/>
                <w:szCs w:val="18"/>
                <w:color w:val="auto"/>
              </w:rPr>
              <w:t>August 2012 Morrison &amp;</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Foerster Note A</w:t>
            </w: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918,200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1,111,400</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918,200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87,900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1,006,100</w:t>
            </w:r>
          </w:p>
        </w:tc>
      </w:tr>
      <w:tr>
        <w:trPr>
          <w:trHeight w:val="197"/>
        </w:trPr>
        <w:tc>
          <w:tcPr>
            <w:tcW w:w="3320" w:type="dxa"/>
            <w:vAlign w:val="bottom"/>
            <w:tcBorders>
              <w:right w:val="single" w:sz="8" w:color="CCEEFF"/>
            </w:tcBorders>
            <w:shd w:val="clear" w:color="auto" w:fill="CCEEFF"/>
          </w:tcPr>
          <w:p>
            <w:pPr>
              <w:ind w:left="840"/>
              <w:spacing w:after="0" w:line="197" w:lineRule="exact"/>
              <w:rPr>
                <w:sz w:val="20"/>
                <w:szCs w:val="20"/>
                <w:color w:val="auto"/>
              </w:rPr>
            </w:pPr>
            <w:r>
              <w:rPr>
                <w:rFonts w:ascii="Arial" w:cs="Arial" w:eastAsia="Arial" w:hAnsi="Arial"/>
                <w:sz w:val="18"/>
                <w:szCs w:val="18"/>
                <w:color w:val="auto"/>
              </w:rPr>
              <w:t>August 2012 Morrison &amp;</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3320" w:type="dxa"/>
            <w:vAlign w:val="bottom"/>
            <w:tcBorders>
              <w:right w:val="single" w:sz="8" w:color="CCEEFF"/>
            </w:tcBorders>
            <w:shd w:val="clear" w:color="auto" w:fill="CCEEFF"/>
          </w:tcPr>
          <w:p>
            <w:pPr>
              <w:spacing w:after="0" w:line="225" w:lineRule="exact"/>
              <w:rPr>
                <w:sz w:val="20"/>
                <w:szCs w:val="20"/>
                <w:color w:val="auto"/>
              </w:rPr>
            </w:pPr>
            <w:r>
              <w:rPr>
                <w:rFonts w:ascii="Arial" w:cs="Arial" w:eastAsia="Arial" w:hAnsi="Arial"/>
                <w:sz w:val="18"/>
                <w:szCs w:val="18"/>
                <w:color w:val="auto"/>
              </w:rPr>
              <w:t xml:space="preserve">Foerster Note B </w:t>
            </w:r>
            <w:r>
              <w:rPr>
                <w:rFonts w:ascii="Arial" w:cs="Arial" w:eastAsia="Arial" w:hAnsi="Arial"/>
                <w:sz w:val="24"/>
                <w:szCs w:val="24"/>
                <w:color w:val="auto"/>
                <w:vertAlign w:val="superscript"/>
              </w:rPr>
              <w:t>(1)</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1,379,400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1,712,500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1,379,400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195,200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1,574,600</w:t>
            </w:r>
          </w:p>
        </w:tc>
      </w:tr>
      <w:tr>
        <w:trPr>
          <w:trHeight w:val="211"/>
        </w:trPr>
        <w:tc>
          <w:tcPr>
            <w:tcW w:w="3320" w:type="dxa"/>
            <w:vAlign w:val="bottom"/>
          </w:tcPr>
          <w:p>
            <w:pPr>
              <w:ind w:left="860"/>
              <w:spacing w:after="0" w:line="211" w:lineRule="exact"/>
              <w:rPr>
                <w:sz w:val="20"/>
                <w:szCs w:val="20"/>
                <w:color w:val="auto"/>
              </w:rPr>
            </w:pPr>
            <w:r>
              <w:rPr>
                <w:rFonts w:ascii="Arial" w:cs="Arial" w:eastAsia="Arial" w:hAnsi="Arial"/>
                <w:sz w:val="18"/>
                <w:szCs w:val="18"/>
                <w:color w:val="auto"/>
              </w:rPr>
              <w:t xml:space="preserve">University Health Network </w:t>
            </w:r>
            <w:r>
              <w:rPr>
                <w:rFonts w:ascii="Arial" w:cs="Arial" w:eastAsia="Arial" w:hAnsi="Arial"/>
                <w:sz w:val="24"/>
                <w:szCs w:val="24"/>
                <w:color w:val="auto"/>
                <w:vertAlign w:val="superscript"/>
              </w:rPr>
              <w:t>(1)</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549,500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651,300</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549,500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60,600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610,100</w:t>
            </w:r>
          </w:p>
        </w:tc>
      </w:tr>
      <w:tr>
        <w:trPr>
          <w:trHeight w:val="26"/>
        </w:trPr>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3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3,413,500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711,300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4,124,800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389,400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3,866,400</w:t>
            </w:r>
          </w:p>
        </w:tc>
      </w:tr>
      <w:tr>
        <w:trPr>
          <w:trHeight w:val="211"/>
        </w:trPr>
        <w:tc>
          <w:tcPr>
            <w:tcW w:w="3320" w:type="dxa"/>
            <w:vAlign w:val="bottom"/>
          </w:tcPr>
          <w:p>
            <w:pPr>
              <w:ind w:left="980"/>
              <w:spacing w:after="0"/>
              <w:rPr>
                <w:sz w:val="20"/>
                <w:szCs w:val="20"/>
                <w:color w:val="auto"/>
              </w:rPr>
            </w:pPr>
            <w:r>
              <w:rPr>
                <w:rFonts w:ascii="Arial" w:cs="Arial" w:eastAsia="Arial" w:hAnsi="Arial"/>
                <w:sz w:val="18"/>
                <w:szCs w:val="18"/>
                <w:color w:val="auto"/>
              </w:rPr>
              <w:t>Note discount</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(474,500)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(474,500)</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(848,100)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(848,100)</w:t>
            </w:r>
          </w:p>
        </w:tc>
      </w:tr>
      <w:tr>
        <w:trPr>
          <w:trHeight w:val="26"/>
        </w:trPr>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3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2,939,000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711,300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3,650,300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2,628,900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389,400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3,018,300</w:t>
            </w:r>
          </w:p>
        </w:tc>
      </w:tr>
      <w:tr>
        <w:trPr>
          <w:trHeight w:val="211"/>
        </w:trPr>
        <w:tc>
          <w:tcPr>
            <w:tcW w:w="3320" w:type="dxa"/>
            <w:vAlign w:val="bottom"/>
          </w:tcPr>
          <w:p>
            <w:pPr>
              <w:ind w:left="840"/>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(3,413,500)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(711,300)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(4,124,800)</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(1,130,100)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(133,600)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(1,263,700)</w:t>
            </w:r>
          </w:p>
        </w:tc>
      </w:tr>
      <w:tr>
        <w:trPr>
          <w:trHeight w:val="26"/>
        </w:trPr>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1"/>
        </w:trPr>
        <w:tc>
          <w:tcPr>
            <w:tcW w:w="3320" w:type="dxa"/>
            <w:vAlign w:val="bottom"/>
            <w:tcBorders>
              <w:right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w w:val="93"/>
              </w:rPr>
              <w:t>non-current portion and discount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(474,500)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(474,500)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1,498,800</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255,800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1,754,600</w:t>
            </w:r>
          </w:p>
        </w:tc>
      </w:tr>
      <w:tr>
        <w:trPr>
          <w:trHeight w:val="203"/>
        </w:trPr>
        <w:tc>
          <w:tcPr>
            <w:tcW w:w="3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8"/>
        </w:trPr>
        <w:tc>
          <w:tcPr>
            <w:tcW w:w="3320" w:type="dxa"/>
            <w:vAlign w:val="bottom"/>
            <w:tcBorders>
              <w:right w:val="single" w:sz="8" w:color="CCEEFF"/>
            </w:tcBorders>
            <w:shd w:val="clear" w:color="auto" w:fill="CCEEFF"/>
          </w:tcPr>
          <w:p>
            <w:pPr>
              <w:ind w:left="620"/>
              <w:spacing w:after="0" w:line="198" w:lineRule="exact"/>
              <w:rPr>
                <w:sz w:val="20"/>
                <w:szCs w:val="20"/>
                <w:color w:val="auto"/>
              </w:rPr>
            </w:pPr>
            <w:r>
              <w:rPr>
                <w:rFonts w:ascii="Arial" w:cs="Arial" w:eastAsia="Arial" w:hAnsi="Arial"/>
                <w:sz w:val="18"/>
                <w:szCs w:val="18"/>
                <w:color w:val="auto"/>
                <w:w w:val="97"/>
              </w:rPr>
              <w:t>5.75% and 10.25% Notes payable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 insurance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8"/>
        </w:trPr>
        <w:tc>
          <w:tcPr>
            <w:tcW w:w="3320" w:type="dxa"/>
            <w:vAlign w:val="bottom"/>
          </w:tcPr>
          <w:p>
            <w:pPr>
              <w:ind w:left="640"/>
              <w:spacing w:after="0" w:line="198" w:lineRule="exact"/>
              <w:rPr>
                <w:sz w:val="20"/>
                <w:szCs w:val="20"/>
                <w:color w:val="auto"/>
              </w:rPr>
            </w:pPr>
            <w:r>
              <w:rPr>
                <w:rFonts w:ascii="Arial" w:cs="Arial" w:eastAsia="Arial" w:hAnsi="Arial"/>
                <w:sz w:val="18"/>
                <w:szCs w:val="18"/>
                <w:color w:val="auto"/>
              </w:rPr>
              <w:t>premium financing company</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5,800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4,900</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4,900</w:t>
            </w:r>
          </w:p>
        </w:tc>
      </w:tr>
      <w:tr>
        <w:trPr>
          <w:trHeight w:val="20"/>
        </w:trPr>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33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3320" w:type="dxa"/>
            <w:vAlign w:val="bottom"/>
          </w:tcPr>
          <w:p>
            <w:pPr>
              <w:ind w:left="560"/>
              <w:spacing w:after="0" w:line="198" w:lineRule="exact"/>
              <w:rPr>
                <w:sz w:val="20"/>
                <w:szCs w:val="20"/>
                <w:color w:val="auto"/>
              </w:rPr>
            </w:pPr>
            <w:r>
              <w:rPr>
                <w:rFonts w:ascii="Arial" w:cs="Arial" w:eastAsia="Arial" w:hAnsi="Arial"/>
                <w:sz w:val="18"/>
                <w:szCs w:val="18"/>
                <w:color w:val="auto"/>
              </w:rPr>
              <w:t>10% Notes payable to vendors for</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accounts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32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2"/>
              </w:rPr>
              <w:t>payable converted to notes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378,300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429,800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119,400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154,100</w:t>
            </w:r>
          </w:p>
        </w:tc>
      </w:tr>
    </w:tbl>
    <w:p>
      <w:pPr>
        <w:sectPr>
          <w:pgSz w:w="11900" w:h="16838" w:orient="portrait"/>
          <w:cols w:equalWidth="0" w:num="1">
            <w:col w:w="11420"/>
          </w:cols>
          <w:pgMar w:left="240" w:top="130" w:right="239" w:bottom="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20" w:type="dxa"/>
            <w:vAlign w:val="bottom"/>
          </w:tcPr>
          <w:p>
            <w:pPr>
              <w:ind w:left="840"/>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(378,300)</w:t>
            </w:r>
          </w:p>
        </w:tc>
        <w:tc>
          <w:tcPr>
            <w:tcW w:w="3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(51,500)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(429,800)</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(119,400)</w:t>
            </w:r>
          </w:p>
        </w:tc>
        <w:tc>
          <w:tcPr>
            <w:tcW w:w="3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(34,700)</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(154,100)</w:t>
            </w:r>
          </w:p>
        </w:tc>
      </w:tr>
      <w:tr>
        <w:trPr>
          <w:trHeight w:val="27"/>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1"/>
        </w:trPr>
        <w:tc>
          <w:tcPr>
            <w:tcW w:w="3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non-current portion</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3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1"/>
        </w:trPr>
        <w:tc>
          <w:tcPr>
            <w:tcW w:w="32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7"/>
              </w:rPr>
              <w:t>7.0% Note payable (August 2012)</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58,800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66,700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58,800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62,600</w:t>
            </w:r>
          </w:p>
        </w:tc>
      </w:tr>
      <w:tr>
        <w:trPr>
          <w:trHeight w:val="217"/>
        </w:trPr>
        <w:tc>
          <w:tcPr>
            <w:tcW w:w="3220" w:type="dxa"/>
            <w:vAlign w:val="bottom"/>
          </w:tcPr>
          <w:p>
            <w:pPr>
              <w:ind w:left="840"/>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(23,200)</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(31,100)</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(15,800)</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(3,800)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(19,600)</w:t>
            </w:r>
          </w:p>
        </w:tc>
      </w:tr>
      <w:tr>
        <w:trPr>
          <w:trHeight w:val="198"/>
        </w:trPr>
        <w:tc>
          <w:tcPr>
            <w:tcW w:w="3220" w:type="dxa"/>
            <w:vAlign w:val="bottom"/>
            <w:shd w:val="clear" w:color="auto" w:fill="CCEEFF"/>
          </w:tcPr>
          <w:p>
            <w:pPr>
              <w:ind w:left="560"/>
              <w:spacing w:after="0" w:line="198" w:lineRule="exact"/>
              <w:rPr>
                <w:sz w:val="20"/>
                <w:szCs w:val="20"/>
                <w:color w:val="auto"/>
              </w:rPr>
            </w:pPr>
            <w:r>
              <w:rPr>
                <w:rFonts w:ascii="Arial" w:cs="Arial" w:eastAsia="Arial" w:hAnsi="Arial"/>
                <w:sz w:val="18"/>
                <w:szCs w:val="18"/>
                <w:color w:val="auto"/>
                <w:w w:val="98"/>
              </w:rPr>
              <w:t>7.0% Notes payable - non-current</w:t>
            </w: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portion</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35,600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35,600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43,000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43,000</w:t>
            </w:r>
          </w:p>
        </w:tc>
      </w:tr>
      <w:tr>
        <w:trPr>
          <w:trHeight w:val="204"/>
        </w:trPr>
        <w:tc>
          <w:tcPr>
            <w:tcW w:w="3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8"/>
        </w:trPr>
        <w:tc>
          <w:tcPr>
            <w:tcW w:w="3220" w:type="dxa"/>
            <w:vAlign w:val="bottom"/>
            <w:shd w:val="clear" w:color="auto" w:fill="CCEEFF"/>
          </w:tcPr>
          <w:p>
            <w:pPr>
              <w:ind w:left="720"/>
              <w:spacing w:after="0" w:line="198" w:lineRule="exact"/>
              <w:rPr>
                <w:sz w:val="20"/>
                <w:szCs w:val="20"/>
                <w:color w:val="auto"/>
              </w:rPr>
            </w:pPr>
            <w:r>
              <w:rPr>
                <w:rFonts w:ascii="Arial" w:cs="Arial" w:eastAsia="Arial" w:hAnsi="Arial"/>
                <w:sz w:val="18"/>
                <w:szCs w:val="18"/>
                <w:color w:val="auto"/>
                <w:w w:val="96"/>
              </w:rPr>
              <w:t>Total notes payable to unrelated</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parties</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3,856,400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770,700</w:t>
            </w:r>
          </w:p>
        </w:tc>
        <w:tc>
          <w:tcPr>
            <w:tcW w:w="1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4,627,100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3,660,100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427,900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4,088,000</w:t>
            </w:r>
          </w:p>
        </w:tc>
      </w:tr>
      <w:tr>
        <w:trPr>
          <w:trHeight w:val="211"/>
        </w:trPr>
        <w:tc>
          <w:tcPr>
            <w:tcW w:w="3220" w:type="dxa"/>
            <w:vAlign w:val="bottom"/>
          </w:tcPr>
          <w:p>
            <w:pPr>
              <w:ind w:left="840"/>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(3,820,800)</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(770,700)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(4,591,500)</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(1,270,200)</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(172,100)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(1,442,300)</w:t>
            </w:r>
          </w:p>
        </w:tc>
      </w:tr>
      <w:tr>
        <w:trPr>
          <w:trHeight w:val="26"/>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3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non-current portion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2,389,900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255,800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2,645,700</w:t>
            </w:r>
          </w:p>
        </w:tc>
      </w:tr>
      <w:tr>
        <w:trPr>
          <w:trHeight w:val="198"/>
        </w:trPr>
        <w:tc>
          <w:tcPr>
            <w:tcW w:w="3220" w:type="dxa"/>
            <w:vAlign w:val="bottom"/>
          </w:tcPr>
          <w:p>
            <w:pPr>
              <w:ind w:left="840"/>
              <w:spacing w:after="0" w:line="198" w:lineRule="exact"/>
              <w:rPr>
                <w:sz w:val="20"/>
                <w:szCs w:val="20"/>
                <w:color w:val="auto"/>
              </w:rPr>
            </w:pPr>
            <w:r>
              <w:rPr>
                <w:rFonts w:ascii="Arial" w:cs="Arial" w:eastAsia="Arial" w:hAnsi="Arial"/>
                <w:sz w:val="18"/>
                <w:szCs w:val="18"/>
                <w:color w:val="auto"/>
                <w:w w:val="93"/>
              </w:rPr>
              <w:t>less: discount (current at March</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31, 2015)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(848,100)</w:t>
            </w:r>
          </w:p>
        </w:tc>
        <w:tc>
          <w:tcPr>
            <w:tcW w:w="3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(848,100)</w:t>
            </w:r>
          </w:p>
        </w:tc>
      </w:tr>
      <w:tr>
        <w:trPr>
          <w:trHeight w:val="27"/>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1"/>
        </w:trPr>
        <w:tc>
          <w:tcPr>
            <w:tcW w:w="3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non-current portion</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35,600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35,600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1,541,800</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255,800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1,797,600</w:t>
            </w:r>
          </w:p>
        </w:tc>
      </w:tr>
      <w:tr>
        <w:trPr>
          <w:trHeight w:val="236"/>
        </w:trPr>
        <w:tc>
          <w:tcPr>
            <w:tcW w:w="3220" w:type="dxa"/>
            <w:vAlign w:val="bottom"/>
            <w:tcBorders>
              <w:top w:val="single" w:sz="8" w:color="CCEEFF"/>
              <w:bottom w:val="single" w:sz="8" w:color="auto"/>
            </w:tcBorders>
          </w:tcPr>
          <w:p>
            <w:pPr>
              <w:spacing w:after="0"/>
              <w:rPr>
                <w:sz w:val="20"/>
                <w:szCs w:val="20"/>
                <w:color w:val="auto"/>
              </w:rPr>
            </w:pPr>
          </w:p>
        </w:tc>
        <w:tc>
          <w:tcPr>
            <w:tcW w:w="100" w:type="dxa"/>
            <w:vAlign w:val="bottom"/>
            <w:tcBorders>
              <w:top w:val="single" w:sz="8" w:color="CCEEFF"/>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CCEEFF"/>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CCEEFF"/>
              <w:bottom w:val="single" w:sz="8" w:color="auto"/>
            </w:tcBorders>
          </w:tcPr>
          <w:p>
            <w:pPr>
              <w:spacing w:after="0"/>
              <w:rPr>
                <w:sz w:val="20"/>
                <w:szCs w:val="20"/>
                <w:color w:val="auto"/>
              </w:rPr>
            </w:pPr>
          </w:p>
        </w:tc>
        <w:tc>
          <w:tcPr>
            <w:tcW w:w="100" w:type="dxa"/>
            <w:vAlign w:val="bottom"/>
            <w:tcBorders>
              <w:top w:val="single" w:sz="8" w:color="CCEEFF"/>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CCEEFF"/>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CCEEFF"/>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CCEEFF"/>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CEEFF"/>
              <w:bottom w:val="single" w:sz="8" w:color="auto"/>
            </w:tcBorders>
          </w:tcPr>
          <w:p>
            <w:pPr>
              <w:spacing w:after="0"/>
              <w:rPr>
                <w:sz w:val="20"/>
                <w:szCs w:val="20"/>
                <w:color w:val="auto"/>
              </w:rPr>
            </w:pPr>
          </w:p>
        </w:tc>
      </w:tr>
      <w:tr>
        <w:trPr>
          <w:trHeight w:val="211"/>
        </w:trPr>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322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Notes payable to related parties: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220" w:type="dxa"/>
            <w:vAlign w:val="bottom"/>
            <w:shd w:val="clear" w:color="auto" w:fill="CCEEFF"/>
          </w:tcPr>
          <w:p>
            <w:pPr>
              <w:ind w:left="560"/>
              <w:spacing w:after="0" w:line="198" w:lineRule="exact"/>
              <w:rPr>
                <w:sz w:val="20"/>
                <w:szCs w:val="20"/>
                <w:color w:val="auto"/>
              </w:rPr>
            </w:pPr>
            <w:r>
              <w:rPr>
                <w:rFonts w:ascii="Arial" w:cs="Arial" w:eastAsia="Arial" w:hAnsi="Arial"/>
                <w:sz w:val="18"/>
                <w:szCs w:val="18"/>
                <w:color w:val="auto"/>
              </w:rPr>
              <w:t>October 2012 7.5% Note to Cato</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Holding Co.</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293,600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349,500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293,600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324,400</w:t>
            </w:r>
          </w:p>
        </w:tc>
      </w:tr>
      <w:tr>
        <w:trPr>
          <w:trHeight w:val="197"/>
        </w:trPr>
        <w:tc>
          <w:tcPr>
            <w:tcW w:w="3220" w:type="dxa"/>
            <w:vAlign w:val="bottom"/>
          </w:tcPr>
          <w:p>
            <w:pPr>
              <w:ind w:left="560"/>
              <w:spacing w:after="0" w:line="196" w:lineRule="exact"/>
              <w:rPr>
                <w:sz w:val="20"/>
                <w:szCs w:val="20"/>
                <w:color w:val="auto"/>
              </w:rPr>
            </w:pPr>
            <w:r>
              <w:rPr>
                <w:rFonts w:ascii="Arial" w:cs="Arial" w:eastAsia="Arial" w:hAnsi="Arial"/>
                <w:sz w:val="18"/>
                <w:szCs w:val="18"/>
                <w:color w:val="auto"/>
              </w:rPr>
              <w:t>October 2012 7.5% Note to Cato</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20" w:type="dxa"/>
            <w:vAlign w:val="bottom"/>
          </w:tcPr>
          <w:p>
            <w:pPr>
              <w:spacing w:after="0" w:line="225" w:lineRule="exact"/>
              <w:rPr>
                <w:sz w:val="20"/>
                <w:szCs w:val="20"/>
                <w:color w:val="auto"/>
              </w:rPr>
            </w:pPr>
            <w:r>
              <w:rPr>
                <w:rFonts w:ascii="Arial" w:cs="Arial" w:eastAsia="Arial" w:hAnsi="Arial"/>
                <w:sz w:val="18"/>
                <w:szCs w:val="18"/>
                <w:color w:val="auto"/>
              </w:rPr>
              <w:t xml:space="preserve">Research Ltd. </w:t>
            </w:r>
            <w:r>
              <w:rPr>
                <w:rFonts w:ascii="Arial" w:cs="Arial" w:eastAsia="Arial" w:hAnsi="Arial"/>
                <w:sz w:val="24"/>
                <w:szCs w:val="24"/>
                <w:color w:val="auto"/>
                <w:vertAlign w:val="superscript"/>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1,009,000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204,800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1,213,800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117,300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1,126,300</w:t>
            </w:r>
          </w:p>
        </w:tc>
      </w:tr>
      <w:tr>
        <w:trPr>
          <w:trHeight w:val="26"/>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1,302,600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1,563,300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1,302,600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148,100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1,450,700</w:t>
            </w:r>
          </w:p>
        </w:tc>
      </w:tr>
      <w:tr>
        <w:trPr>
          <w:trHeight w:val="217"/>
        </w:trPr>
        <w:tc>
          <w:tcPr>
            <w:tcW w:w="3220" w:type="dxa"/>
            <w:vAlign w:val="bottom"/>
          </w:tcPr>
          <w:p>
            <w:pPr>
              <w:ind w:left="840"/>
              <w:spacing w:after="0"/>
              <w:rPr>
                <w:sz w:val="20"/>
                <w:szCs w:val="20"/>
                <w:color w:val="auto"/>
              </w:rPr>
            </w:pPr>
            <w:r>
              <w:rPr>
                <w:rFonts w:ascii="Arial" w:cs="Arial" w:eastAsia="Arial" w:hAnsi="Arial"/>
                <w:sz w:val="18"/>
                <w:szCs w:val="18"/>
                <w:color w:val="auto"/>
              </w:rPr>
              <w:t>Note discount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(54,500)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(54,500)</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(103,200)</w:t>
            </w: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(103,200)</w:t>
            </w:r>
          </w:p>
        </w:tc>
      </w:tr>
      <w:tr>
        <w:trPr>
          <w:trHeight w:val="198"/>
        </w:trPr>
        <w:tc>
          <w:tcPr>
            <w:tcW w:w="3220" w:type="dxa"/>
            <w:vAlign w:val="bottom"/>
            <w:shd w:val="clear" w:color="auto" w:fill="CCEEFF"/>
          </w:tcPr>
          <w:p>
            <w:pPr>
              <w:ind w:left="860"/>
              <w:spacing w:after="0" w:line="198" w:lineRule="exact"/>
              <w:rPr>
                <w:sz w:val="20"/>
                <w:szCs w:val="20"/>
                <w:color w:val="auto"/>
              </w:rPr>
            </w:pPr>
            <w:r>
              <w:rPr>
                <w:rFonts w:ascii="Arial" w:cs="Arial" w:eastAsia="Arial" w:hAnsi="Arial"/>
                <w:sz w:val="18"/>
                <w:szCs w:val="18"/>
                <w:color w:val="auto"/>
                <w:w w:val="98"/>
              </w:rPr>
              <w:t>Total notes payable to related</w:t>
            </w: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parties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1,248,100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1,508,800</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148,100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1,347,500</w:t>
            </w:r>
          </w:p>
        </w:tc>
      </w:tr>
      <w:tr>
        <w:trPr>
          <w:trHeight w:val="27"/>
        </w:trPr>
        <w:tc>
          <w:tcPr>
            <w:tcW w:w="3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3220" w:type="dxa"/>
            <w:vAlign w:val="bottom"/>
          </w:tcPr>
          <w:p>
            <w:pPr>
              <w:ind w:left="840"/>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(1,248,100)</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(260,700)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(1,508,800)</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(259,600)</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(30,800)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(290,400)</w:t>
            </w:r>
          </w:p>
        </w:tc>
      </w:tr>
      <w:tr>
        <w:trPr>
          <w:trHeight w:val="26"/>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1"/>
        </w:trPr>
        <w:tc>
          <w:tcPr>
            <w:tcW w:w="32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1"/>
              </w:rPr>
              <w:t>non-current portion and discount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939,800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1,057,100</w:t>
            </w:r>
          </w:p>
        </w:tc>
      </w:tr>
      <w:tr>
        <w:trPr>
          <w:trHeight w:val="199"/>
        </w:trPr>
        <w:tc>
          <w:tcPr>
            <w:tcW w:w="3220" w:type="dxa"/>
            <w:vAlign w:val="bottom"/>
            <w:tcBorders>
              <w:top w:val="single" w:sz="8" w:color="CCEEFF"/>
            </w:tcBorders>
          </w:tcPr>
          <w:p>
            <w:pPr>
              <w:ind w:left="640"/>
              <w:spacing w:after="0" w:line="200" w:lineRule="exact"/>
              <w:rPr>
                <w:sz w:val="20"/>
                <w:szCs w:val="20"/>
                <w:color w:val="auto"/>
              </w:rPr>
            </w:pPr>
            <w:r>
              <w:rPr>
                <w:rFonts w:ascii="Arial" w:cs="Arial" w:eastAsia="Arial" w:hAnsi="Arial"/>
                <w:sz w:val="18"/>
                <w:szCs w:val="18"/>
                <w:color w:val="auto"/>
              </w:rPr>
              <w:t>____________</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bl>
    <w:p>
      <w:pPr>
        <w:ind w:left="5520" w:right="4600" w:hanging="4883"/>
        <w:spacing w:after="0" w:line="737" w:lineRule="auto"/>
        <w:tabs>
          <w:tab w:leader="none" w:pos="817" w:val="left"/>
        </w:tabs>
        <w:numPr>
          <w:ilvl w:val="0"/>
          <w:numId w:val="57"/>
        </w:numPr>
        <w:rPr>
          <w:rFonts w:ascii="Arial" w:cs="Arial" w:eastAsia="Arial" w:hAnsi="Arial"/>
          <w:sz w:val="21"/>
          <w:szCs w:val="21"/>
          <w:color w:val="auto"/>
          <w:vertAlign w:val="superscript"/>
        </w:rPr>
      </w:pPr>
      <w:r>
        <w:rPr>
          <w:rFonts w:ascii="Arial" w:cs="Arial" w:eastAsia="Arial" w:hAnsi="Arial"/>
          <w:sz w:val="16"/>
          <w:szCs w:val="16"/>
          <w:color w:val="auto"/>
        </w:rPr>
        <w:t>Note and interest payable solely in restricted shares of the Company's common stock.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-251460</wp:posOffset>
            </wp:positionV>
            <wp:extent cx="725424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7" w:name="page118"/>
    <w:bookmarkEnd w:id="11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Significant changes in our convertible promissory notes and other promissory notes during the fiscal years ended March 31, 2015 and 2014 are described below:</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Notes Issued in Connection with 2014 Unit Private Placement</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As described more completely in the section entitled </w:t>
      </w:r>
      <w:r>
        <w:rPr>
          <w:rFonts w:ascii="Arial" w:cs="Arial" w:eastAsia="Arial" w:hAnsi="Arial"/>
          <w:sz w:val="16"/>
          <w:szCs w:val="16"/>
          <w:i w:val="1"/>
          <w:iCs w:val="1"/>
          <w:color w:val="auto"/>
        </w:rPr>
        <w:t>2014 Unit Private Placement</w:t>
      </w:r>
      <w:r>
        <w:rPr>
          <w:rFonts w:ascii="Arial" w:cs="Arial" w:eastAsia="Arial" w:hAnsi="Arial"/>
          <w:sz w:val="16"/>
          <w:szCs w:val="16"/>
          <w:color w:val="auto"/>
        </w:rPr>
        <w:t xml:space="preserve">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between late March 2014 and March 31, 2015, we issued to accredited investors 10% convertible notes (the </w:t>
      </w:r>
      <w:r>
        <w:rPr>
          <w:rFonts w:ascii="Arial" w:cs="Arial" w:eastAsia="Arial" w:hAnsi="Arial"/>
          <w:sz w:val="16"/>
          <w:szCs w:val="16"/>
          <w:i w:val="1"/>
          <w:iCs w:val="1"/>
          <w:color w:val="auto"/>
        </w:rPr>
        <w:t>2014Unit Notes</w:t>
      </w:r>
      <w:r>
        <w:rPr>
          <w:rFonts w:ascii="Arial" w:cs="Arial" w:eastAsia="Arial" w:hAnsi="Arial"/>
          <w:sz w:val="16"/>
          <w:szCs w:val="16"/>
          <w:color w:val="auto"/>
        </w:rPr>
        <w:t xml:space="preserve">) in the aggregate face amount of $3,113,500, including an aggregate face amount of $1,250,000 of such notes issued to Platinum and 2014 Unit Notes in the aggregate principal amount of $50,000 issued prior to March 31, 2014, in connection with our private placement offering of Units. (See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information regarding additional notes issued in connection with the 2014 Unit Private Placement after March 31, 2015.) The 2014 Unit Notes mature on March 31, 2015 (</w:t>
      </w:r>
      <w:r>
        <w:rPr>
          <w:rFonts w:ascii="Arial" w:cs="Arial" w:eastAsia="Arial" w:hAnsi="Arial"/>
          <w:sz w:val="16"/>
          <w:szCs w:val="16"/>
          <w:i w:val="1"/>
          <w:iCs w:val="1"/>
          <w:color w:val="auto"/>
        </w:rPr>
        <w:t>Maturity</w:t>
      </w:r>
      <w:r>
        <w:rPr>
          <w:rFonts w:ascii="Arial" w:cs="Arial" w:eastAsia="Arial" w:hAnsi="Arial"/>
          <w:sz w:val="16"/>
          <w:szCs w:val="16"/>
          <w:color w:val="auto"/>
        </w:rPr>
        <w:t xml:space="preserve">) and the outstanding principal of the 2014 Unit Notes and their related accrued interest (the </w:t>
      </w:r>
      <w:r>
        <w:rPr>
          <w:rFonts w:ascii="Arial" w:cs="Arial" w:eastAsia="Arial" w:hAnsi="Arial"/>
          <w:sz w:val="16"/>
          <w:szCs w:val="16"/>
          <w:i w:val="1"/>
          <w:iCs w:val="1"/>
          <w:color w:val="auto"/>
        </w:rPr>
        <w:t>Outstanding Balance</w:t>
      </w:r>
      <w:r>
        <w:rPr>
          <w:rFonts w:ascii="Arial" w:cs="Arial" w:eastAsia="Arial" w:hAnsi="Arial"/>
          <w:sz w:val="16"/>
          <w:szCs w:val="16"/>
          <w:color w:val="auto"/>
        </w:rPr>
        <w:t xml:space="preserve">) is convertible into shares of our common stock at a conversion price of $10.00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6"/>
          <w:szCs w:val="16"/>
          <w:i w:val="1"/>
          <w:iCs w:val="1"/>
          <w:color w:val="auto"/>
        </w:rPr>
        <w:t>Qualified Financing</w:t>
      </w:r>
      <w:r>
        <w:rPr>
          <w:rFonts w:ascii="Arial" w:cs="Arial" w:eastAsia="Arial" w:hAnsi="Arial"/>
          <w:sz w:val="16"/>
          <w:szCs w:val="16"/>
          <w:color w:val="auto"/>
        </w:rPr>
        <w:t xml:space="preserve">), the Outstanding Balance of the 2014 Unit Notes will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 Under certain circumstances, the holders of the 2014 Unit Notes may request payment in cash in lieu of automatic conversion into the securities of the Qualified Financing. See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regarding the conversion of the Outstanding Balance of all of the 2014 Unit Notes pursuant to a private placement financing in May 2015.</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 an embedded conversion feature, most of which had an intrinsic value at the issuance date, which value we treated as an additional discount attributable to such 2014 Unit Notes, subject to limitations on the absolute amount of discount attributable to each 2014 Unit Note. We recorded a corresponding credit to additional paid-in capital, an equity account, attributable to the beneficial conversion feature. We amortize the aggregate discount attributable to the 2014 Unit Notes using the effective interest method over the respective term of each 2014 Unit Note. Because the discount on a 2014 Unit Note may be as great as 99% of its initial face value, and because we must amortize such discount over the period from issuance to maturity, which has generally been less than one year, or in the case of such notes issued after December 31, 2014, less than one calendar quarter, the calculated effective interest rate may be very high. Based on the amounts of their respective discounts and the term between issuance and maturity, the effective interest rates attributable to the 2014 Unit Notes range from approximately 38% to over 10,000%, with the weighted average effective interest rate in excess of 3,000%. During November 2014, we repaid the $10,000 face amount of a 2014 Unit Note issued in October 2014.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Convertible Promissory Notes issued to Platinum</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July and August 2012, we issued to Platinum senior secured convertible promissory notes in the aggregate principal amount of $1,250,000. Each note accrued interest at the rate of 10% per annum and was due and payable on July 2, 2015. The notes were each mandatorily convertible into securities that we might have issued in an equity, equity-based, or debt financing, or series of financings, subsequent to the issuance of the notes resulting in gross proceeds to us of at least $3,000,000, excluding any additional investment by Platinum.</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18" w:name="page119"/>
    <w:bookmarkEnd w:id="11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October 11, 2012, we entered into a Note Exchange and Purchase Agreement (</w:t>
      </w:r>
      <w:r>
        <w:rPr>
          <w:rFonts w:ascii="Arial" w:cs="Arial" w:eastAsia="Arial" w:hAnsi="Arial"/>
          <w:sz w:val="16"/>
          <w:szCs w:val="16"/>
          <w:i w:val="1"/>
          <w:iCs w:val="1"/>
          <w:color w:val="auto"/>
        </w:rPr>
        <w:t>NEPA Agreement</w:t>
      </w:r>
      <w:r>
        <w:rPr>
          <w:rFonts w:ascii="Arial" w:cs="Arial" w:eastAsia="Arial" w:hAnsi="Arial"/>
          <w:sz w:val="16"/>
          <w:szCs w:val="16"/>
          <w:color w:val="auto"/>
        </w:rPr>
        <w:t xml:space="preserve">) with Platinum in which the senior secured notes issued in July 2012 and August 2012 and the related accrued interest, were consolidated into and exchanged for a single senior secured convertible note in the amount of $1,272,577 (the </w:t>
      </w:r>
      <w:r>
        <w:rPr>
          <w:rFonts w:ascii="Arial" w:cs="Arial" w:eastAsia="Arial" w:hAnsi="Arial"/>
          <w:sz w:val="16"/>
          <w:szCs w:val="16"/>
          <w:i w:val="1"/>
          <w:iCs w:val="1"/>
          <w:color w:val="auto"/>
        </w:rPr>
        <w:t>Exchange Note</w:t>
      </w:r>
      <w:r>
        <w:rPr>
          <w:rFonts w:ascii="Arial" w:cs="Arial" w:eastAsia="Arial" w:hAnsi="Arial"/>
          <w:sz w:val="16"/>
          <w:szCs w:val="16"/>
          <w:color w:val="auto"/>
        </w:rPr>
        <w:t xml:space="preserve">) and Platinum agreed to purchase four additional 10% senior secured convertible promissory notes in the aggregate principal amount of $2.0 million (the </w:t>
      </w:r>
      <w:r>
        <w:rPr>
          <w:rFonts w:ascii="Arial" w:cs="Arial" w:eastAsia="Arial" w:hAnsi="Arial"/>
          <w:sz w:val="16"/>
          <w:szCs w:val="16"/>
          <w:i w:val="1"/>
          <w:iCs w:val="1"/>
          <w:color w:val="auto"/>
        </w:rPr>
        <w:t>Investment Notes</w:t>
      </w:r>
      <w:r>
        <w:rPr>
          <w:rFonts w:ascii="Arial" w:cs="Arial" w:eastAsia="Arial" w:hAnsi="Arial"/>
          <w:sz w:val="16"/>
          <w:szCs w:val="16"/>
          <w:color w:val="auto"/>
        </w:rPr>
        <w:t>), issuable over four separate $500,000 tranches between October 2012 and December 2012. The NEPA Agreement was subsequently amended as to timing of subsequent note purchases, but between October 2012 and March 2013, we issued and Platinum purchased an aggregate of $2.0 million of Investment Notes. We also entered into a Security Agreement with Platinum to secure repayment of all obligations due and payable under the terms of the Exchange Note and the Investment Notes.</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The Exchange Note and each Investment Note (together, </w:t>
      </w:r>
      <w:r>
        <w:rPr>
          <w:rFonts w:ascii="Arial" w:cs="Arial" w:eastAsia="Arial" w:hAnsi="Arial"/>
          <w:sz w:val="16"/>
          <w:szCs w:val="16"/>
          <w:i w:val="1"/>
          <w:iCs w:val="1"/>
          <w:color w:val="auto"/>
        </w:rPr>
        <w:t>SeniorNotes</w:t>
      </w:r>
      <w:r>
        <w:rPr>
          <w:rFonts w:ascii="Arial" w:cs="Arial" w:eastAsia="Arial" w:hAnsi="Arial"/>
          <w:sz w:val="16"/>
          <w:szCs w:val="16"/>
          <w:color w:val="auto"/>
        </w:rPr>
        <w:t xml:space="preserve">) accrue interest at a rate of 10% per annum and, subject to certain limitations and exceptions set forth in the Senior Notes, unless voluntarily converted earlier by Platinum, will be due and payable in restricted shares of our common stock on October 11, 2015, or three years following the date of issuance, as determined by the terms of the Investment Notes. Subject to certain terms and conditions, at maturity, all principal and accrued interest under the Senior Notes will be repaid through our issuance of restricted shares of our common stock to Platinum. Subject to certain potential adjustments set forth in the Senior Notes, the number of restricted shares of common stock issuable as payment in full for each of the Notes at maturity will be calculated by dividing the outstanding Senior Note balance plus accrued interest by $10.00 per share. Prior to maturity, the outstanding principal and any accrued interest on the Exchange Note and each of the Investment Notes is convertible, in whole or in part, at Platinum’s option into shares of our common stock at a conversion price of $10.00 per share, subject to certain adjustments. Refer to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information regarding the conversion of the Senior Notes and accrued interest into shares of Series B Preferred stock during May 2015.</w:t>
      </w:r>
    </w:p>
    <w:p>
      <w:pPr>
        <w:spacing w:after="0" w:line="19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As additional consideration for the purchase of the Investment Notes, we issued to Platinum warrants to purchase an aggregate of 100,000 shares of our common stock, issuable in separate tranches together with each Investment Note. We issued four warrants to Platinum between October 2012 and March 2013 (each an </w:t>
      </w:r>
      <w:r>
        <w:rPr>
          <w:rFonts w:ascii="Arial" w:cs="Arial" w:eastAsia="Arial" w:hAnsi="Arial"/>
          <w:sz w:val="16"/>
          <w:szCs w:val="16"/>
          <w:i w:val="1"/>
          <w:iCs w:val="1"/>
          <w:color w:val="auto"/>
        </w:rPr>
        <w:t>Investment Warrant</w:t>
      </w:r>
      <w:r>
        <w:rPr>
          <w:rFonts w:ascii="Arial" w:cs="Arial" w:eastAsia="Arial" w:hAnsi="Arial"/>
          <w:sz w:val="16"/>
          <w:szCs w:val="16"/>
          <w:color w:val="auto"/>
        </w:rPr>
        <w:t>) to purchase an aggregate of 100,000 shares of our restricted common stock. Additionally, we issued Platinum a warrant to purchase 63,629</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common stock in connection with the issuance of the Exchange Note (</w:t>
      </w:r>
      <w:r>
        <w:rPr>
          <w:rFonts w:ascii="Arial" w:cs="Arial" w:eastAsia="Arial" w:hAnsi="Arial"/>
          <w:sz w:val="16"/>
          <w:szCs w:val="16"/>
          <w:i w:val="1"/>
          <w:iCs w:val="1"/>
          <w:color w:val="auto"/>
        </w:rPr>
        <w:t>Exchange Warrant</w:t>
      </w:r>
      <w:r>
        <w:rPr>
          <w:rFonts w:ascii="Arial" w:cs="Arial" w:eastAsia="Arial" w:hAnsi="Arial"/>
          <w:sz w:val="16"/>
          <w:szCs w:val="16"/>
          <w:color w:val="auto"/>
        </w:rPr>
        <w:t>). At issuance, the Exchange Warrant and each Investment Warrant had a term of five-years and an exercise price of $30.00 per share, subject to certain adjustments. Effective on May 24, 2013, we entered into an Amendment and Waiver agreement with Platinum pursuant to which we agreed to reduce the exercise price of the Exchange Warrant and the Investment Warrants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our securities, including issuances pursuant to the prospective Autilion Financing and other private placement transactions, at a price of less than $30.00 per share.</w:t>
      </w:r>
    </w:p>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July 26, 2013, we issued an additional senior secured convertible promissory note in the principal amount of $250,000 to Platinum (</w:t>
      </w:r>
      <w:r>
        <w:rPr>
          <w:rFonts w:ascii="Arial" w:cs="Arial" w:eastAsia="Arial" w:hAnsi="Arial"/>
          <w:sz w:val="16"/>
          <w:szCs w:val="16"/>
          <w:i w:val="1"/>
          <w:iCs w:val="1"/>
          <w:color w:val="auto"/>
        </w:rPr>
        <w:t>July 2013 Note</w:t>
      </w:r>
      <w:r>
        <w:rPr>
          <w:rFonts w:ascii="Arial" w:cs="Arial" w:eastAsia="Arial" w:hAnsi="Arial"/>
          <w:sz w:val="16"/>
          <w:szCs w:val="16"/>
          <w:color w:val="auto"/>
        </w:rPr>
        <w:t>). The July 2013 Note matures on July 26, 2016 and is otherwise in the same form as the earlier Investment Notes, bearing interest at 10% per annum and being payable in restricted shares of our common stock and convertible, in whole or in part, at Platinum’s option into shares of our restricted common stock at a conversion price of $10.00 per share, subject to certain adjustments. The conversion feature in the July 2013 Note constituted a beneficial conversion feature at the date of issuance. As additional consideration for the purchase of the July 2013 Note, we also issued to Platinum a five-year warrant to purchase 12,500 shares of our restricted common stock at an exercise price of $10.00 per share (</w:t>
      </w:r>
      <w:r>
        <w:rPr>
          <w:rFonts w:ascii="Arial" w:cs="Arial" w:eastAsia="Arial" w:hAnsi="Arial"/>
          <w:sz w:val="16"/>
          <w:szCs w:val="16"/>
          <w:i w:val="1"/>
          <w:iCs w:val="1"/>
          <w:color w:val="auto"/>
        </w:rPr>
        <w:t>July 2013 Warrant</w:t>
      </w:r>
      <w:r>
        <w:rPr>
          <w:rFonts w:ascii="Arial" w:cs="Arial" w:eastAsia="Arial" w:hAnsi="Arial"/>
          <w:sz w:val="16"/>
          <w:szCs w:val="16"/>
          <w:color w:val="auto"/>
        </w:rPr>
        <w:t>). The fair value of the July 2013 Warrant was estimated to be $11.74 per share, or $146,800, at its issuance date using a Monte Carlo simulation model and the following assumptions: market price of common stock: $15.00 per share; exercise price: $10.00 per share; risk-free interest rate: 1.36%; volatility: 96.9%; term: 5.0 years; and dividend rate 0.0%. We recorded the fair value of the July 2013 Warrant at the date of issuance as a liability and as a corresponding discount to the July 2013 Note.</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conversion option embedded in the July 2013 Note resulted in a beneficial conversion feature having intrinsic value of $100,700 at issuance. We recorded the issuance-date intrinsic value of the beneficial conversion feature as an additional component of the discount attributable to the July 2013 Note. The aggregate discount attributable to the July 2013 Note was $247,500, resulting in an issuance date carrying value of $2,500. As with the Investment Notes, we amortize the aggregate discount attributable to each note using the effective interest method over the respective term of each note. Considering the amount of the discount and the term of the note, the effective interest rate of the July 2013 Note was determined to be 159%.</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19" w:name="page120"/>
    <w:bookmarkEnd w:id="11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Subject to limited exceptions, the Exchange Warrant, each of the Investment Warrants and the July 2013 Warrant include certain exercise price reset and anti-dilution protection features in the event that we issue other securities during the five-year term of the warrants at a price less than $10.00 per share, as amended for the Exchange Warrant and the Investment Warrants. As a result of these provisions, the Exchange Warrant, the Investment Warrants and the July 2013 Warrant do not meet the criteria set forth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to be treated as equity instruments. Consequently, we initially recorded the Exchange Warrant, each of the Investment Warrants and the July 2013 Warrant as liabilities at their fair value and adjust them at the end of each reporting period. (See Note 4,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Conversion and Warrant Amendment Agreement with Platinum</w:t>
      </w:r>
    </w:p>
    <w:p>
      <w:pPr>
        <w:spacing w:after="0" w:line="24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July 18, 2014, we entered into an Amended and Restated Note Conversion Agreement and Warrant Amendment with Platinum (</w:t>
      </w:r>
      <w:r>
        <w:rPr>
          <w:rFonts w:ascii="Arial" w:cs="Arial" w:eastAsia="Arial" w:hAnsi="Arial"/>
          <w:sz w:val="16"/>
          <w:szCs w:val="16"/>
          <w:i w:val="1"/>
          <w:iCs w:val="1"/>
          <w:color w:val="auto"/>
        </w:rPr>
        <w:t>Amendment</w:t>
      </w:r>
      <w:r>
        <w:rPr>
          <w:rFonts w:ascii="Arial" w:cs="Arial" w:eastAsia="Arial" w:hAnsi="Arial"/>
          <w:sz w:val="16"/>
          <w:szCs w:val="16"/>
          <w:color w:val="auto"/>
        </w:rPr>
        <w:t>), pursuant to which Platinum agreed to convert into our unregistered equity securities all Senior Secured Convertible Promissory Notes (</w:t>
      </w:r>
      <w:r>
        <w:rPr>
          <w:rFonts w:ascii="Arial" w:cs="Arial" w:eastAsia="Arial" w:hAnsi="Arial"/>
          <w:sz w:val="16"/>
          <w:szCs w:val="16"/>
          <w:i w:val="1"/>
          <w:iCs w:val="1"/>
          <w:color w:val="auto"/>
        </w:rPr>
        <w:t>Senior Notes</w:t>
      </w:r>
      <w:r>
        <w:rPr>
          <w:rFonts w:ascii="Arial" w:cs="Arial" w:eastAsia="Arial" w:hAnsi="Arial"/>
          <w:sz w:val="16"/>
          <w:szCs w:val="16"/>
          <w:color w:val="auto"/>
        </w:rPr>
        <w:t>) held by Platinum, including accrued but unpaid interest thereon (</w:t>
      </w:r>
      <w:r>
        <w:rPr>
          <w:rFonts w:ascii="Arial" w:cs="Arial" w:eastAsia="Arial" w:hAnsi="Arial"/>
          <w:sz w:val="16"/>
          <w:szCs w:val="16"/>
          <w:i w:val="1"/>
          <w:iCs w:val="1"/>
          <w:color w:val="auto"/>
        </w:rPr>
        <w:t>Outstanding Balance</w:t>
      </w:r>
      <w:r>
        <w:rPr>
          <w:rFonts w:ascii="Arial" w:cs="Arial" w:eastAsia="Arial" w:hAnsi="Arial"/>
          <w:sz w:val="16"/>
          <w:szCs w:val="16"/>
          <w:color w:val="auto"/>
        </w:rPr>
        <w:t>), in the aggregate amount of approximately $4.2 million at the date of the agreement, upon our consummation on or before August 31, 2014 (</w:t>
      </w:r>
      <w:r>
        <w:rPr>
          <w:rFonts w:ascii="Arial" w:cs="Arial" w:eastAsia="Arial" w:hAnsi="Arial"/>
          <w:sz w:val="16"/>
          <w:szCs w:val="16"/>
          <w:i w:val="1"/>
          <w:iCs w:val="1"/>
          <w:color w:val="auto"/>
        </w:rPr>
        <w:t>Closing Date</w:t>
      </w:r>
      <w:r>
        <w:rPr>
          <w:rFonts w:ascii="Arial" w:cs="Arial" w:eastAsia="Arial" w:hAnsi="Arial"/>
          <w:sz w:val="16"/>
          <w:szCs w:val="16"/>
          <w:color w:val="auto"/>
        </w:rPr>
        <w:t>), of either (i) a private equity financing resulting in aggregate gross proceeds of at least $36.0 million (</w:t>
      </w:r>
      <w:r>
        <w:rPr>
          <w:rFonts w:ascii="Arial" w:cs="Arial" w:eastAsia="Arial" w:hAnsi="Arial"/>
          <w:sz w:val="16"/>
          <w:szCs w:val="16"/>
          <w:i w:val="1"/>
          <w:iCs w:val="1"/>
          <w:color w:val="auto"/>
        </w:rPr>
        <w:t>Private Financing</w:t>
      </w:r>
      <w:r>
        <w:rPr>
          <w:rFonts w:ascii="Arial" w:cs="Arial" w:eastAsia="Arial" w:hAnsi="Arial"/>
          <w:sz w:val="16"/>
          <w:szCs w:val="16"/>
          <w:color w:val="auto"/>
        </w:rPr>
        <w:t>), or (ii) a public offering of our equity securities registered with the SEC resulting in gross proceeds of at least $10.0 million (</w:t>
      </w:r>
      <w:r>
        <w:rPr>
          <w:rFonts w:ascii="Arial" w:cs="Arial" w:eastAsia="Arial" w:hAnsi="Arial"/>
          <w:sz w:val="16"/>
          <w:szCs w:val="16"/>
          <w:i w:val="1"/>
          <w:iCs w:val="1"/>
          <w:color w:val="auto"/>
        </w:rPr>
        <w:t>Public</w:t>
      </w:r>
      <w:r>
        <w:rPr>
          <w:rFonts w:ascii="Arial" w:cs="Arial" w:eastAsia="Arial" w:hAnsi="Arial"/>
          <w:sz w:val="16"/>
          <w:szCs w:val="16"/>
          <w:color w:val="auto"/>
        </w:rPr>
        <w:t xml:space="preserve"> </w:t>
      </w:r>
      <w:r>
        <w:rPr>
          <w:rFonts w:ascii="Arial" w:cs="Arial" w:eastAsia="Arial" w:hAnsi="Arial"/>
          <w:sz w:val="16"/>
          <w:szCs w:val="16"/>
          <w:i w:val="1"/>
          <w:iCs w:val="1"/>
          <w:color w:val="auto"/>
        </w:rPr>
        <w:t>Offering</w:t>
      </w:r>
      <w:r>
        <w:rPr>
          <w:rFonts w:ascii="Arial" w:cs="Arial" w:eastAsia="Arial" w:hAnsi="Arial"/>
          <w:sz w:val="16"/>
          <w:szCs w:val="16"/>
          <w:color w:val="auto"/>
        </w:rPr>
        <w:t>) (the Private Financing and Public Offering are referred to in this discussion as a</w:t>
      </w:r>
      <w:r>
        <w:rPr>
          <w:rFonts w:ascii="Arial" w:cs="Arial" w:eastAsia="Arial" w:hAnsi="Arial"/>
          <w:sz w:val="16"/>
          <w:szCs w:val="16"/>
          <w:i w:val="1"/>
          <w:iCs w:val="1"/>
          <w:color w:val="auto"/>
        </w:rPr>
        <w:t xml:space="preserve"> Platinum Qualified Financing</w:t>
      </w:r>
      <w:r>
        <w:rPr>
          <w:rFonts w:ascii="Arial" w:cs="Arial" w:eastAsia="Arial" w:hAnsi="Arial"/>
          <w:sz w:val="16"/>
          <w:szCs w:val="16"/>
          <w:color w:val="auto"/>
        </w:rPr>
        <w:t>). In August and September 2014, we</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the Amendment to extend the Closing Date until October 31, 2014.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 class of Series B Convertible Preferred Stock (</w:t>
      </w:r>
      <w:r>
        <w:rPr>
          <w:rFonts w:ascii="Arial" w:cs="Arial" w:eastAsia="Arial" w:hAnsi="Arial"/>
          <w:sz w:val="16"/>
          <w:szCs w:val="16"/>
          <w:i w:val="1"/>
          <w:iCs w:val="1"/>
          <w:color w:val="auto"/>
        </w:rPr>
        <w:t>Series B</w:t>
      </w:r>
      <w:r>
        <w:rPr>
          <w:rFonts w:ascii="Arial" w:cs="Arial" w:eastAsia="Arial" w:hAnsi="Arial"/>
          <w:sz w:val="16"/>
          <w:szCs w:val="16"/>
          <w:color w:val="auto"/>
        </w:rPr>
        <w:t xml:space="preserve"> </w:t>
      </w:r>
      <w:r>
        <w:rPr>
          <w:rFonts w:ascii="Arial" w:cs="Arial" w:eastAsia="Arial" w:hAnsi="Arial"/>
          <w:sz w:val="16"/>
          <w:szCs w:val="16"/>
          <w:i w:val="1"/>
          <w:iCs w:val="1"/>
          <w:color w:val="auto"/>
        </w:rPr>
        <w:t>Preferred</w:t>
      </w:r>
      <w:r>
        <w:rPr>
          <w:rFonts w:ascii="Arial" w:cs="Arial" w:eastAsia="Arial" w:hAnsi="Arial"/>
          <w:sz w:val="16"/>
          <w:szCs w:val="16"/>
          <w:color w:val="auto"/>
        </w:rPr>
        <w:t>) at the lower of $10.00 per share or the lowest per-share price in the Public Offering.</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pursuant to the terms and conditions of the Amendment, in the event we had consummated a Platinum Qualified Financing on or before the Closing Date, the exercise price of the Platinum Warrants we have issued to Platinum in connection with the Senior Notes, and warrants that we may still issue pursuant to the Note Exchange and Purchase Agreement between us and Platinum, dated October 11, 2012 (</w:t>
      </w:r>
      <w:r>
        <w:rPr>
          <w:rFonts w:ascii="Arial" w:cs="Arial" w:eastAsia="Arial" w:hAnsi="Arial"/>
          <w:sz w:val="16"/>
          <w:szCs w:val="16"/>
          <w:i w:val="1"/>
          <w:iCs w:val="1"/>
          <w:color w:val="auto"/>
        </w:rPr>
        <w:t>NEPA</w:t>
      </w:r>
      <w:r>
        <w:rPr>
          <w:rFonts w:ascii="Arial" w:cs="Arial" w:eastAsia="Arial" w:hAnsi="Arial"/>
          <w:sz w:val="16"/>
          <w:szCs w:val="16"/>
          <w:color w:val="auto"/>
        </w:rPr>
        <w:t>), if any, would have been fixed at the lower of $10.00 per share or the purchase price of common stock sold in the Platinum Qualified Financing. Finally, the anti-dilutive provisions contained in the Platinum Warrants, other than typical adjustments for stock splits, combinations and dividends, would have been terminated as of the Closing Date.</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Through March 31, 2015, we did not request Platinum to extend the Closing Date of the Amendment or enter into any other agreement with Platinum regarding the conversion of the Senior Notes, fixing the exercise price of the Platinum Warrants or terminating the anti-dilution provisions of the Platinum Warrants. Refer to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regarding the conversion of the Senior Notes and accrued interest into shares of Series B Preferred stock and modifications made to the exercise price and anti-dilution provisions of the Platinum Warrants in May 2015.</w:t>
      </w:r>
    </w:p>
    <w:p>
      <w:pPr>
        <w:spacing w:after="0" w:line="18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At the execution of the Amendment, we determined that the Amendment resulted in a modification of the Senior Notes that should be accounted for as an extinguishment of debt. Considering, among other factors, the cash flows and conversion features of the Senior Notes as modified by the Amendment, market interest rates for debt of similar quality and the relative probabilities of conversion of the Senior Notes into either shares of our common stock or Series B Preferred upon consummation of a Qualified Financing, we determined that the fair values of the Senior Notes at July 18, 2014, aggregating $6,475,000, represented a substantial premium over their aggregate $4,138,700 face values plus accrued interest. In accordance with the provisions of ASC 470-20, </w:t>
      </w:r>
      <w:r>
        <w:rPr>
          <w:rFonts w:ascii="Arial" w:cs="Arial" w:eastAsia="Arial" w:hAnsi="Arial"/>
          <w:sz w:val="16"/>
          <w:szCs w:val="16"/>
          <w:i w:val="1"/>
          <w:iCs w:val="1"/>
          <w:color w:val="auto"/>
        </w:rPr>
        <w:t>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Conversion and Other Options, </w:t>
      </w:r>
      <w:r>
        <w:rPr>
          <w:rFonts w:ascii="Arial" w:cs="Arial" w:eastAsia="Arial" w:hAnsi="Arial"/>
          <w:sz w:val="16"/>
          <w:szCs w:val="16"/>
          <w:color w:val="auto"/>
        </w:rPr>
        <w:t>we recognized the premium in excess of the face value and accrued interest, $2,336,300, as a non-cash component of loss on</w:t>
      </w:r>
      <w:r>
        <w:rPr>
          <w:rFonts w:ascii="Arial" w:cs="Arial" w:eastAsia="Arial" w:hAnsi="Arial"/>
          <w:sz w:val="16"/>
          <w:szCs w:val="16"/>
          <w:i w:val="1"/>
          <w:iCs w:val="1"/>
          <w:color w:val="auto"/>
        </w:rPr>
        <w:t xml:space="preserve"> </w:t>
      </w:r>
      <w:r>
        <w:rPr>
          <w:rFonts w:ascii="Arial" w:cs="Arial" w:eastAsia="Arial" w:hAnsi="Arial"/>
          <w:sz w:val="16"/>
          <w:szCs w:val="16"/>
          <w:color w:val="auto"/>
        </w:rPr>
        <w:t>extinguishment of debt in the accompanying Condensed Consolidated Statements of Operations and Comprehensive (Loss) Income with a credit to additional paid-in capital, an equity account. Consequently, we recorded the liability for the Senior Notes at their face values plus accrued interest. We recognized the difference between the pre-modification carrying values of the notes and their face values, an aggregate of $1,983,700, as an additional non-cash charge to loss on extinguishment of debt in the accompanying Condensed Consolidated Statement of Operations and Comprehensive (Loss) Income. Certain of the Senior Notes contained a beneficial conversion feature at the time they were originally issued. We have accounted for the repurchase of the beneficial conversion feature at the time of the modification, an aggregate of $2,716,600, as a reduction to the loss on extinguishment of debt in the accompanying Condensed Consolidated Statements of Operations and Comprehensive (Loss) Income, with a corresponding reduction to additional paid-in capital. The net amount of the loss on extinguishment of debt related to the amendment of the Senior Notes recognized in the accompanying Condensed Consolidated Statements of Operations and Comprehensive (Loss) Income for the nine months ended December 31, 2014 is $1,603,400.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20" w:name="page121"/>
    <w:bookmarkEnd w:id="12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At the date of its issuance, we recorded the fair value of the Exchange Warrant as a liability and as a corresponding charge to loss on early extinguishment of debt. We recorded the fair value of each Investment Warrant and the July 2013 Warrant at the date of issuance as a liability and as a corresponding discount to the related note. Subject to limitations of the absolute amount of discount attributable to each Investment Note and the July 2013 Note, we treated the issuance-date intrinsic value of the beneficial conversion feature embedded in each Investment Note and the July 2013 Note as an additional component of the discount attributable to such note and recorded a corresponding discount attributable to the beneficial conversion feature for each note. Prior to the Amendment, at which time the remaining unamortized discount was written off in our determination of the loss on extinguishment of debt, we had amortized the aggregate discount attributable to each of the Investment Notes and the July 2013 Note using the effective interest method over the respective term of each note. The effective interest rate of the Exchange Note was 10.0% at inception and the effective interest rate at inception for each of the Investment Notes and the July 2013 Note was 159.1% .</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re-measure the fair value of the Exchange Warrant, the Investment Warrants and the July 2013 Warrant (collectively, the </w:t>
      </w:r>
      <w:r>
        <w:rPr>
          <w:rFonts w:ascii="Arial" w:cs="Arial" w:eastAsia="Arial" w:hAnsi="Arial"/>
          <w:sz w:val="16"/>
          <w:szCs w:val="16"/>
          <w:i w:val="1"/>
          <w:iCs w:val="1"/>
          <w:color w:val="auto"/>
        </w:rPr>
        <w:t>Platinum Warrants</w:t>
      </w:r>
      <w:r>
        <w:rPr>
          <w:rFonts w:ascii="Arial" w:cs="Arial" w:eastAsia="Arial" w:hAnsi="Arial"/>
          <w:sz w:val="16"/>
          <w:szCs w:val="16"/>
          <w:color w:val="auto"/>
        </w:rPr>
        <w:t>) at each quarterly reporting period. As of March 31, 2015 and 2014, we measured the fair value of such warrants at an aggregate of $810,100 and $915,300, respectively. The aggregate decrease in fair value between March 31, 2014 and March 31, 2015 of $105,200 and the aggregate decrease in fair value between March 31, 2013 and March 31, 2014 of $1,219,500 is reflected in the Change in Warrant Liability in the accompanying Consolidated Statement of Operations and Comprehensive Income for the years ended March 31, 2015 and 2014,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Notes Issued in Connection with 2013 Unit Private Placement</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described more completely in the section entitled 2013 Unit Private Placement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between August 2013 and March 2014, we issued to accredited investors 10% convertible promissory notes (the “</w:t>
      </w:r>
      <w:r>
        <w:rPr>
          <w:rFonts w:ascii="Arial" w:cs="Arial" w:eastAsia="Arial" w:hAnsi="Arial"/>
          <w:sz w:val="16"/>
          <w:szCs w:val="16"/>
          <w:i w:val="1"/>
          <w:iCs w:val="1"/>
          <w:color w:val="auto"/>
        </w:rPr>
        <w:t>2013Unit Notes</w:t>
      </w:r>
      <w:r>
        <w:rPr>
          <w:rFonts w:ascii="Arial" w:cs="Arial" w:eastAsia="Arial" w:hAnsi="Arial"/>
          <w:sz w:val="16"/>
          <w:szCs w:val="16"/>
          <w:color w:val="auto"/>
        </w:rPr>
        <w:t>”) in an aggregate face amount of $1,007,500 in connection with our private placement of Units. The maturity date of the 2013 Unit Notes was July 30, 2014 and each 2013 Unit Note and its related accrued interest was convertible into shares of our common stock at a fixed conversion price of $10.00 per share at or prior to maturity, at the option of the accredited investor.</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allocated the proceeds from the sale of the units to the 2013 Unit Notes, the common stock and the warrants comprising the Units based on the relative fair value of the individual securities in each Unit on the dates of the Unit sales. Based on the short-duration of the 2013 Unit Notes and their other terms, we determined that the fair value of the 2013 Unit Notes at the date of issuance was equal to their face value. Accordingly, we recorded an initial discount attributable to each 2013 Unit Note for an amount representing the difference between the face value of the 2013 Unit Note and its relative value. Additionally, the 2013 Unit Notes contain an embedded conversion feature, certain of which had an intrinsic value at the issuance date, which value we treated as an additional discount attributable to such 2013 Unit Notes, subject to limitations on the absolute amount of discount attributable to each 2013 Unit Note. We recorded a corresponding credit to additional paid-in capital, an equity account in the Consolidated Balance Sheet, attributable to the beneficial conversion feature. We amortized the aggregate discount attributable to each of the 2013 Unit Notes using the effective interest method over the respective term of each 2013 Unit Note. Based on their respective discounts, the weighted average effective interest rate attributable to the 2013 Unit Notes at issuance was 464.1%.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2013 Unit Notes and Warrants</w:t>
      </w:r>
    </w:p>
    <w:p>
      <w:pPr>
        <w:spacing w:after="0" w:line="24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Effective May 31, 2014, we entered into note and warrant amendment agreements with substantially all holders of our 2013 Unit Notes and 2013 Unit Warrants, each of whom agreed to (i) modify certain terms of their 2013 Unit Note to conform to the corresponding terms of the 2014 Unit Notes, including an extension of the maturity date of their 2013 Unit Note from July 30, 2014 to March 31, 2015, as well as adoption of the automatic conversion and 25% conversion premium features related to consummation of a Qualified Financing, as described previously (</w:t>
      </w:r>
      <w:r>
        <w:rPr>
          <w:rFonts w:ascii="Arial" w:cs="Arial" w:eastAsia="Arial" w:hAnsi="Arial"/>
          <w:sz w:val="16"/>
          <w:szCs w:val="16"/>
          <w:i w:val="1"/>
          <w:iCs w:val="1"/>
          <w:color w:val="auto"/>
        </w:rPr>
        <w:t>Amended 2013 Unit Notes</w:t>
      </w:r>
      <w:r>
        <w:rPr>
          <w:rFonts w:ascii="Arial" w:cs="Arial" w:eastAsia="Arial" w:hAnsi="Arial"/>
          <w:sz w:val="16"/>
          <w:szCs w:val="16"/>
          <w:color w:val="auto"/>
        </w:rPr>
        <w:t>), and (ii) modify certain terms of their 2013 Unit Warrants, including the exercise price and expiration date, to conform to the corresponding terms of the 2014 Unit Warrants (</w:t>
      </w:r>
      <w:r>
        <w:rPr>
          <w:rFonts w:ascii="Arial" w:cs="Arial" w:eastAsia="Arial" w:hAnsi="Arial"/>
          <w:sz w:val="16"/>
          <w:szCs w:val="16"/>
          <w:i w:val="1"/>
          <w:iCs w:val="1"/>
          <w:color w:val="auto"/>
        </w:rPr>
        <w:t>Amended 2013 Unit Warrants</w:t>
      </w:r>
      <w:r>
        <w:rPr>
          <w:rFonts w:ascii="Arial" w:cs="Arial" w:eastAsia="Arial" w:hAnsi="Arial"/>
          <w:sz w:val="16"/>
          <w:szCs w:val="16"/>
          <w:color w:val="auto"/>
        </w:rPr>
        <w:t>). Holders of 2013 Unit Notes having an aggregate initial face amount of $895,000 agreed to such amendments. The maturity date of 2013 Unit Notes payable to holders who did not agree to amend their 2013 Unit Note and 2013 Unit Warrant remained July 30, 2014 and the $20.00 per share exercise price and July 30, 2016 expiration date of the 2013 Unit Warrants held by such holders remains unchanged. Between April 1, 2014 and August 15, 2014, we repaid 2013 Unit Notes having an initial face value of $ 112,500 and since the later date, no un-amended 2013 Unit Notes remain outstanding.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21" w:name="page122"/>
    <w:bookmarkEnd w:id="12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We determined that the modification of the 2013 Unit Notes and the 2013 Unit Warrants should be accounted for as an extinguishment of debt. Considering the cash flows and the non-contingent and contingent beneficial conversion features of the Amended 2013 Notes and other factors, including market interest rates for unsecured debt of similar quality and the probability of their conversion to securities in a Qualified Financing, we determined that the fair values of the Amended 2013 Unit Notes, aggregating $1,394,000, represented a substantial premium over their aggregate $943,400 face values. In accordance with the provisions of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we recognized the premium in excess of the face value, $450,600, as a credit to additional paid-in capital, an equity account. Consequently, we recorded the liability for the Amended 2013 Unit Notes at their face values. We recognized the difference between the pre-modification carrying values of the notes and their fair values, an aggregate of $867,500, as a non-cash charge to loss on extinguishment of debt in the accompanying Condensed Consolidated Statement of Operations and Comprehensive Loss. As described in greater detail in Note 9, </w:t>
      </w:r>
      <w:r>
        <w:rPr>
          <w:rFonts w:ascii="Arial" w:cs="Arial" w:eastAsia="Arial" w:hAnsi="Arial"/>
          <w:sz w:val="16"/>
          <w:szCs w:val="16"/>
          <w:i w:val="1"/>
          <w:iCs w:val="1"/>
          <w:color w:val="auto"/>
        </w:rPr>
        <w:t>Capital Stock</w:t>
      </w:r>
      <w:r>
        <w:rPr>
          <w:rFonts w:ascii="Arial" w:cs="Arial" w:eastAsia="Arial" w:hAnsi="Arial"/>
          <w:sz w:val="16"/>
          <w:szCs w:val="16"/>
          <w:color w:val="auto"/>
        </w:rPr>
        <w:t>, we determined the incremental fair value of the Amended 2013 Unit Warrants, which are treated as equity instruments, to be $272,900. We recognized this incremental fair value as an additional component of loss on extinguishment of debt in the accompanying Condensed Consolidated Statements of Operations and Comprehensive Loss and as a credit to additional paid-in capital. Certain of the 2013 Unit Notes contained a beneficial conversion feature when they were originally issued. We have accounted for the repurchase of the beneficial conversion feature at the time of the modification, an aggregate of $614,200, as a reduction to the loss on extinguishment of debt in the accompanying Condensed Consolidated Statements of Operations and Comprehensive Loss, with a corresponding reduction to additional paid-in capital. The net amount of the loss on extinguishment of debt related to the Amended 2013 Unit Notes and Amended 2013 Unit Warrants recognized in the accompanying Condensed Consolidated Statements of Operations and Comprehensive Loss is $526,200. Since the Amended 2013 Unit Notes have the same features and maturity as the 2014 Unit Notes, the two sets of notes are aggregated in the summary table above.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Satisfaction of Technology License and Maintenance Fees and Patent Expenses</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April 2014, we entered into an agreement with Icahn School of Medicine at Mount Sinai (</w:t>
      </w:r>
      <w:r>
        <w:rPr>
          <w:rFonts w:ascii="Arial" w:cs="Arial" w:eastAsia="Arial" w:hAnsi="Arial"/>
          <w:sz w:val="16"/>
          <w:szCs w:val="16"/>
          <w:i w:val="1"/>
          <w:iCs w:val="1"/>
          <w:color w:val="auto"/>
        </w:rPr>
        <w:t>Icahn School</w:t>
      </w:r>
      <w:r>
        <w:rPr>
          <w:rFonts w:ascii="Arial" w:cs="Arial" w:eastAsia="Arial" w:hAnsi="Arial"/>
          <w:sz w:val="16"/>
          <w:szCs w:val="16"/>
          <w:color w:val="auto"/>
        </w:rPr>
        <w:t xml:space="preserve">), one of our long-term stem cell technology licensors, pursuant to which we issued (i) a 10% promissory note in the face amount of $300,000 due on the earlier of December 31, 2014, or the completion of a qualified financing, as defined, (ii) 15,000 restricted shares of our common stock and (iii) 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6"/>
          <w:szCs w:val="16"/>
          <w:i w:val="1"/>
          <w:iCs w:val="1"/>
          <w:color w:val="auto"/>
        </w:rPr>
        <w:t>Agreement</w:t>
      </w:r>
      <w:r>
        <w:rPr>
          <w:rFonts w:ascii="Arial" w:cs="Arial" w:eastAsia="Arial" w:hAnsi="Arial"/>
          <w:sz w:val="16"/>
          <w:szCs w:val="16"/>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Agreement, an additional $35,800 of license maintenance fees and reimbursable patent prosecution costs was added to the principal amount of the promissory note through December 31, 2014. We made a payment of $10,000 on the note in January 2015 and it remained outstanding at March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to Morrison &amp; Foerster</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On May 5, 2011, we amended a previously outstanding note (the </w:t>
      </w:r>
      <w:r>
        <w:rPr>
          <w:rFonts w:ascii="Arial" w:cs="Arial" w:eastAsia="Arial" w:hAnsi="Arial"/>
          <w:sz w:val="18"/>
          <w:szCs w:val="18"/>
          <w:i w:val="1"/>
          <w:iCs w:val="1"/>
          <w:color w:val="auto"/>
        </w:rPr>
        <w:t>Original Note</w:t>
      </w:r>
      <w:r>
        <w:rPr>
          <w:rFonts w:ascii="Arial" w:cs="Arial" w:eastAsia="Arial" w:hAnsi="Arial"/>
          <w:sz w:val="18"/>
          <w:szCs w:val="18"/>
          <w:color w:val="auto"/>
        </w:rPr>
        <w:t>) issued to Morrison &amp; Foerster LLP (</w:t>
      </w:r>
      <w:r>
        <w:rPr>
          <w:rFonts w:ascii="Arial" w:cs="Arial" w:eastAsia="Arial" w:hAnsi="Arial"/>
          <w:sz w:val="18"/>
          <w:szCs w:val="18"/>
          <w:i w:val="1"/>
          <w:iCs w:val="1"/>
          <w:color w:val="auto"/>
        </w:rPr>
        <w:t>Morrison &amp; Foerster</w:t>
      </w:r>
      <w:r>
        <w:rPr>
          <w:rFonts w:ascii="Arial" w:cs="Arial" w:eastAsia="Arial" w:hAnsi="Arial"/>
          <w:sz w:val="18"/>
          <w:szCs w:val="18"/>
          <w:color w:val="auto"/>
        </w:rPr>
        <w:t xml:space="preserve">), then our general corporate and intellectual property counsel, in payment of legal services (the </w:t>
      </w:r>
      <w:r>
        <w:rPr>
          <w:rFonts w:ascii="Arial" w:cs="Arial" w:eastAsia="Arial" w:hAnsi="Arial"/>
          <w:sz w:val="18"/>
          <w:szCs w:val="18"/>
          <w:i w:val="1"/>
          <w:iCs w:val="1"/>
          <w:color w:val="auto"/>
        </w:rPr>
        <w:t>Amended Note</w:t>
      </w:r>
      <w:r>
        <w:rPr>
          <w:rFonts w:ascii="Arial" w:cs="Arial" w:eastAsia="Arial" w:hAnsi="Arial"/>
          <w:sz w:val="18"/>
          <w:szCs w:val="18"/>
          <w:color w:val="auto"/>
        </w:rPr>
        <w:t>). Under the terms of Amended Note, the principal balance of the Original Note was increased to $2,200,000, interest accrued at the rate of 7.5% per annum, and we were required to make certain payments to Morrison &amp; Foerster.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22" w:name="page123"/>
    <w:bookmarkEnd w:id="12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On August 31, 2012, we restructured the Amended Note (the </w:t>
      </w:r>
      <w:r>
        <w:rPr>
          <w:rFonts w:ascii="Arial" w:cs="Arial" w:eastAsia="Arial" w:hAnsi="Arial"/>
          <w:sz w:val="16"/>
          <w:szCs w:val="16"/>
          <w:i w:val="1"/>
          <w:iCs w:val="1"/>
          <w:color w:val="auto"/>
        </w:rPr>
        <w:t>Restructuring Agreement</w:t>
      </w:r>
      <w:r>
        <w:rPr>
          <w:rFonts w:ascii="Arial" w:cs="Arial" w:eastAsia="Arial" w:hAnsi="Arial"/>
          <w:sz w:val="16"/>
          <w:szCs w:val="16"/>
          <w:color w:val="auto"/>
        </w:rPr>
        <w:t>). Pursuant to the Restructuring Agreement, we issued to Morrison &amp; Foerster two new unsecured promissory notes to replace the Amended Note, one in the principal amount of $1,000,000 (</w:t>
      </w:r>
      <w:r>
        <w:rPr>
          <w:rFonts w:ascii="Arial" w:cs="Arial" w:eastAsia="Arial" w:hAnsi="Arial"/>
          <w:sz w:val="16"/>
          <w:szCs w:val="16"/>
          <w:i w:val="1"/>
          <w:iCs w:val="1"/>
          <w:color w:val="auto"/>
        </w:rPr>
        <w:t>Replacement Note A</w:t>
      </w:r>
      <w:r>
        <w:rPr>
          <w:rFonts w:ascii="Arial" w:cs="Arial" w:eastAsia="Arial" w:hAnsi="Arial"/>
          <w:sz w:val="16"/>
          <w:szCs w:val="16"/>
          <w:color w:val="auto"/>
        </w:rPr>
        <w:t>) and the other in the principal amount of $1,379,400 (</w:t>
      </w:r>
      <w:r>
        <w:rPr>
          <w:rFonts w:ascii="Arial" w:cs="Arial" w:eastAsia="Arial" w:hAnsi="Arial"/>
          <w:sz w:val="16"/>
          <w:szCs w:val="16"/>
          <w:i w:val="1"/>
          <w:iCs w:val="1"/>
          <w:color w:val="auto"/>
        </w:rPr>
        <w:t>Replacement Note B</w:t>
      </w:r>
      <w:r>
        <w:rPr>
          <w:rFonts w:ascii="Arial" w:cs="Arial" w:eastAsia="Arial" w:hAnsi="Arial"/>
          <w:sz w:val="16"/>
          <w:szCs w:val="16"/>
          <w:color w:val="auto"/>
        </w:rPr>
        <w:t xml:space="preserve">) (together, the </w:t>
      </w:r>
      <w:r>
        <w:rPr>
          <w:rFonts w:ascii="Arial" w:cs="Arial" w:eastAsia="Arial" w:hAnsi="Arial"/>
          <w:sz w:val="16"/>
          <w:szCs w:val="16"/>
          <w:i w:val="1"/>
          <w:iCs w:val="1"/>
          <w:color w:val="auto"/>
        </w:rPr>
        <w:t>Replacement Notes</w:t>
      </w:r>
      <w:r>
        <w:rPr>
          <w:rFonts w:ascii="Arial" w:cs="Arial" w:eastAsia="Arial" w:hAnsi="Arial"/>
          <w:sz w:val="16"/>
          <w:szCs w:val="16"/>
          <w:color w:val="auto"/>
        </w:rPr>
        <w:t xml:space="preserve">); amended an outstanding warrant to purchase restricted shares of our common stock (the </w:t>
      </w:r>
      <w:r>
        <w:rPr>
          <w:rFonts w:ascii="Arial" w:cs="Arial" w:eastAsia="Arial" w:hAnsi="Arial"/>
          <w:sz w:val="16"/>
          <w:szCs w:val="16"/>
          <w:i w:val="1"/>
          <w:iCs w:val="1"/>
          <w:color w:val="auto"/>
        </w:rPr>
        <w:t>Amended M&amp;F Warrant)</w:t>
      </w:r>
      <w:r>
        <w:rPr>
          <w:rFonts w:ascii="Arial" w:cs="Arial" w:eastAsia="Arial" w:hAnsi="Arial"/>
          <w:sz w:val="16"/>
          <w:szCs w:val="16"/>
          <w:color w:val="auto"/>
        </w:rPr>
        <w:t xml:space="preserve">; and issued a new warrant exercisable at $20.00 per share through September 15, 2017 to purchase restricted shares of our common stock (the </w:t>
      </w:r>
      <w:r>
        <w:rPr>
          <w:rFonts w:ascii="Arial" w:cs="Arial" w:eastAsia="Arial" w:hAnsi="Arial"/>
          <w:sz w:val="16"/>
          <w:szCs w:val="16"/>
          <w:i w:val="1"/>
          <w:iCs w:val="1"/>
          <w:color w:val="auto"/>
        </w:rPr>
        <w:t>New M&amp;F Warrant).</w:t>
      </w:r>
      <w:r>
        <w:rPr>
          <w:rFonts w:ascii="Arial" w:cs="Arial" w:eastAsia="Arial" w:hAnsi="Arial"/>
          <w:sz w:val="16"/>
          <w:szCs w:val="16"/>
          <w:color w:val="auto"/>
        </w:rPr>
        <w:t xml:space="preserve"> Under the terms of the Restructuring Agreement, the Amended Note was cancelled and all of our past due payment obligations under the Amended Note were satisfied. Pursuant to the terms of the Amended Note, we made a payment of $155,000 to Morrison &amp; Foerster on August 31, 2012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Between May 2013 and March 31, 2015, we have made no payments on Replacement Note A. In accordance with the terms of the Replacement Notes, the applicable penalty interest rate of 10.0% per annum has become effective and we have accrued interest on the Replacement Notes at that rate since May 2013. Payment of the principal and interest on Replacement Note B will be made solely in restricted shares of our common stock pursuant to Morrison &amp; Foerster’s cancellation from time to time of all or a portion of the principal and interest balance due on Replacement Note B in connection with its concurrent exercise of the New M&amp;F Warrant, at an exercise price of $20.00 per share; provided, however, that Morrison &amp; Foerster shall have the option to require payment of Replacement Note B in cash upon the occurrence of a change in control of the Company or an event of default, and only in such circumstances. As indicated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in May 2015, Replacement Note B in the aggregate amount (principal and accrued but unpaid interest) of approximately $1.8 million was converted into 257,143 shares of our newly created Series B Preferred, eliminating approximately $1.8 million of our indebtedness. Additionally, Morrison &amp; Foerster agreed to standstill and forbear until December 31, 2016 with respect to further payment requirements on Replacement Note A and accounts payable outstanding at the time of the agreement.</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New M&amp;F Warrant is exercisable for the number of restricted shares of our common stock equal to the principal and accrued interest due under the terms of Replacement Note B divided by the warrant exercise price of $20.00 per share. At the August 31, 2012 date of grant, the New M&amp;F Warrant was exercisable to purchase 68,969 restricted shares of our common stock. The New M&amp;F Warrant effectively permits exercise only by the cancellation in whole or in part of our indebtedness under either of the Replacement Notes. Through March 31, 2015, we have adjusted the New M&amp;F Warrant to increase the number of restricted shares available for purchase by 16,658 shares, based on interest accrued on Replacement Note B through that date. We have recorded the fair value of the additional warrant shares as a charge to interest expense and a corresponding credit to additional paid-in capital.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Payable to Cato Research Ltd.</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October 10, 2012, we issued to Cato Research Ltd (</w:t>
      </w:r>
      <w:r>
        <w:rPr>
          <w:rFonts w:ascii="Arial" w:cs="Arial" w:eastAsia="Arial" w:hAnsi="Arial"/>
          <w:sz w:val="16"/>
          <w:szCs w:val="16"/>
          <w:i w:val="1"/>
          <w:iCs w:val="1"/>
          <w:color w:val="auto"/>
        </w:rPr>
        <w:t>CRL</w:t>
      </w:r>
      <w:r>
        <w:rPr>
          <w:rFonts w:ascii="Arial" w:cs="Arial" w:eastAsia="Arial" w:hAnsi="Arial"/>
          <w:sz w:val="16"/>
          <w:szCs w:val="16"/>
          <w:color w:val="auto"/>
        </w:rPr>
        <w:t xml:space="preserve">) a contract research and development partner and a related party: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6"/>
          <w:szCs w:val="16"/>
          <w:i w:val="1"/>
          <w:iCs w:val="1"/>
          <w:color w:val="auto"/>
        </w:rPr>
        <w:t>CRL Note</w:t>
      </w:r>
      <w:r>
        <w:rPr>
          <w:rFonts w:ascii="Arial" w:cs="Arial" w:eastAsia="Arial" w:hAnsi="Arial"/>
          <w:sz w:val="16"/>
          <w:szCs w:val="16"/>
          <w:color w:val="auto"/>
        </w:rPr>
        <w:t>), as payment in full for all contract research and development services and regulatory advice (</w:t>
      </w:r>
      <w:r>
        <w:rPr>
          <w:rFonts w:ascii="Arial" w:cs="Arial" w:eastAsia="Arial" w:hAnsi="Arial"/>
          <w:sz w:val="16"/>
          <w:szCs w:val="16"/>
          <w:i w:val="1"/>
          <w:iCs w:val="1"/>
          <w:color w:val="auto"/>
        </w:rPr>
        <w:t>CRO Services</w:t>
      </w:r>
      <w:r>
        <w:rPr>
          <w:rFonts w:ascii="Arial" w:cs="Arial" w:eastAsia="Arial" w:hAnsi="Arial"/>
          <w:sz w:val="16"/>
          <w:szCs w:val="16"/>
          <w:color w:val="auto"/>
        </w:rPr>
        <w:t xml:space="preserve">) rendered by CRL to us and our affiliates through December 31, 2012 with respect to the non-clinical and clinical development of AV-101, and (ii) a five-year warrant to purchase, at a price of $20.00 per share, 50,450 restricted shares of our common stock, the amount equal to the sum of the principal amount of the CRL Note, plus all accrued interest thereon, divided by $20.00 per share (the </w:t>
      </w:r>
      <w:r>
        <w:rPr>
          <w:rFonts w:ascii="Arial" w:cs="Arial" w:eastAsia="Arial" w:hAnsi="Arial"/>
          <w:sz w:val="16"/>
          <w:szCs w:val="16"/>
          <w:i w:val="1"/>
          <w:iCs w:val="1"/>
          <w:color w:val="auto"/>
        </w:rPr>
        <w:t>CRL Warrant</w:t>
      </w:r>
      <w:r>
        <w:rPr>
          <w:rFonts w:ascii="Arial" w:cs="Arial" w:eastAsia="Arial" w:hAnsi="Arial"/>
          <w:sz w:val="16"/>
          <w:szCs w:val="16"/>
          <w:color w:val="auto"/>
        </w:rPr>
        <w:t>). The CRL Note is due and payable on March 31, 2016 and is payable solely by CRL's cancellation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Through March 31, 2015, we have adjusted the CRL Warrant to increase the number of restricted shares available for purchase by 10,241 shares, based on interest accrued on the CRL Note through that date. We have recorded the fair value of the additional shares as a charge to interest expense and a corresponding credit to additional paid-in capital.</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disclosed in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in May 2015, the CRL Note and certain accounts payable to CRL for CRO Services related to AV-101 in the aggregate amount (principal and accrued but unpaid interest, plus certain strategic adjustments) of approximately $1.9 million were converted into 278,006 shares of our Series B Preferred, eliminating approximately $1.9 million of our indebtedness.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23" w:name="page124"/>
    <w:bookmarkEnd w:id="12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Payable to Cato Holding Company</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October 10, 2012, we exchanged a previously outstanding note issued to Cato Holding Company (</w:t>
      </w:r>
      <w:r>
        <w:rPr>
          <w:rFonts w:ascii="Arial" w:cs="Arial" w:eastAsia="Arial" w:hAnsi="Arial"/>
          <w:sz w:val="18"/>
          <w:szCs w:val="18"/>
          <w:i w:val="1"/>
          <w:iCs w:val="1"/>
          <w:color w:val="auto"/>
        </w:rPr>
        <w:t>CHC</w:t>
      </w:r>
      <w:r>
        <w:rPr>
          <w:rFonts w:ascii="Arial" w:cs="Arial" w:eastAsia="Arial" w:hAnsi="Arial"/>
          <w:sz w:val="18"/>
          <w:szCs w:val="18"/>
          <w:color w:val="auto"/>
        </w:rPr>
        <w:t xml:space="preserve">) for a new unsecured promissory note in the principal amount of $310,400 (the </w:t>
      </w:r>
      <w:r>
        <w:rPr>
          <w:rFonts w:ascii="Arial" w:cs="Arial" w:eastAsia="Arial" w:hAnsi="Arial"/>
          <w:sz w:val="18"/>
          <w:szCs w:val="18"/>
          <w:i w:val="1"/>
          <w:iCs w:val="1"/>
          <w:color w:val="auto"/>
        </w:rPr>
        <w:t>2012 CHC Note</w:t>
      </w:r>
      <w:r>
        <w:rPr>
          <w:rFonts w:ascii="Arial" w:cs="Arial" w:eastAsia="Arial" w:hAnsi="Arial"/>
          <w:sz w:val="18"/>
          <w:szCs w:val="18"/>
          <w:color w:val="auto"/>
        </w:rPr>
        <w:t xml:space="preserve">) and a five-year warrant to purchase 12,500 restricted shares of the Company’s common stock at a price of $30.00 per share (the </w:t>
      </w:r>
      <w:r>
        <w:rPr>
          <w:rFonts w:ascii="Arial" w:cs="Arial" w:eastAsia="Arial" w:hAnsi="Arial"/>
          <w:sz w:val="18"/>
          <w:szCs w:val="18"/>
          <w:i w:val="1"/>
          <w:iCs w:val="1"/>
          <w:color w:val="auto"/>
        </w:rPr>
        <w:t>CHC Warrant</w:t>
      </w:r>
      <w:r>
        <w:rPr>
          <w:rFonts w:ascii="Arial" w:cs="Arial" w:eastAsia="Arial" w:hAnsi="Arial"/>
          <w:sz w:val="18"/>
          <w:szCs w:val="18"/>
          <w:color w:val="auto"/>
        </w:rPr>
        <w:t>). The 2012 CHC Note accrues interest at a rate of 7.5% per annum and is due and payable in monthly installments of $10,000, beginning November 1, 2012 and continuing until the outstanding balance is paid in full. Between December 2012 and March 31, 2015, we have made no payments on the 2012 CHC Note.</w:t>
      </w:r>
    </w:p>
    <w:p>
      <w:pPr>
        <w:spacing w:after="0" w:line="22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 xml:space="preserve">As disclosed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in May 2015, the 2012 CHC Note in the aggregate amount (principal and accrued but unpaid interest) of approximately $354,000 was converted into 50,565 shares of our Series B Preferred, eliminating approximately $354,000 of our indebtedness.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Payable to University Health Network</w:t>
      </w:r>
    </w:p>
    <w:p>
      <w:pPr>
        <w:spacing w:after="0" w:line="24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October 10, 2012, we issued to the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xml:space="preserve">):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6"/>
          <w:szCs w:val="16"/>
          <w:i w:val="1"/>
          <w:iCs w:val="1"/>
          <w:color w:val="auto"/>
        </w:rPr>
        <w:t>UHN Note</w:t>
      </w:r>
      <w:r>
        <w:rPr>
          <w:rFonts w:ascii="Arial" w:cs="Arial" w:eastAsia="Arial" w:hAnsi="Arial"/>
          <w:sz w:val="16"/>
          <w:szCs w:val="16"/>
          <w:color w:val="auto"/>
        </w:rPr>
        <w:t xml:space="preserve">), and (ii) a five-year warrant to purchase, at a price of $20.00 per share, 27,475 restricted shares of our common stock, the amount equal to the sum of the principal amount of the UHN Note, plus all accrued interest thereon, divided by $20.00 per share (the </w:t>
      </w:r>
      <w:r>
        <w:rPr>
          <w:rFonts w:ascii="Arial" w:cs="Arial" w:eastAsia="Arial" w:hAnsi="Arial"/>
          <w:sz w:val="16"/>
          <w:szCs w:val="16"/>
          <w:i w:val="1"/>
          <w:iCs w:val="1"/>
          <w:color w:val="auto"/>
        </w:rPr>
        <w:t>UHN Warrant</w:t>
      </w:r>
      <w:r>
        <w:rPr>
          <w:rFonts w:ascii="Arial" w:cs="Arial" w:eastAsia="Arial" w:hAnsi="Arial"/>
          <w:sz w:val="16"/>
          <w:szCs w:val="16"/>
          <w:color w:val="auto"/>
        </w:rPr>
        <w:t>). The UHN Note is due and payable on March 31, 2016 and is payable solely by UHN's cancellation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 Through March 31, 2015, we have adjusted the UHN Warrant to increase the number of restricted shares available for purchase by 5,095 shares, based on interest accrued on the UHN Note through that date. We have recorded the fair value of the additional shares as a charge to interest expense and a corresponding credit to additional paid-in capital.</w:t>
      </w:r>
    </w:p>
    <w:p>
      <w:pPr>
        <w:spacing w:after="0" w:line="19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 xml:space="preserve">As disclosed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in May 2015, the UHN Note in the aggregate amount (principal and accrued but unpaid interest) of approximately $656,400 was converted into 93,775 shares of our Series B Preferred, eliminating approximately $656,400 of our indebtedness.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for Cancellation of Amounts Payable for Services and Royalties</w:t>
      </w:r>
    </w:p>
    <w:p>
      <w:pPr>
        <w:spacing w:after="0" w:line="24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February 25, 2011, we issued to Burr, Pilger, and Mayer, LLC (</w:t>
      </w:r>
      <w:r>
        <w:rPr>
          <w:rFonts w:ascii="Arial" w:cs="Arial" w:eastAsia="Arial" w:hAnsi="Arial"/>
          <w:sz w:val="18"/>
          <w:szCs w:val="18"/>
          <w:i w:val="1"/>
          <w:iCs w:val="1"/>
          <w:color w:val="auto"/>
        </w:rPr>
        <w:t>BPM</w:t>
      </w:r>
      <w:r>
        <w:rPr>
          <w:rFonts w:ascii="Arial" w:cs="Arial" w:eastAsia="Arial" w:hAnsi="Arial"/>
          <w:sz w:val="18"/>
          <w:szCs w:val="18"/>
          <w:color w:val="auto"/>
        </w:rPr>
        <w:t>) an unsecured promissory note in the principal amount of $98,674 for amounts payable in connection with valuation services provided to us by BPM. The BPM note bears interest at the rate of 7.5% per annum and has payment terms of $1,000 per month, beginning March 1, 2011 and continuing until all principal and interest is paid in full. In addition, a payment of $25,000 shall be due upon the sale of the Company or upon our completing a financing transaction of at least $5.0 million during any three-month period, with the payment increasing to $50,000 (or the amount then owed under the note, if less) upon the Company completing a financing of over $10.0 million. We made no payments on the BPM note during the fiscal year ended March 31, 2015.</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April 29, 2011, we issued to Desjardins Securities, Inc. (</w:t>
      </w:r>
      <w:r>
        <w:rPr>
          <w:rFonts w:ascii="Arial" w:cs="Arial" w:eastAsia="Arial" w:hAnsi="Arial"/>
          <w:sz w:val="16"/>
          <w:szCs w:val="16"/>
          <w:i w:val="1"/>
          <w:iCs w:val="1"/>
          <w:color w:val="auto"/>
        </w:rPr>
        <w:t>Desjardins</w:t>
      </w:r>
      <w:r>
        <w:rPr>
          <w:rFonts w:ascii="Arial" w:cs="Arial" w:eastAsia="Arial" w:hAnsi="Arial"/>
          <w:sz w:val="16"/>
          <w:szCs w:val="16"/>
          <w:color w:val="auto"/>
        </w:rPr>
        <w:t>) an unsecured promissory note in the principal amount of CDN $236,000 for amounts payable for legal fees incurred by Desjardins in connection with investment banking services provided to us by Desjardins. The Desjardins note bears interest at 7.5% and was due, along with all accrued but unpaid interest on the earliest of (i) June 30, 2014, (ii) the consummation of a Change of Control, as defined in the Desjardins note, and (iii) any failure to pay principal or interest when due. We were required to make payments of CDN $4,000 per month beginning May 31, 2011, increasing to CDN $6,000 per month beginning on January 31, 2012. Beginning on January 1, 2012, we are also required to make payments equal to one-half of one percent (0.5%) of the net proceeds of all private or public equity financings closed during the term of the note. The note payable to Desjardins was due on June 30, 2014. We made no payments on the Desjardins note during the fiscal year ended March 31, 2015.</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24" w:name="page125"/>
    <w:bookmarkEnd w:id="12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May 5, 2011, we issued to McCarthy Tetrault LLP (</w:t>
      </w:r>
      <w:r>
        <w:rPr>
          <w:rFonts w:ascii="Arial" w:cs="Arial" w:eastAsia="Arial" w:hAnsi="Arial"/>
          <w:sz w:val="16"/>
          <w:szCs w:val="16"/>
          <w:i w:val="1"/>
          <w:iCs w:val="1"/>
          <w:color w:val="auto"/>
        </w:rPr>
        <w:t>McCarthy</w:t>
      </w:r>
      <w:r>
        <w:rPr>
          <w:rFonts w:ascii="Arial" w:cs="Arial" w:eastAsia="Arial" w:hAnsi="Arial"/>
          <w:sz w:val="16"/>
          <w:szCs w:val="16"/>
          <w:color w:val="auto"/>
        </w:rPr>
        <w:t xml:space="preserve">) an unsecured promissory note in the principal amount of CDN $502,797 for amounts payable in connection with Canadian legal services provided to us. The McCarthy note bears interest at 7.5% and was due, along with all accrued but unpaid interest on the earliest of (i) June 30, 2014, (ii) the consummation of a Change of Control, as defined in the McCarthy note, and (iii) any failure to pay principal or interest when due. We were required to make payments of CDN $10,000 per month beginning May 31, 2011, which payment amounts increased to CDN $15,000 per month on January 31, 2012. Beginning on January 1, 2012, we are also required to make payments equal to one percent (1%) of the net proceeds of all private or public equity financings closed during the term of the note. The note payable to McCarthy was due on June 14, 2014. On June 11, 2014, we and McCarthy agreed to extend the maturity date of the McCarthy note from June 14, 2014 to the earlier of (i) September 30, 2014, (ii) consummation of a financing in which we received gross cash proceeds of at least $15.0 million, or (iii) consummation of a change of control of the Company, as defined in the McCarthy note. McCarthy also agreed to forbear with respect to the requirement that we make monthly payments on the note from the date of the agreement until maturity and granted us a waiver with respect to previously missed monthly payments. We made no payments on the McCarthy note during the fiscal year ended March 31, 2015. As disclosed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in May 2015, the McCarthy note in the aggregate amount (principal and accrued but unpaid interest) of approximately $414,600 was converted into 59.230 shares of our Series B Preferred, eliminating approximately $414,600 of our indebtedness.</w:t>
      </w:r>
    </w:p>
    <w:p>
      <w:pPr>
        <w:spacing w:after="0" w:line="17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August 30, 2012, we issued a promissory note in the principal amount of $60,000 and 750 restricted shares of our common stock valued at a market price of $18.80 per share to Progressive Medical Research in settlement of past due obligations for clinical research services in the amount of $79,900. Under the terms of the settlement, we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our assets or upon our completion of a financing transaction, or series of transactions, resulting in gross proceeds to us of at least $4.0 million in any three-month period, excluding proceeds from stock option or warrant exercises. We made no payments on this note during the fiscal year ended March 31, 2015.</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October 12, 2009, VistaGen California issued a promissory note payable to the Regents of the University of California (“</w:t>
      </w:r>
      <w:r>
        <w:rPr>
          <w:rFonts w:ascii="Arial" w:cs="Arial" w:eastAsia="Arial" w:hAnsi="Arial"/>
          <w:sz w:val="16"/>
          <w:szCs w:val="16"/>
          <w:i w:val="1"/>
          <w:iCs w:val="1"/>
          <w:color w:val="auto"/>
        </w:rPr>
        <w:t>UC</w:t>
      </w:r>
      <w:r>
        <w:rPr>
          <w:rFonts w:ascii="Arial" w:cs="Arial" w:eastAsia="Arial" w:hAnsi="Arial"/>
          <w:sz w:val="16"/>
          <w:szCs w:val="16"/>
          <w:color w:val="auto"/>
        </w:rPr>
        <w:t xml:space="preserve">”) with a principal balance of $90,000 in exchange for the cancellation of certain amounts payable under a research collaboration agreement (the </w:t>
      </w:r>
      <w:r>
        <w:rPr>
          <w:rFonts w:ascii="Arial" w:cs="Arial" w:eastAsia="Arial" w:hAnsi="Arial"/>
          <w:sz w:val="16"/>
          <w:szCs w:val="16"/>
          <w:i w:val="1"/>
          <w:iCs w:val="1"/>
          <w:color w:val="auto"/>
        </w:rPr>
        <w:t>UC Note 1</w:t>
      </w:r>
      <w:r>
        <w:rPr>
          <w:rFonts w:ascii="Arial" w:cs="Arial" w:eastAsia="Arial" w:hAnsi="Arial"/>
          <w:sz w:val="16"/>
          <w:szCs w:val="16"/>
          <w:color w:val="auto"/>
        </w:rPr>
        <w:t>).. On February 25, 2010, VistaGen California issued a promissory note payable to UC having a principal balance of $170,000 in exchange for the cancellation of the remaining $60,000 principal balance of UC Note 1 and certain amounts payable under a research collaboration agreement (</w:t>
      </w:r>
      <w:r>
        <w:rPr>
          <w:rFonts w:ascii="Arial" w:cs="Arial" w:eastAsia="Arial" w:hAnsi="Arial"/>
          <w:sz w:val="16"/>
          <w:szCs w:val="16"/>
          <w:i w:val="1"/>
          <w:iCs w:val="1"/>
          <w:color w:val="auto"/>
        </w:rPr>
        <w:t>UC Note 2</w:t>
      </w:r>
      <w:r>
        <w:rPr>
          <w:rFonts w:ascii="Arial" w:cs="Arial" w:eastAsia="Arial" w:hAnsi="Arial"/>
          <w:sz w:val="16"/>
          <w:szCs w:val="16"/>
          <w:color w:val="auto"/>
        </w:rPr>
        <w:t>). UC Note 2 was payable in monthly principal installments of $15,000 through May 31, 2010, with the remaining $125,000 plus all accrued and unpaid interest due on or before June 30, 2010. Between June 2010 and December 2010, VistaGen California amended UC Note 2 multiple times, ultimately resulting in a decrease in the monthly payment amount to $5,000, with payments continuing until the outstanding balance of principal and interest is paid in full. We made no payments on UC Note 2 during the fiscal year ended March 31, 2015.</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1, 2010, VistaGen California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8"/>
          <w:szCs w:val="18"/>
          <w:i w:val="1"/>
          <w:iCs w:val="1"/>
          <w:color w:val="auto"/>
        </w:rPr>
        <w:t>March 2010 Note</w:t>
      </w:r>
      <w:r>
        <w:rPr>
          <w:rFonts w:ascii="Arial" w:cs="Arial" w:eastAsia="Arial" w:hAnsi="Arial"/>
          <w:sz w:val="18"/>
          <w:szCs w:val="18"/>
          <w:color w:val="auto"/>
        </w:rPr>
        <w:t>). On December 28, 2010, VistaGen California amended the March 2010 Note and extended its maturity date to the first to occur of April 30, 2011 or 30 days following the closing of a financing with gross proceeds of $5,000,000 or more. We made no payments on this note during the fiscal year ended March 31, 2015.</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August 13, 2010, VistaGen California issued a 10% promissory note with a principal balance of $41,000 to MicroConstants, Inc. in exchange for the cancellation of certain amounts payable for services rendered. Under the terms of this note, VistaGen California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our stock or assets. We made no payments on this note during the fiscal year ended March 31, 2015.</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25" w:name="page126"/>
    <w:bookmarkEnd w:id="12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Split (Stock Consolidation) of our Common Stock</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As indicated in Note 2, </w:t>
      </w:r>
      <w:r>
        <w:rPr>
          <w:rFonts w:ascii="Arial" w:cs="Arial" w:eastAsia="Arial" w:hAnsi="Arial"/>
          <w:sz w:val="16"/>
          <w:szCs w:val="16"/>
          <w:i w:val="1"/>
          <w:iCs w:val="1"/>
          <w:color w:val="auto"/>
        </w:rPr>
        <w:t>Basis of Presentation and Going Concern</w:t>
      </w:r>
      <w:r>
        <w:rPr>
          <w:rFonts w:ascii="Arial" w:cs="Arial" w:eastAsia="Arial" w:hAnsi="Arial"/>
          <w:sz w:val="16"/>
          <w:szCs w:val="16"/>
          <w:color w:val="auto"/>
        </w:rPr>
        <w:t>, we consummated the Stock Consolidation, a 1-for-20 reverse split of our authorized, and issued and outstanding shares of common stock, effective on August 14, 2014. The par value of our common stock remained unchanged at $0.001 per share following the Stock Consolidation. The Stock Consolidation was approved by the Financial Industry Regulatory Authority (</w:t>
      </w:r>
      <w:r>
        <w:rPr>
          <w:rFonts w:ascii="Arial" w:cs="Arial" w:eastAsia="Arial" w:hAnsi="Arial"/>
          <w:sz w:val="16"/>
          <w:szCs w:val="16"/>
          <w:i w:val="1"/>
          <w:iCs w:val="1"/>
          <w:color w:val="auto"/>
        </w:rPr>
        <w:t>FINRA</w:t>
      </w:r>
      <w:r>
        <w:rPr>
          <w:rFonts w:ascii="Arial" w:cs="Arial" w:eastAsia="Arial" w:hAnsi="Arial"/>
          <w:sz w:val="16"/>
          <w:szCs w:val="16"/>
          <w:color w:val="auto"/>
        </w:rPr>
        <w:t>) on August 13, 2014, and became effective on the OTCQB at the opening of trading on August 14, 2014. Each reference to shares of common stock or the price per share of common stock in these financial statements is post-Stock Consolidation, and reflects the 1-for-20 adjustment as a result of the Stock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A Preferred Stock</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2011, our Board of Directors authorized the creation of a series of up to 500,000 shares of Series A Preferred, par value $0.001 (</w:t>
      </w:r>
      <w:r>
        <w:rPr>
          <w:rFonts w:ascii="Arial" w:cs="Arial" w:eastAsia="Arial" w:hAnsi="Arial"/>
          <w:sz w:val="18"/>
          <w:szCs w:val="18"/>
          <w:i w:val="1"/>
          <w:iCs w:val="1"/>
          <w:color w:val="auto"/>
        </w:rPr>
        <w:t>Series A</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Each restricted share of Series A Preferred was initially convertible at the option of the holder into one-half of one restricted share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Series A Preferred ranks prior to the common stock for purposes of liquidation preference.</w:t>
      </w:r>
    </w:p>
    <w:p>
      <w:pPr>
        <w:spacing w:after="0" w:line="21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event of the liquidation, dissolution or winding up of the affairs of the Company, after payment or provision for payment of our debts and other liabilities, the holders of Series A Preferred then outstanding shall be entitled to receive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At March 31, 2015 and 2014, there were 500,000 restricted shares of Series A Preferred outstanding, all issued to Platinum or its affiliates.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81" w:lineRule="exact"/>
        <w:rPr>
          <w:sz w:val="20"/>
          <w:szCs w:val="20"/>
          <w:color w:val="auto"/>
        </w:rPr>
      </w:pPr>
    </w:p>
    <w:p>
      <w:pPr>
        <w:ind w:left="1260" w:hanging="645"/>
        <w:spacing w:after="0"/>
        <w:tabs>
          <w:tab w:leader="none" w:pos="126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December 2011 Common Stock Exchange Agreement with Platinum</w:t>
      </w:r>
    </w:p>
    <w:p>
      <w:pPr>
        <w:spacing w:after="0" w:line="240" w:lineRule="exact"/>
        <w:rPr>
          <w:rFonts w:ascii="Arial" w:cs="Arial" w:eastAsia="Arial" w:hAnsi="Arial"/>
          <w:sz w:val="18"/>
          <w:szCs w:val="18"/>
          <w:b w:val="1"/>
          <w:bCs w:val="1"/>
          <w:i w:val="1"/>
          <w:iCs w:val="1"/>
          <w:color w:val="auto"/>
        </w:rPr>
      </w:pPr>
    </w:p>
    <w:p>
      <w:pPr>
        <w:jc w:val="both"/>
        <w:ind w:left="1260"/>
        <w:spacing w:after="0" w:line="310" w:lineRule="auto"/>
        <w:rPr>
          <w:rFonts w:ascii="Arial" w:cs="Arial" w:eastAsia="Arial" w:hAnsi="Arial"/>
          <w:sz w:val="18"/>
          <w:szCs w:val="18"/>
          <w:b w:val="1"/>
          <w:bCs w:val="1"/>
          <w:i w:val="1"/>
          <w:iCs w:val="1"/>
          <w:color w:val="auto"/>
        </w:rPr>
      </w:pPr>
      <w:r>
        <w:rPr>
          <w:rFonts w:ascii="Arial" w:cs="Arial" w:eastAsia="Arial" w:hAnsi="Arial"/>
          <w:sz w:val="15"/>
          <w:szCs w:val="15"/>
          <w:color w:val="auto"/>
        </w:rPr>
        <w:t xml:space="preserve">On December 22, 2011, we entered into a Common Stock Exchange Agreement (the </w:t>
      </w:r>
      <w:r>
        <w:rPr>
          <w:rFonts w:ascii="Arial" w:cs="Arial" w:eastAsia="Arial" w:hAnsi="Arial"/>
          <w:sz w:val="15"/>
          <w:szCs w:val="15"/>
          <w:i w:val="1"/>
          <w:iCs w:val="1"/>
          <w:color w:val="auto"/>
        </w:rPr>
        <w:t>Exchange Agreement</w:t>
      </w:r>
      <w:r>
        <w:rPr>
          <w:rFonts w:ascii="Arial" w:cs="Arial" w:eastAsia="Arial" w:hAnsi="Arial"/>
          <w:sz w:val="15"/>
          <w:szCs w:val="15"/>
          <w:color w:val="auto"/>
        </w:rPr>
        <w:t xml:space="preserve">") with Platinum, pursuant to which Platinum converted 24,200 restricted shares of our common stock into 45,980 restricted shares of Series A Preferred (the </w:t>
      </w:r>
      <w:r>
        <w:rPr>
          <w:rFonts w:ascii="Arial" w:cs="Arial" w:eastAsia="Arial" w:hAnsi="Arial"/>
          <w:sz w:val="15"/>
          <w:szCs w:val="15"/>
          <w:i w:val="1"/>
          <w:iCs w:val="1"/>
          <w:color w:val="auto"/>
        </w:rPr>
        <w:t>Exchange</w:t>
      </w:r>
      <w:r>
        <w:rPr>
          <w:rFonts w:ascii="Arial" w:cs="Arial" w:eastAsia="Arial" w:hAnsi="Arial"/>
          <w:sz w:val="15"/>
          <w:szCs w:val="15"/>
          <w:color w:val="auto"/>
        </w:rPr>
        <w:t>). Each restricted share of Series A Preferred issued to Platinum was initially convertible into ten restricted shares of our common stock. At the time of the Exchange, we determined the fair value of the common stock subject to the Exchange to be $31.00 per share and have reflected the 24,200 restricted common shares as treasury stock on that basis in the accompanying Consolidated Balance Sheet at March 31, 2015 and 2014.</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26" w:name="page127"/>
    <w:bookmarkEnd w:id="12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hanging="645"/>
        <w:spacing w:after="0"/>
        <w:tabs>
          <w:tab w:leader="none" w:pos="12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December 2011 Note and Warrant Exchange Agreement with Platinum</w:t>
      </w:r>
    </w:p>
    <w:p>
      <w:pPr>
        <w:spacing w:after="0" w:line="240" w:lineRule="exact"/>
        <w:rPr>
          <w:rFonts w:ascii="Arial" w:cs="Arial" w:eastAsia="Arial" w:hAnsi="Arial"/>
          <w:sz w:val="18"/>
          <w:szCs w:val="18"/>
          <w:b w:val="1"/>
          <w:bCs w:val="1"/>
          <w:i w:val="1"/>
          <w:iCs w:val="1"/>
          <w:color w:val="auto"/>
        </w:rPr>
      </w:pPr>
    </w:p>
    <w:p>
      <w:pPr>
        <w:jc w:val="both"/>
        <w:ind w:left="1260"/>
        <w:spacing w:after="0" w:line="281" w:lineRule="auto"/>
        <w:rPr>
          <w:rFonts w:ascii="Arial" w:cs="Arial" w:eastAsia="Arial" w:hAnsi="Arial"/>
          <w:sz w:val="18"/>
          <w:szCs w:val="18"/>
          <w:b w:val="1"/>
          <w:bCs w:val="1"/>
          <w:i w:val="1"/>
          <w:iCs w:val="1"/>
          <w:color w:val="auto"/>
        </w:rPr>
      </w:pPr>
      <w:r>
        <w:rPr>
          <w:rFonts w:ascii="Arial" w:cs="Arial" w:eastAsia="Arial" w:hAnsi="Arial"/>
          <w:sz w:val="16"/>
          <w:szCs w:val="16"/>
          <w:color w:val="auto"/>
        </w:rPr>
        <w:t>On December 29, 2011, we entered into a Note and Warrant Exchange Agreement with Platinum pursuant to which a promissory note in the face amount of $4,000,000 plus accrued interest and all outstanding warrants issued to Platinum to purchase an aggregate of 79,993 restricted shares of our common stock were cancelled in exchange for 391,075 restricted shares of Series A Preferred. Each share of Series A Preferred was initially convertible into one-half of one share of our common stock. We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79,993 outstanding warrants held by Platinum, and a contractual conversion basis of $35.00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194" w:lineRule="exact"/>
        <w:rPr>
          <w:rFonts w:ascii="Arial" w:cs="Arial" w:eastAsia="Arial" w:hAnsi="Arial"/>
          <w:sz w:val="18"/>
          <w:szCs w:val="18"/>
          <w:b w:val="1"/>
          <w:bCs w:val="1"/>
          <w:i w:val="1"/>
          <w:iCs w:val="1"/>
          <w:color w:val="auto"/>
        </w:rPr>
      </w:pPr>
    </w:p>
    <w:p>
      <w:pPr>
        <w:ind w:left="1260" w:hanging="645"/>
        <w:spacing w:after="0"/>
        <w:tabs>
          <w:tab w:leader="none" w:pos="12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2012 Exchange Agreement with Platinum</w:t>
      </w:r>
    </w:p>
    <w:p>
      <w:pPr>
        <w:spacing w:after="0" w:line="240" w:lineRule="exact"/>
        <w:rPr>
          <w:rFonts w:ascii="Arial" w:cs="Arial" w:eastAsia="Arial" w:hAnsi="Arial"/>
          <w:sz w:val="18"/>
          <w:szCs w:val="18"/>
          <w:b w:val="1"/>
          <w:bCs w:val="1"/>
          <w:i w:val="1"/>
          <w:iCs w:val="1"/>
          <w:color w:val="auto"/>
        </w:rPr>
      </w:pPr>
    </w:p>
    <w:p>
      <w:pPr>
        <w:jc w:val="both"/>
        <w:ind w:left="1260"/>
        <w:spacing w:after="0" w:line="284" w:lineRule="auto"/>
        <w:rPr>
          <w:rFonts w:ascii="Arial" w:cs="Arial" w:eastAsia="Arial" w:hAnsi="Arial"/>
          <w:sz w:val="18"/>
          <w:szCs w:val="18"/>
          <w:b w:val="1"/>
          <w:bCs w:val="1"/>
          <w:i w:val="1"/>
          <w:iCs w:val="1"/>
          <w:color w:val="auto"/>
        </w:rPr>
      </w:pPr>
      <w:r>
        <w:rPr>
          <w:rFonts w:ascii="Arial" w:cs="Arial" w:eastAsia="Arial" w:hAnsi="Arial"/>
          <w:sz w:val="16"/>
          <w:szCs w:val="16"/>
          <w:color w:val="auto"/>
        </w:rPr>
        <w:t xml:space="preserve">On June 29, 2012, we entered into an Exchange Agreement (the </w:t>
      </w:r>
      <w:r>
        <w:rPr>
          <w:rFonts w:ascii="Arial" w:cs="Arial" w:eastAsia="Arial" w:hAnsi="Arial"/>
          <w:sz w:val="16"/>
          <w:szCs w:val="16"/>
          <w:i w:val="1"/>
          <w:iCs w:val="1"/>
          <w:color w:val="auto"/>
        </w:rPr>
        <w:t>2012 Platinum Exchange Agreement</w:t>
      </w:r>
      <w:r>
        <w:rPr>
          <w:rFonts w:ascii="Arial" w:cs="Arial" w:eastAsia="Arial" w:hAnsi="Arial"/>
          <w:sz w:val="16"/>
          <w:szCs w:val="16"/>
          <w:color w:val="auto"/>
        </w:rPr>
        <w:t>) with Platinum pursuant to which we issued Platinum 62,945 restricted shares of Series A Preferred in exchange for 31,473 restricted shares of our common stock then owned by Platinum, in consideration for Platinum’s agreement to purchase from us a senior secured convertible promissory note in the face amount of $500,000. We estimated the fair value of the Series A Preferred shares tendered to Platinum under the terms of the 2012 Platinum Exchange Agreement at $736,400 ($23.40 per share on a common share equivalent basis). The common shares exchanged for shares of Series A Preferred are treated as treasury stock on that basis in the accompanying Consolidated Balance Sheet at March 31, 2015 and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Series A Preferred Exchange Right</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Pursuant to the October 2012 Agreement described more completely in Note 8,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Platinum’s exchange rights in the Series A Preferred were modified such that Platinum now has the right and option to exchange the 500,000 restricted shares of our Series A Preferred that it holds for (i) a total of 750,000 restricted shares of our common stock, and (ii) a five-year warrant to purchase 350,000 restricted shares of our common stock, originally at an exercise price of $30.00 per share (</w:t>
      </w:r>
      <w:r>
        <w:rPr>
          <w:rFonts w:ascii="Arial" w:cs="Arial" w:eastAsia="Arial" w:hAnsi="Arial"/>
          <w:sz w:val="16"/>
          <w:szCs w:val="16"/>
          <w:i w:val="1"/>
          <w:iCs w:val="1"/>
          <w:color w:val="auto"/>
        </w:rPr>
        <w:t>Series A Exchange Warrant</w:t>
      </w:r>
      <w:r>
        <w:rPr>
          <w:rFonts w:ascii="Arial" w:cs="Arial" w:eastAsia="Arial" w:hAnsi="Arial"/>
          <w:sz w:val="16"/>
          <w:szCs w:val="16"/>
          <w:color w:val="auto"/>
        </w:rPr>
        <w:t xml:space="preserve">). The Series A Exchange Warrant, when issued, will have the same features, including exercise price and anti-dilution provisions as the Exchange Warrant and the Investment Warrants issued to Platinum between October 2012 and July 2013 (collectively, the </w:t>
      </w:r>
      <w:r>
        <w:rPr>
          <w:rFonts w:ascii="Arial" w:cs="Arial" w:eastAsia="Arial" w:hAnsi="Arial"/>
          <w:sz w:val="16"/>
          <w:szCs w:val="16"/>
          <w:i w:val="1"/>
          <w:iCs w:val="1"/>
          <w:color w:val="auto"/>
        </w:rPr>
        <w:t>Platinum Warrants</w:t>
      </w:r>
      <w:r>
        <w:rPr>
          <w:rFonts w:ascii="Arial" w:cs="Arial" w:eastAsia="Arial" w:hAnsi="Arial"/>
          <w:sz w:val="16"/>
          <w:szCs w:val="16"/>
          <w:color w:val="auto"/>
        </w:rPr>
        <w:t xml:space="preserve">) and accordingly, has been treated as a component of Warrant Liability in our Consolidated Balance Sheets since the effective date of the October 2012 Agreement. Effective on May 24, 2013, we entered into an Amendment and Waiver Agreement (the </w:t>
      </w:r>
      <w:r>
        <w:rPr>
          <w:rFonts w:ascii="Arial" w:cs="Arial" w:eastAsia="Arial" w:hAnsi="Arial"/>
          <w:sz w:val="16"/>
          <w:szCs w:val="16"/>
          <w:i w:val="1"/>
          <w:iCs w:val="1"/>
          <w:color w:val="auto"/>
        </w:rPr>
        <w:t>Amendment and Waiver</w:t>
      </w:r>
      <w:r>
        <w:rPr>
          <w:rFonts w:ascii="Arial" w:cs="Arial" w:eastAsia="Arial" w:hAnsi="Arial"/>
          <w:sz w:val="16"/>
          <w:szCs w:val="16"/>
          <w:color w:val="auto"/>
        </w:rPr>
        <w:t>) with Platinum pursuant to which we agreed to reduce the exercise price of the Platinum Warrants and the Series A Exchange Warrant from $30.00 per share to $10.00 per share in consideration for Platinum’s agreement to waive certain of its rights under the anti-dilution provisions of the Platinum Warrants and the Series A Exchange Warrant. See the section entitled Modification of Platinum Warrants, later in this note, for a more complete description of the Amendment and Waiver.</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Similarly to the Platinum Warrants, we remeasure the fair value of the Series A Exchange Warrant at each quarterly reporting period and reflect the change in its fair value as a component of the Change in Warrant Liability in the Consolidated Statement of Operations. The fair value of the Series A Exchange Warrant was determined to be $2,198,400 and $2,058,600 as of March 31, 2015 and 2014, respectively, and the $139,800 increase in fair value since March 31, 2014 is reflected as a component of the Change in Warrant Liability in the accompanying Consolidated Statement of Operations and Comprehensive Loss for the fiscal year ended March 31, 2015.</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27" w:name="page128"/>
    <w:bookmarkEnd w:id="12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As described in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Creation of Series B Preferred Stock</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17, 2014, our Board of Directors authorized the creation of a class of Series B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to provide for the potential conversion of the Senior Secured Convertible Promissory Notes held by Platinum totaling approximately $4.3 million in principal and accrued interest at December 31, 2014 (</w:t>
      </w:r>
      <w:r>
        <w:rPr>
          <w:rFonts w:ascii="Arial" w:cs="Arial" w:eastAsia="Arial" w:hAnsi="Arial"/>
          <w:sz w:val="16"/>
          <w:szCs w:val="16"/>
          <w:i w:val="1"/>
          <w:iCs w:val="1"/>
          <w:color w:val="auto"/>
        </w:rPr>
        <w:t>Outstanding Balance</w:t>
      </w:r>
      <w:r>
        <w:rPr>
          <w:rFonts w:ascii="Arial" w:cs="Arial" w:eastAsia="Arial" w:hAnsi="Arial"/>
          <w:sz w:val="16"/>
          <w:szCs w:val="16"/>
          <w:color w:val="auto"/>
        </w:rPr>
        <w:t xml:space="preserve">) into Series B Preferred. At March 31, 2015, we had not yet filed a certificate of designation with the Nevada Secretary of State to amend our Articles of Incorporation to formally establish the Series B Preferred. Refer to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information regarding the filing of a Certificate of Designation for the Series B Preferred with the Nevada Secretary of State and the issuance of Series B Preferred in May and June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Unit Private Placement</w:t>
      </w:r>
    </w:p>
    <w:p>
      <w:pPr>
        <w:spacing w:after="0" w:line="24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Between late-March 2014 and March 31, 2015, we entered into securities purchase agreements with accredited investors, including Platinum, pursuant to which we sold units to such accredited investors in private placement transactions (</w:t>
      </w:r>
      <w:r>
        <w:rPr>
          <w:rFonts w:ascii="Arial" w:cs="Arial" w:eastAsia="Arial" w:hAnsi="Arial"/>
          <w:sz w:val="16"/>
          <w:szCs w:val="16"/>
          <w:i w:val="1"/>
          <w:iCs w:val="1"/>
          <w:color w:val="auto"/>
        </w:rPr>
        <w:t>2014 Units</w:t>
      </w:r>
      <w:r>
        <w:rPr>
          <w:rFonts w:ascii="Arial" w:cs="Arial" w:eastAsia="Arial" w:hAnsi="Arial"/>
          <w:sz w:val="16"/>
          <w:szCs w:val="16"/>
          <w:color w:val="auto"/>
        </w:rPr>
        <w:t>), for aggregate cash proceeds of $3,113,500, consisting of (i) 2014 Unit Notes in the aggregate face amount of $3,113,500 which are due on March 31, 2015 or automatically convertible into securities we may issue upon the consummation of a Qualified Financing, defined as (a) an equity-based public financing registered with the SEC, or (b) a private equity-based financing or series of private equity-based financings, in either case in which we receive at least $10 million in gross cash proceeds prior to March 31, 2015; (ii) an aggregate of 282,850 restricted shares of our common stock (</w:t>
      </w:r>
      <w:r>
        <w:rPr>
          <w:rFonts w:ascii="Arial" w:cs="Arial" w:eastAsia="Arial" w:hAnsi="Arial"/>
          <w:sz w:val="16"/>
          <w:szCs w:val="16"/>
          <w:i w:val="1"/>
          <w:iCs w:val="1"/>
          <w:color w:val="auto"/>
        </w:rPr>
        <w:t>2014 Unit Stock)</w:t>
      </w:r>
      <w:r>
        <w:rPr>
          <w:rFonts w:ascii="Arial" w:cs="Arial" w:eastAsia="Arial" w:hAnsi="Arial"/>
          <w:sz w:val="16"/>
          <w:szCs w:val="16"/>
          <w:color w:val="auto"/>
        </w:rPr>
        <w:t>; and (iii) warrants exercisable through December 31, 2016 to purchase an aggregate of 282,850 restricted shares of our common stock at an exercise price of $10.00 per share (</w:t>
      </w:r>
      <w:r>
        <w:rPr>
          <w:rFonts w:ascii="Arial" w:cs="Arial" w:eastAsia="Arial" w:hAnsi="Arial"/>
          <w:sz w:val="16"/>
          <w:szCs w:val="16"/>
          <w:i w:val="1"/>
          <w:iCs w:val="1"/>
          <w:color w:val="auto"/>
        </w:rPr>
        <w:t>2014 Unit Warrants</w:t>
      </w:r>
      <w:r>
        <w:rPr>
          <w:rFonts w:ascii="Arial" w:cs="Arial" w:eastAsia="Arial" w:hAnsi="Arial"/>
          <w:sz w:val="16"/>
          <w:szCs w:val="16"/>
          <w:color w:val="auto"/>
        </w:rPr>
        <w:t xml:space="preserve">). We sold $1,250,000 of such Units to Platinum, issuing 2014 Unit Notes in the face amount of $1,250,000; 125,000 restricted shares of 2014 Unit Stock and 2014 Unit Warrants to purchase 125,000 shares of our common stock to Platinum. The Outstanding Balance of each 2014 Unit Notes is convertible into shares of our common stock at a conversion price of $10.00 per share at or prior to maturity, at the option of each investor. In addition, however, the Outstanding Balance is automatically convertible into securities substantially similar to those we may issue in a Qualified Financing at an amount determined by multiplying the Outstanding Balance by 1.25, and dividing the resulting number by the price per share of securities offered in the Qualified Financing. Under certain circumstances, the holders of the 2014 Unit Notes may request payment in cash in lieu of automatic conversion into the securities of the Qualified Financing. We sold $50,000 of 2014 Units prior to March 31, 2014, which Units are reflected in the figures above. See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information regarding additional sales of 2014 Unit Notes in April and May 2015 and the conversion of the 2014 Unit Notes pursuant to a private placement financing in May 2015.</w:t>
      </w:r>
    </w:p>
    <w:p>
      <w:pPr>
        <w:spacing w:after="0" w:line="20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We allocated the proceeds from the sale of the 2014 Units to the various securities based on their relative fair values on the dates of the sales. As described in Note 8, </w:t>
      </w:r>
      <w:r>
        <w:rPr>
          <w:rFonts w:ascii="Arial" w:cs="Arial" w:eastAsia="Arial" w:hAnsi="Arial"/>
          <w:sz w:val="16"/>
          <w:szCs w:val="16"/>
          <w:i w:val="1"/>
          <w:iCs w:val="1"/>
          <w:color w:val="auto"/>
        </w:rPr>
        <w:t>Convertible PromissoryNotes and Other Notes Payable</w:t>
      </w:r>
      <w:r>
        <w:rPr>
          <w:rFonts w:ascii="Arial" w:cs="Arial" w:eastAsia="Arial" w:hAnsi="Arial"/>
          <w:sz w:val="16"/>
          <w:szCs w:val="16"/>
          <w:color w:val="auto"/>
        </w:rPr>
        <w:t>, based on the short-term nature of the Unit Notes, we determined that fair value of the 2014 Unit Notes was equal to their face value. We determined the fair value of the 2014 Unit Stock based on the quoted market price of our 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592"/>
              <w:spacing w:after="0"/>
              <w:rPr>
                <w:sz w:val="20"/>
                <w:szCs w:val="20"/>
                <w:color w:val="auto"/>
              </w:rPr>
            </w:pPr>
            <w:r>
              <w:rPr>
                <w:rFonts w:ascii="Arial" w:cs="Arial" w:eastAsia="Arial" w:hAnsi="Arial"/>
                <w:sz w:val="18"/>
                <w:szCs w:val="18"/>
                <w:color w:val="auto"/>
                <w:w w:val="89"/>
              </w:rPr>
              <w:t>Unit Warrants</w:t>
            </w: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80" w:type="dxa"/>
            <w:vAlign w:val="bottom"/>
            <w:gridSpan w:val="7"/>
          </w:tcPr>
          <w:p>
            <w:pPr>
              <w:ind w:left="320"/>
              <w:spacing w:after="0"/>
              <w:rPr>
                <w:sz w:val="20"/>
                <w:szCs w:val="20"/>
                <w:color w:val="auto"/>
              </w:rPr>
            </w:pPr>
            <w:r>
              <w:rPr>
                <w:rFonts w:ascii="Arial" w:cs="Arial" w:eastAsia="Arial" w:hAnsi="Arial"/>
                <w:sz w:val="18"/>
                <w:szCs w:val="18"/>
                <w:color w:val="auto"/>
                <w:w w:val="95"/>
              </w:rPr>
              <w:t>Weighted Average Issuance Date Valuation Assumptions</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w w:val="87"/>
              </w:rPr>
              <w:t>Per Share Aggregate</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Aggregate</w:t>
            </w:r>
          </w:p>
        </w:tc>
        <w:tc>
          <w:tcPr>
            <w:tcW w:w="2820" w:type="dxa"/>
            <w:vAlign w:val="bottom"/>
            <w:gridSpan w:val="4"/>
          </w:tcPr>
          <w:p>
            <w:pPr>
              <w:jc w:val="center"/>
              <w:ind w:right="80"/>
              <w:spacing w:after="0"/>
              <w:rPr>
                <w:sz w:val="20"/>
                <w:szCs w:val="20"/>
                <w:color w:val="auto"/>
              </w:rPr>
            </w:pPr>
            <w:r>
              <w:rPr>
                <w:rFonts w:ascii="Arial" w:cs="Arial" w:eastAsia="Arial" w:hAnsi="Arial"/>
                <w:sz w:val="18"/>
                <w:szCs w:val="18"/>
                <w:color w:val="auto"/>
                <w:w w:val="89"/>
              </w:rPr>
              <w:t>Aggregate Allocation of Proceeds</w:t>
            </w:r>
          </w:p>
        </w:tc>
        <w:tc>
          <w:tcPr>
            <w:tcW w:w="0" w:type="dxa"/>
            <w:vAlign w:val="bottom"/>
          </w:tcPr>
          <w:p>
            <w:pPr>
              <w:spacing w:after="0"/>
              <w:rPr>
                <w:sz w:val="1"/>
                <w:szCs w:val="1"/>
                <w:color w:val="auto"/>
              </w:rPr>
            </w:pPr>
          </w:p>
        </w:tc>
      </w:tr>
      <w:tr>
        <w:trPr>
          <w:trHeight w:val="191"/>
        </w:trPr>
        <w:tc>
          <w:tcPr>
            <w:tcW w:w="1080" w:type="dxa"/>
            <w:vAlign w:val="bottom"/>
          </w:tcPr>
          <w:p>
            <w:pPr>
              <w:jc w:val="center"/>
              <w:spacing w:after="0" w:line="184" w:lineRule="exact"/>
              <w:rPr>
                <w:sz w:val="20"/>
                <w:szCs w:val="20"/>
                <w:color w:val="auto"/>
              </w:rPr>
            </w:pPr>
            <w:r>
              <w:rPr>
                <w:rFonts w:ascii="Arial" w:cs="Arial" w:eastAsia="Arial" w:hAnsi="Arial"/>
                <w:sz w:val="18"/>
                <w:szCs w:val="18"/>
                <w:color w:val="auto"/>
                <w:w w:val="87"/>
              </w:rPr>
              <w:t>Warrant</w:t>
            </w:r>
          </w:p>
        </w:tc>
        <w:tc>
          <w:tcPr>
            <w:tcW w:w="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Risk free</w:t>
            </w:r>
          </w:p>
        </w:tc>
        <w:tc>
          <w:tcPr>
            <w:tcW w:w="8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center"/>
              <w:spacing w:after="0" w:line="184" w:lineRule="exact"/>
              <w:rPr>
                <w:sz w:val="20"/>
                <w:szCs w:val="20"/>
                <w:color w:val="auto"/>
              </w:rPr>
            </w:pPr>
            <w:r>
              <w:rPr>
                <w:rFonts w:ascii="Arial" w:cs="Arial" w:eastAsia="Arial" w:hAnsi="Arial"/>
                <w:sz w:val="18"/>
                <w:szCs w:val="18"/>
                <w:color w:val="auto"/>
                <w:w w:val="90"/>
              </w:rPr>
              <w:t>Fair</w:t>
            </w:r>
          </w:p>
        </w:tc>
        <w:tc>
          <w:tcPr>
            <w:tcW w:w="1000" w:type="dxa"/>
            <w:vAlign w:val="bottom"/>
            <w:gridSpan w:val="2"/>
          </w:tcPr>
          <w:p>
            <w:pPr>
              <w:jc w:val="center"/>
              <w:ind w:right="140"/>
              <w:spacing w:after="0" w:line="184" w:lineRule="exact"/>
              <w:rPr>
                <w:sz w:val="20"/>
                <w:szCs w:val="20"/>
                <w:color w:val="auto"/>
              </w:rPr>
            </w:pPr>
            <w:r>
              <w:rPr>
                <w:rFonts w:ascii="Arial" w:cs="Arial" w:eastAsia="Arial" w:hAnsi="Arial"/>
                <w:sz w:val="18"/>
                <w:szCs w:val="18"/>
                <w:color w:val="auto"/>
                <w:w w:val="90"/>
              </w:rPr>
              <w:t>Fair Value</w:t>
            </w:r>
          </w:p>
        </w:tc>
        <w:tc>
          <w:tcPr>
            <w:tcW w:w="980" w:type="dxa"/>
            <w:vAlign w:val="bottom"/>
            <w:gridSpan w:val="2"/>
          </w:tcPr>
          <w:p>
            <w:pPr>
              <w:jc w:val="center"/>
              <w:ind w:right="140"/>
              <w:spacing w:after="0" w:line="184" w:lineRule="exact"/>
              <w:rPr>
                <w:sz w:val="20"/>
                <w:szCs w:val="20"/>
                <w:color w:val="auto"/>
              </w:rPr>
            </w:pPr>
            <w:r>
              <w:rPr>
                <w:rFonts w:ascii="Arial" w:cs="Arial" w:eastAsia="Arial" w:hAnsi="Arial"/>
                <w:sz w:val="18"/>
                <w:szCs w:val="18"/>
                <w:color w:val="auto"/>
                <w:w w:val="84"/>
              </w:rPr>
              <w:t>Proceeds</w:t>
            </w:r>
          </w:p>
        </w:tc>
        <w:tc>
          <w:tcPr>
            <w:tcW w:w="2820" w:type="dxa"/>
            <w:vAlign w:val="bottom"/>
            <w:gridSpan w:val="4"/>
          </w:tcPr>
          <w:p>
            <w:pPr>
              <w:jc w:val="center"/>
              <w:ind w:right="60"/>
              <w:spacing w:after="0" w:line="184" w:lineRule="exact"/>
              <w:rPr>
                <w:sz w:val="20"/>
                <w:szCs w:val="20"/>
                <w:color w:val="auto"/>
              </w:rPr>
            </w:pPr>
            <w:r>
              <w:rPr>
                <w:rFonts w:ascii="Arial" w:cs="Arial" w:eastAsia="Arial" w:hAnsi="Arial"/>
                <w:sz w:val="18"/>
                <w:szCs w:val="18"/>
                <w:color w:val="auto"/>
                <w:w w:val="88"/>
              </w:rPr>
              <w:t>Based on Relative Fair Value of:</w:t>
            </w:r>
          </w:p>
        </w:tc>
        <w:tc>
          <w:tcPr>
            <w:tcW w:w="0" w:type="dxa"/>
            <w:vAlign w:val="bottom"/>
          </w:tcPr>
          <w:p>
            <w:pPr>
              <w:spacing w:after="0"/>
              <w:rPr>
                <w:sz w:val="1"/>
                <w:szCs w:val="1"/>
                <w:color w:val="auto"/>
              </w:rPr>
            </w:pPr>
          </w:p>
        </w:tc>
      </w:tr>
      <w:tr>
        <w:trPr>
          <w:trHeight w:val="198"/>
        </w:trPr>
        <w:tc>
          <w:tcPr>
            <w:tcW w:w="1120" w:type="dxa"/>
            <w:vAlign w:val="bottom"/>
            <w:gridSpan w:val="2"/>
          </w:tcPr>
          <w:p>
            <w:pPr>
              <w:jc w:val="center"/>
              <w:ind w:right="20"/>
              <w:spacing w:after="0" w:line="198" w:lineRule="exact"/>
              <w:rPr>
                <w:sz w:val="20"/>
                <w:szCs w:val="20"/>
                <w:color w:val="auto"/>
              </w:rPr>
            </w:pPr>
            <w:r>
              <w:rPr>
                <w:rFonts w:ascii="Arial" w:cs="Arial" w:eastAsia="Arial" w:hAnsi="Arial"/>
                <w:sz w:val="18"/>
                <w:szCs w:val="18"/>
                <w:color w:val="auto"/>
                <w:w w:val="80"/>
              </w:rPr>
              <w:t>Shares</w:t>
            </w:r>
          </w:p>
        </w:tc>
        <w:tc>
          <w:tcPr>
            <w:tcW w:w="640" w:type="dxa"/>
            <w:vAlign w:val="bottom"/>
          </w:tcPr>
          <w:p>
            <w:pPr>
              <w:jc w:val="center"/>
              <w:spacing w:after="0" w:line="198" w:lineRule="exact"/>
              <w:rPr>
                <w:sz w:val="20"/>
                <w:szCs w:val="20"/>
                <w:color w:val="auto"/>
              </w:rPr>
            </w:pPr>
            <w:r>
              <w:rPr>
                <w:rFonts w:ascii="Arial" w:cs="Arial" w:eastAsia="Arial" w:hAnsi="Arial"/>
                <w:sz w:val="18"/>
                <w:szCs w:val="18"/>
                <w:color w:val="auto"/>
                <w:w w:val="94"/>
              </w:rPr>
              <w:t>Market</w:t>
            </w:r>
          </w:p>
        </w:tc>
        <w:tc>
          <w:tcPr>
            <w:tcW w:w="780" w:type="dxa"/>
            <w:vAlign w:val="bottom"/>
          </w:tcPr>
          <w:p>
            <w:pPr>
              <w:jc w:val="center"/>
              <w:ind w:right="12"/>
              <w:spacing w:after="0" w:line="198" w:lineRule="exact"/>
              <w:rPr>
                <w:sz w:val="20"/>
                <w:szCs w:val="20"/>
                <w:color w:val="auto"/>
              </w:rPr>
            </w:pPr>
            <w:r>
              <w:rPr>
                <w:rFonts w:ascii="Arial" w:cs="Arial" w:eastAsia="Arial" w:hAnsi="Arial"/>
                <w:sz w:val="18"/>
                <w:szCs w:val="18"/>
                <w:color w:val="auto"/>
                <w:w w:val="86"/>
              </w:rPr>
              <w:t>Exercise</w:t>
            </w:r>
          </w:p>
        </w:tc>
        <w:tc>
          <w:tcPr>
            <w:tcW w:w="740" w:type="dxa"/>
            <w:vAlign w:val="bottom"/>
          </w:tcPr>
          <w:p>
            <w:pPr>
              <w:jc w:val="center"/>
              <w:spacing w:after="0" w:line="198" w:lineRule="exact"/>
              <w:rPr>
                <w:sz w:val="20"/>
                <w:szCs w:val="20"/>
                <w:color w:val="auto"/>
              </w:rPr>
            </w:pPr>
            <w:r>
              <w:rPr>
                <w:rFonts w:ascii="Arial" w:cs="Arial" w:eastAsia="Arial" w:hAnsi="Arial"/>
                <w:sz w:val="18"/>
                <w:szCs w:val="18"/>
                <w:color w:val="auto"/>
                <w:w w:val="85"/>
              </w:rPr>
              <w:t>Term</w:t>
            </w:r>
          </w:p>
        </w:tc>
        <w:tc>
          <w:tcPr>
            <w:tcW w:w="860" w:type="dxa"/>
            <w:vAlign w:val="bottom"/>
          </w:tcPr>
          <w:p>
            <w:pPr>
              <w:jc w:val="center"/>
              <w:spacing w:after="0" w:line="198" w:lineRule="exact"/>
              <w:rPr>
                <w:sz w:val="20"/>
                <w:szCs w:val="20"/>
                <w:color w:val="auto"/>
              </w:rPr>
            </w:pPr>
            <w:r>
              <w:rPr>
                <w:rFonts w:ascii="Arial" w:cs="Arial" w:eastAsia="Arial" w:hAnsi="Arial"/>
                <w:sz w:val="18"/>
                <w:szCs w:val="18"/>
                <w:color w:val="auto"/>
                <w:w w:val="86"/>
              </w:rPr>
              <w:t>Interest</w:t>
            </w:r>
          </w:p>
        </w:tc>
        <w:tc>
          <w:tcPr>
            <w:tcW w:w="820" w:type="dxa"/>
            <w:vAlign w:val="bottom"/>
          </w:tcPr>
          <w:p>
            <w:pPr>
              <w:spacing w:after="0"/>
              <w:rPr>
                <w:sz w:val="17"/>
                <w:szCs w:val="17"/>
                <w:color w:val="auto"/>
              </w:rPr>
            </w:pPr>
          </w:p>
        </w:tc>
        <w:tc>
          <w:tcPr>
            <w:tcW w:w="840" w:type="dxa"/>
            <w:vAlign w:val="bottom"/>
            <w:gridSpan w:val="2"/>
          </w:tcPr>
          <w:p>
            <w:pPr>
              <w:jc w:val="center"/>
              <w:ind w:right="60"/>
              <w:spacing w:after="0" w:line="198" w:lineRule="exact"/>
              <w:rPr>
                <w:sz w:val="20"/>
                <w:szCs w:val="20"/>
                <w:color w:val="auto"/>
              </w:rPr>
            </w:pPr>
            <w:r>
              <w:rPr>
                <w:rFonts w:ascii="Arial" w:cs="Arial" w:eastAsia="Arial" w:hAnsi="Arial"/>
                <w:sz w:val="18"/>
                <w:szCs w:val="18"/>
                <w:color w:val="auto"/>
                <w:w w:val="94"/>
              </w:rPr>
              <w:t>Dividend</w:t>
            </w:r>
          </w:p>
        </w:tc>
        <w:tc>
          <w:tcPr>
            <w:tcW w:w="840" w:type="dxa"/>
            <w:vAlign w:val="bottom"/>
          </w:tcPr>
          <w:p>
            <w:pPr>
              <w:jc w:val="center"/>
              <w:ind w:right="12"/>
              <w:spacing w:after="0" w:line="198" w:lineRule="exact"/>
              <w:rPr>
                <w:sz w:val="20"/>
                <w:szCs w:val="20"/>
                <w:color w:val="auto"/>
              </w:rPr>
            </w:pPr>
            <w:r>
              <w:rPr>
                <w:rFonts w:ascii="Arial" w:cs="Arial" w:eastAsia="Arial" w:hAnsi="Arial"/>
                <w:sz w:val="18"/>
                <w:szCs w:val="18"/>
                <w:color w:val="auto"/>
                <w:w w:val="87"/>
              </w:rPr>
              <w:t>Value of</w:t>
            </w:r>
          </w:p>
        </w:tc>
        <w:tc>
          <w:tcPr>
            <w:tcW w:w="1000" w:type="dxa"/>
            <w:vAlign w:val="bottom"/>
            <w:gridSpan w:val="2"/>
          </w:tcPr>
          <w:p>
            <w:pPr>
              <w:jc w:val="center"/>
              <w:ind w:right="140"/>
              <w:spacing w:after="0" w:line="198" w:lineRule="exact"/>
              <w:rPr>
                <w:sz w:val="20"/>
                <w:szCs w:val="20"/>
                <w:color w:val="auto"/>
              </w:rPr>
            </w:pPr>
            <w:r>
              <w:rPr>
                <w:rFonts w:ascii="Arial" w:cs="Arial" w:eastAsia="Arial" w:hAnsi="Arial"/>
                <w:sz w:val="18"/>
                <w:szCs w:val="18"/>
                <w:color w:val="auto"/>
                <w:w w:val="96"/>
              </w:rPr>
              <w:t>of Unit</w:t>
            </w:r>
          </w:p>
        </w:tc>
        <w:tc>
          <w:tcPr>
            <w:tcW w:w="920" w:type="dxa"/>
            <w:vAlign w:val="bottom"/>
          </w:tcPr>
          <w:p>
            <w:pPr>
              <w:jc w:val="center"/>
              <w:spacing w:after="0" w:line="198" w:lineRule="exact"/>
              <w:rPr>
                <w:sz w:val="20"/>
                <w:szCs w:val="20"/>
                <w:color w:val="auto"/>
              </w:rPr>
            </w:pPr>
            <w:r>
              <w:rPr>
                <w:rFonts w:ascii="Arial" w:cs="Arial" w:eastAsia="Arial" w:hAnsi="Arial"/>
                <w:sz w:val="18"/>
                <w:szCs w:val="18"/>
                <w:color w:val="auto"/>
                <w:w w:val="96"/>
              </w:rPr>
              <w:t>of Unit</w:t>
            </w:r>
          </w:p>
        </w:tc>
        <w:tc>
          <w:tcPr>
            <w:tcW w:w="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right="52"/>
              <w:spacing w:after="0" w:line="198" w:lineRule="exact"/>
              <w:rPr>
                <w:sz w:val="20"/>
                <w:szCs w:val="20"/>
                <w:color w:val="auto"/>
              </w:rPr>
            </w:pPr>
            <w:r>
              <w:rPr>
                <w:rFonts w:ascii="Arial" w:cs="Arial" w:eastAsia="Arial" w:hAnsi="Arial"/>
                <w:sz w:val="18"/>
                <w:szCs w:val="18"/>
                <w:color w:val="auto"/>
                <w:w w:val="93"/>
              </w:rPr>
              <w:t>Unit</w:t>
            </w: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82"/>
              </w:rPr>
              <w:t>Issued</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87"/>
              </w:rPr>
              <w:t>Price</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(Years)</w:t>
            </w:r>
          </w:p>
        </w:tc>
        <w:tc>
          <w:tcPr>
            <w:tcW w:w="860" w:type="dxa"/>
            <w:vAlign w:val="bottom"/>
          </w:tcPr>
          <w:p>
            <w:pPr>
              <w:jc w:val="center"/>
              <w:spacing w:after="0"/>
              <w:rPr>
                <w:sz w:val="20"/>
                <w:szCs w:val="20"/>
                <w:color w:val="auto"/>
              </w:rPr>
            </w:pPr>
            <w:r>
              <w:rPr>
                <w:rFonts w:ascii="Arial" w:cs="Arial" w:eastAsia="Arial" w:hAnsi="Arial"/>
                <w:sz w:val="18"/>
                <w:szCs w:val="18"/>
                <w:color w:val="auto"/>
                <w:w w:val="84"/>
              </w:rPr>
              <w:t>Rate</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w w:val="98"/>
              </w:rPr>
              <w:t>Volatility</w:t>
            </w:r>
          </w:p>
        </w:tc>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Rate</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Warrant</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Warrants</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Sales</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w w:val="97"/>
              </w:rPr>
              <w:t>Unit Stock</w:t>
            </w:r>
          </w:p>
        </w:tc>
        <w:tc>
          <w:tcPr>
            <w:tcW w:w="840" w:type="dxa"/>
            <w:vAlign w:val="bottom"/>
          </w:tcPr>
          <w:p>
            <w:pPr>
              <w:jc w:val="center"/>
              <w:ind w:right="72"/>
              <w:spacing w:after="0"/>
              <w:rPr>
                <w:sz w:val="20"/>
                <w:szCs w:val="20"/>
                <w:color w:val="auto"/>
              </w:rPr>
            </w:pPr>
            <w:r>
              <w:rPr>
                <w:rFonts w:ascii="Arial" w:cs="Arial" w:eastAsia="Arial" w:hAnsi="Arial"/>
                <w:sz w:val="18"/>
                <w:szCs w:val="18"/>
                <w:color w:val="auto"/>
                <w:w w:val="87"/>
              </w:rPr>
              <w:t>Warrant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Unit Note</w:t>
            </w:r>
          </w:p>
        </w:tc>
        <w:tc>
          <w:tcPr>
            <w:tcW w:w="0" w:type="dxa"/>
            <w:vAlign w:val="bottom"/>
          </w:tcPr>
          <w:p>
            <w:pPr>
              <w:spacing w:after="0"/>
              <w:rPr>
                <w:sz w:val="1"/>
                <w:szCs w:val="1"/>
                <w:color w:val="auto"/>
              </w:rPr>
            </w:pPr>
          </w:p>
        </w:tc>
      </w:tr>
      <w:tr>
        <w:trPr>
          <w:trHeight w:val="211"/>
        </w:trPr>
        <w:tc>
          <w:tcPr>
            <w:tcW w:w="10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282,850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$1,027,000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$3,133,500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$454,200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28" w:name="page129"/>
    <w:bookmarkEnd w:id="12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Unit Private Placement</w:t>
      </w:r>
    </w:p>
    <w:p>
      <w:pPr>
        <w:spacing w:after="0" w:line="24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Between August 2013 and March 2014, we entered into securities purchase agreements with accredited investors pursuant to which we sold units to such accredited investors in private placement transactions (</w:t>
      </w:r>
      <w:r>
        <w:rPr>
          <w:rFonts w:ascii="Arial" w:cs="Arial" w:eastAsia="Arial" w:hAnsi="Arial"/>
          <w:sz w:val="16"/>
          <w:szCs w:val="16"/>
          <w:i w:val="1"/>
          <w:iCs w:val="1"/>
          <w:color w:val="auto"/>
        </w:rPr>
        <w:t>2013 Units</w:t>
      </w:r>
      <w:r>
        <w:rPr>
          <w:rFonts w:ascii="Arial" w:cs="Arial" w:eastAsia="Arial" w:hAnsi="Arial"/>
          <w:sz w:val="16"/>
          <w:szCs w:val="16"/>
          <w:color w:val="auto"/>
        </w:rPr>
        <w:t>), for aggregate cash proceeds of $1,007,500, including $50,000 in lieu of repayment of previous advances to us made by one of our executive officers. The 2013 Units consisted of (i) 10% convertible promissory notes in the aggregate face amount of $1,007,500 maturing on July 30, 2014 (</w:t>
      </w:r>
      <w:r>
        <w:rPr>
          <w:rFonts w:ascii="Arial" w:cs="Arial" w:eastAsia="Arial" w:hAnsi="Arial"/>
          <w:sz w:val="16"/>
          <w:szCs w:val="16"/>
          <w:i w:val="1"/>
          <w:iCs w:val="1"/>
          <w:color w:val="auto"/>
        </w:rPr>
        <w:t>2013 Unit Notes)</w:t>
      </w:r>
      <w:r>
        <w:rPr>
          <w:rFonts w:ascii="Arial" w:cs="Arial" w:eastAsia="Arial" w:hAnsi="Arial"/>
          <w:sz w:val="16"/>
          <w:szCs w:val="16"/>
          <w:color w:val="auto"/>
        </w:rPr>
        <w:t xml:space="preserve"> (ii) an aggregate 100,750 restricted shares of our common stock (</w:t>
      </w:r>
      <w:r>
        <w:rPr>
          <w:rFonts w:ascii="Arial" w:cs="Arial" w:eastAsia="Arial" w:hAnsi="Arial"/>
          <w:sz w:val="16"/>
          <w:szCs w:val="16"/>
          <w:i w:val="1"/>
          <w:iCs w:val="1"/>
          <w:color w:val="auto"/>
        </w:rPr>
        <w:t>2013 Unit Stock</w:t>
      </w:r>
      <w:r>
        <w:rPr>
          <w:rFonts w:ascii="Arial" w:cs="Arial" w:eastAsia="Arial" w:hAnsi="Arial"/>
          <w:sz w:val="16"/>
          <w:szCs w:val="16"/>
          <w:color w:val="auto"/>
        </w:rPr>
        <w:t>); and (iii) warrants exercisable through July 30, 2016 to purchase an aggregate of 100,750 restricted shares of our common stock at an exercise price of $20.00 per share (</w:t>
      </w:r>
      <w:r>
        <w:rPr>
          <w:rFonts w:ascii="Arial" w:cs="Arial" w:eastAsia="Arial" w:hAnsi="Arial"/>
          <w:sz w:val="16"/>
          <w:szCs w:val="16"/>
          <w:i w:val="1"/>
          <w:iCs w:val="1"/>
          <w:color w:val="auto"/>
        </w:rPr>
        <w:t>2013 Unit</w:t>
      </w:r>
      <w:r>
        <w:rPr>
          <w:rFonts w:ascii="Arial" w:cs="Arial" w:eastAsia="Arial" w:hAnsi="Arial"/>
          <w:sz w:val="16"/>
          <w:szCs w:val="16"/>
          <w:color w:val="auto"/>
        </w:rPr>
        <w:t xml:space="preserve"> </w:t>
      </w:r>
      <w:r>
        <w:rPr>
          <w:rFonts w:ascii="Arial" w:cs="Arial" w:eastAsia="Arial" w:hAnsi="Arial"/>
          <w:sz w:val="16"/>
          <w:szCs w:val="16"/>
          <w:i w:val="1"/>
          <w:iCs w:val="1"/>
          <w:color w:val="auto"/>
        </w:rPr>
        <w:t>Warrants</w:t>
      </w:r>
      <w:r>
        <w:rPr>
          <w:rFonts w:ascii="Arial" w:cs="Arial" w:eastAsia="Arial" w:hAnsi="Arial"/>
          <w:sz w:val="16"/>
          <w:szCs w:val="16"/>
          <w:color w:val="auto"/>
        </w:rPr>
        <w:t>). The 2013 Unit Notes and related accrued interest were convertible into restricted shares of our common stock at a conversion price of $10.00 per share</w:t>
      </w:r>
      <w:r>
        <w:rPr>
          <w:rFonts w:ascii="Arial" w:cs="Arial" w:eastAsia="Arial" w:hAnsi="Arial"/>
          <w:sz w:val="16"/>
          <w:szCs w:val="16"/>
          <w:i w:val="1"/>
          <w:iCs w:val="1"/>
          <w:color w:val="auto"/>
        </w:rPr>
        <w:t xml:space="preserve"> </w:t>
      </w:r>
      <w:r>
        <w:rPr>
          <w:rFonts w:ascii="Arial" w:cs="Arial" w:eastAsia="Arial" w:hAnsi="Arial"/>
          <w:sz w:val="16"/>
          <w:szCs w:val="16"/>
          <w:color w:val="auto"/>
        </w:rPr>
        <w:t>at or prior to maturity, at the option of each investor.</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We allocated the proceeds from the sale of the 2013 Units to the various securities in each 2013 Unit based on their relative fair value on the dates of the sales. As described in Note 8, </w:t>
      </w:r>
      <w:r>
        <w:rPr>
          <w:rFonts w:ascii="Arial" w:cs="Arial" w:eastAsia="Arial" w:hAnsi="Arial"/>
          <w:sz w:val="16"/>
          <w:szCs w:val="16"/>
          <w:i w:val="1"/>
          <w:iCs w:val="1"/>
          <w:color w:val="auto"/>
        </w:rPr>
        <w:t>Convertible PromissoryNotes and Other Notes Payable</w:t>
      </w:r>
      <w:r>
        <w:rPr>
          <w:rFonts w:ascii="Arial" w:cs="Arial" w:eastAsia="Arial" w:hAnsi="Arial"/>
          <w:sz w:val="16"/>
          <w:szCs w:val="16"/>
          <w:color w:val="auto"/>
        </w:rPr>
        <w:t>, based on the short-term nature of the 2013 Unit Notes, we determined that fair value of the 2013 Unit Notes was equal to their face value. We determined the fair value of the 2013 Unit Stock based on the quoted market price of our common stock on the date of the 2013 Unit sale. We calculated the fair value of the 2013 Unit Warrants using the Black Scholes Option Pricing Model and the weighted average assumptions indicated in the table below. The table below also presents the aggregate allocation of the 2013 Unit sales proceeds based on the relative fair values of the 2013 Unit Stock, 2013 Unit Warrants and 2013 Unit Notes at the respective 2013 Unit sales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8"/>
                <w:szCs w:val="18"/>
                <w:color w:val="auto"/>
              </w:rPr>
              <w:t>2013Unit Warrants</w:t>
            </w:r>
          </w:p>
        </w:tc>
        <w:tc>
          <w:tcPr>
            <w:tcW w:w="8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7"/>
        </w:trPr>
        <w:tc>
          <w:tcPr>
            <w:tcW w:w="1100" w:type="dxa"/>
            <w:vAlign w:val="bottom"/>
          </w:tcPr>
          <w:p>
            <w:pPr>
              <w:spacing w:after="0"/>
              <w:rPr>
                <w:sz w:val="18"/>
                <w:szCs w:val="18"/>
                <w:color w:val="auto"/>
              </w:rPr>
            </w:pPr>
          </w:p>
        </w:tc>
        <w:tc>
          <w:tcPr>
            <w:tcW w:w="4780" w:type="dxa"/>
            <w:vAlign w:val="bottom"/>
            <w:gridSpan w:val="7"/>
          </w:tcPr>
          <w:p>
            <w:pPr>
              <w:ind w:left="380"/>
              <w:spacing w:after="0"/>
              <w:rPr>
                <w:sz w:val="20"/>
                <w:szCs w:val="20"/>
                <w:color w:val="auto"/>
              </w:rPr>
            </w:pPr>
            <w:r>
              <w:rPr>
                <w:rFonts w:ascii="Arial" w:cs="Arial" w:eastAsia="Arial" w:hAnsi="Arial"/>
                <w:sz w:val="18"/>
                <w:szCs w:val="18"/>
                <w:color w:val="auto"/>
                <w:w w:val="95"/>
              </w:rPr>
              <w:t>Weighted Average Issuance Date Valuation Assumptions</w:t>
            </w:r>
          </w:p>
        </w:tc>
        <w:tc>
          <w:tcPr>
            <w:tcW w:w="1660" w:type="dxa"/>
            <w:vAlign w:val="bottom"/>
            <w:gridSpan w:val="2"/>
          </w:tcPr>
          <w:p>
            <w:pPr>
              <w:jc w:val="right"/>
              <w:ind w:right="72"/>
              <w:spacing w:after="0"/>
              <w:rPr>
                <w:sz w:val="20"/>
                <w:szCs w:val="20"/>
                <w:color w:val="auto"/>
              </w:rPr>
            </w:pPr>
            <w:r>
              <w:rPr>
                <w:rFonts w:ascii="Arial" w:cs="Arial" w:eastAsia="Arial" w:hAnsi="Arial"/>
                <w:sz w:val="18"/>
                <w:szCs w:val="18"/>
                <w:color w:val="auto"/>
                <w:w w:val="87"/>
              </w:rPr>
              <w:t>Per Share Aggregate</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Aggregate</w:t>
            </w:r>
          </w:p>
        </w:tc>
        <w:tc>
          <w:tcPr>
            <w:tcW w:w="2800" w:type="dxa"/>
            <w:vAlign w:val="bottom"/>
            <w:gridSpan w:val="3"/>
          </w:tcPr>
          <w:p>
            <w:pPr>
              <w:jc w:val="center"/>
              <w:spacing w:after="0"/>
              <w:rPr>
                <w:sz w:val="20"/>
                <w:szCs w:val="20"/>
                <w:color w:val="auto"/>
              </w:rPr>
            </w:pPr>
            <w:r>
              <w:rPr>
                <w:rFonts w:ascii="Arial" w:cs="Arial" w:eastAsia="Arial" w:hAnsi="Arial"/>
                <w:sz w:val="18"/>
                <w:szCs w:val="18"/>
                <w:color w:val="auto"/>
                <w:w w:val="89"/>
              </w:rPr>
              <w:t>Aggregate Allocation of Proceeds</w:t>
            </w:r>
          </w:p>
        </w:tc>
      </w:tr>
      <w:tr>
        <w:trPr>
          <w:trHeight w:val="191"/>
        </w:trPr>
        <w:tc>
          <w:tcPr>
            <w:tcW w:w="1100" w:type="dxa"/>
            <w:vAlign w:val="bottom"/>
          </w:tcPr>
          <w:p>
            <w:pPr>
              <w:jc w:val="center"/>
              <w:spacing w:after="0" w:line="184" w:lineRule="exact"/>
              <w:rPr>
                <w:sz w:val="20"/>
                <w:szCs w:val="20"/>
                <w:color w:val="auto"/>
              </w:rPr>
            </w:pPr>
            <w:r>
              <w:rPr>
                <w:rFonts w:ascii="Arial" w:cs="Arial" w:eastAsia="Arial" w:hAnsi="Arial"/>
                <w:sz w:val="18"/>
                <w:szCs w:val="18"/>
                <w:color w:val="auto"/>
                <w:w w:val="87"/>
              </w:rPr>
              <w:t>Warrant</w:t>
            </w:r>
          </w:p>
        </w:tc>
        <w:tc>
          <w:tcPr>
            <w:tcW w:w="6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Risk free</w:t>
            </w:r>
          </w:p>
        </w:tc>
        <w:tc>
          <w:tcPr>
            <w:tcW w:w="8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jc w:val="center"/>
              <w:ind w:right="12"/>
              <w:spacing w:after="0" w:line="184" w:lineRule="exact"/>
              <w:rPr>
                <w:sz w:val="20"/>
                <w:szCs w:val="20"/>
                <w:color w:val="auto"/>
              </w:rPr>
            </w:pPr>
            <w:r>
              <w:rPr>
                <w:rFonts w:ascii="Arial" w:cs="Arial" w:eastAsia="Arial" w:hAnsi="Arial"/>
                <w:sz w:val="18"/>
                <w:szCs w:val="18"/>
                <w:color w:val="auto"/>
                <w:w w:val="90"/>
              </w:rPr>
              <w:t>Fair</w:t>
            </w:r>
          </w:p>
        </w:tc>
        <w:tc>
          <w:tcPr>
            <w:tcW w:w="840" w:type="dxa"/>
            <w:vAlign w:val="bottom"/>
          </w:tcPr>
          <w:p>
            <w:pPr>
              <w:jc w:val="center"/>
              <w:spacing w:after="0" w:line="184" w:lineRule="exact"/>
              <w:rPr>
                <w:sz w:val="20"/>
                <w:szCs w:val="20"/>
                <w:color w:val="auto"/>
              </w:rPr>
            </w:pPr>
            <w:r>
              <w:rPr>
                <w:rFonts w:ascii="Arial" w:cs="Arial" w:eastAsia="Arial" w:hAnsi="Arial"/>
                <w:sz w:val="18"/>
                <w:szCs w:val="18"/>
                <w:color w:val="auto"/>
                <w:w w:val="87"/>
              </w:rPr>
              <w:t>Fair Value</w:t>
            </w:r>
          </w:p>
        </w:tc>
        <w:tc>
          <w:tcPr>
            <w:tcW w:w="1080" w:type="dxa"/>
            <w:vAlign w:val="bottom"/>
            <w:gridSpan w:val="2"/>
          </w:tcPr>
          <w:p>
            <w:pPr>
              <w:jc w:val="center"/>
              <w:ind w:right="80"/>
              <w:spacing w:after="0" w:line="184" w:lineRule="exact"/>
              <w:rPr>
                <w:sz w:val="20"/>
                <w:szCs w:val="20"/>
                <w:color w:val="auto"/>
              </w:rPr>
            </w:pPr>
            <w:r>
              <w:rPr>
                <w:rFonts w:ascii="Arial" w:cs="Arial" w:eastAsia="Arial" w:hAnsi="Arial"/>
                <w:sz w:val="18"/>
                <w:szCs w:val="18"/>
                <w:color w:val="auto"/>
                <w:w w:val="84"/>
              </w:rPr>
              <w:t>Proceeds</w:t>
            </w:r>
          </w:p>
        </w:tc>
        <w:tc>
          <w:tcPr>
            <w:tcW w:w="2800" w:type="dxa"/>
            <w:vAlign w:val="bottom"/>
            <w:gridSpan w:val="3"/>
          </w:tcPr>
          <w:p>
            <w:pPr>
              <w:jc w:val="center"/>
              <w:spacing w:after="0" w:line="184" w:lineRule="exact"/>
              <w:rPr>
                <w:sz w:val="20"/>
                <w:szCs w:val="20"/>
                <w:color w:val="auto"/>
              </w:rPr>
            </w:pPr>
            <w:r>
              <w:rPr>
                <w:rFonts w:ascii="Arial" w:cs="Arial" w:eastAsia="Arial" w:hAnsi="Arial"/>
                <w:sz w:val="18"/>
                <w:szCs w:val="18"/>
                <w:color w:val="auto"/>
                <w:w w:val="89"/>
              </w:rPr>
              <w:t>Based on Relative Fair Value of:</w:t>
            </w:r>
          </w:p>
        </w:tc>
      </w:tr>
      <w:tr>
        <w:trPr>
          <w:trHeight w:val="198"/>
        </w:trPr>
        <w:tc>
          <w:tcPr>
            <w:tcW w:w="1100" w:type="dxa"/>
            <w:vAlign w:val="bottom"/>
          </w:tcPr>
          <w:p>
            <w:pPr>
              <w:jc w:val="center"/>
              <w:spacing w:after="0" w:line="198" w:lineRule="exact"/>
              <w:rPr>
                <w:sz w:val="20"/>
                <w:szCs w:val="20"/>
                <w:color w:val="auto"/>
              </w:rPr>
            </w:pPr>
            <w:r>
              <w:rPr>
                <w:rFonts w:ascii="Arial" w:cs="Arial" w:eastAsia="Arial" w:hAnsi="Arial"/>
                <w:sz w:val="18"/>
                <w:szCs w:val="18"/>
                <w:color w:val="auto"/>
                <w:w w:val="80"/>
              </w:rPr>
              <w:t>Shares</w:t>
            </w:r>
          </w:p>
        </w:tc>
        <w:tc>
          <w:tcPr>
            <w:tcW w:w="680" w:type="dxa"/>
            <w:vAlign w:val="bottom"/>
          </w:tcPr>
          <w:p>
            <w:pPr>
              <w:jc w:val="center"/>
              <w:spacing w:after="0" w:line="198" w:lineRule="exact"/>
              <w:rPr>
                <w:sz w:val="20"/>
                <w:szCs w:val="20"/>
                <w:color w:val="auto"/>
              </w:rPr>
            </w:pPr>
            <w:r>
              <w:rPr>
                <w:rFonts w:ascii="Arial" w:cs="Arial" w:eastAsia="Arial" w:hAnsi="Arial"/>
                <w:sz w:val="18"/>
                <w:szCs w:val="18"/>
                <w:color w:val="auto"/>
                <w:w w:val="90"/>
              </w:rPr>
              <w:t>Market</w:t>
            </w:r>
          </w:p>
        </w:tc>
        <w:tc>
          <w:tcPr>
            <w:tcW w:w="800" w:type="dxa"/>
            <w:vAlign w:val="bottom"/>
          </w:tcPr>
          <w:p>
            <w:pPr>
              <w:jc w:val="center"/>
              <w:ind w:right="32"/>
              <w:spacing w:after="0" w:line="198" w:lineRule="exact"/>
              <w:rPr>
                <w:sz w:val="20"/>
                <w:szCs w:val="20"/>
                <w:color w:val="auto"/>
              </w:rPr>
            </w:pPr>
            <w:r>
              <w:rPr>
                <w:rFonts w:ascii="Arial" w:cs="Arial" w:eastAsia="Arial" w:hAnsi="Arial"/>
                <w:sz w:val="18"/>
                <w:szCs w:val="18"/>
                <w:color w:val="auto"/>
                <w:w w:val="86"/>
              </w:rPr>
              <w:t>Exercise</w:t>
            </w:r>
          </w:p>
        </w:tc>
        <w:tc>
          <w:tcPr>
            <w:tcW w:w="780" w:type="dxa"/>
            <w:vAlign w:val="bottom"/>
          </w:tcPr>
          <w:p>
            <w:pPr>
              <w:jc w:val="center"/>
              <w:ind w:right="32"/>
              <w:spacing w:after="0" w:line="198" w:lineRule="exact"/>
              <w:rPr>
                <w:sz w:val="20"/>
                <w:szCs w:val="20"/>
                <w:color w:val="auto"/>
              </w:rPr>
            </w:pPr>
            <w:r>
              <w:rPr>
                <w:rFonts w:ascii="Arial" w:cs="Arial" w:eastAsia="Arial" w:hAnsi="Arial"/>
                <w:sz w:val="18"/>
                <w:szCs w:val="18"/>
                <w:color w:val="auto"/>
                <w:w w:val="90"/>
              </w:rPr>
              <w:t>Term</w:t>
            </w:r>
          </w:p>
        </w:tc>
        <w:tc>
          <w:tcPr>
            <w:tcW w:w="820" w:type="dxa"/>
            <w:vAlign w:val="bottom"/>
          </w:tcPr>
          <w:p>
            <w:pPr>
              <w:jc w:val="center"/>
              <w:spacing w:after="0" w:line="198" w:lineRule="exact"/>
              <w:rPr>
                <w:sz w:val="20"/>
                <w:szCs w:val="20"/>
                <w:color w:val="auto"/>
              </w:rPr>
            </w:pPr>
            <w:r>
              <w:rPr>
                <w:rFonts w:ascii="Arial" w:cs="Arial" w:eastAsia="Arial" w:hAnsi="Arial"/>
                <w:sz w:val="18"/>
                <w:szCs w:val="18"/>
                <w:color w:val="auto"/>
                <w:w w:val="89"/>
              </w:rPr>
              <w:t>Interest</w:t>
            </w:r>
          </w:p>
        </w:tc>
        <w:tc>
          <w:tcPr>
            <w:tcW w:w="860" w:type="dxa"/>
            <w:vAlign w:val="bottom"/>
          </w:tcPr>
          <w:p>
            <w:pPr>
              <w:spacing w:after="0"/>
              <w:rPr>
                <w:sz w:val="17"/>
                <w:szCs w:val="17"/>
                <w:color w:val="auto"/>
              </w:rPr>
            </w:pPr>
          </w:p>
        </w:tc>
        <w:tc>
          <w:tcPr>
            <w:tcW w:w="840" w:type="dxa"/>
            <w:vAlign w:val="bottom"/>
            <w:gridSpan w:val="2"/>
          </w:tcPr>
          <w:p>
            <w:pPr>
              <w:jc w:val="center"/>
              <w:ind w:right="100"/>
              <w:spacing w:after="0" w:line="198" w:lineRule="exact"/>
              <w:rPr>
                <w:sz w:val="20"/>
                <w:szCs w:val="20"/>
                <w:color w:val="auto"/>
              </w:rPr>
            </w:pPr>
            <w:r>
              <w:rPr>
                <w:rFonts w:ascii="Arial" w:cs="Arial" w:eastAsia="Arial" w:hAnsi="Arial"/>
                <w:sz w:val="18"/>
                <w:szCs w:val="18"/>
                <w:color w:val="auto"/>
                <w:w w:val="94"/>
              </w:rPr>
              <w:t>Dividend</w:t>
            </w:r>
          </w:p>
        </w:tc>
        <w:tc>
          <w:tcPr>
            <w:tcW w:w="820" w:type="dxa"/>
            <w:vAlign w:val="bottom"/>
          </w:tcPr>
          <w:p>
            <w:pPr>
              <w:jc w:val="center"/>
              <w:spacing w:after="0" w:line="198" w:lineRule="exact"/>
              <w:rPr>
                <w:sz w:val="20"/>
                <w:szCs w:val="20"/>
                <w:color w:val="auto"/>
              </w:rPr>
            </w:pPr>
            <w:r>
              <w:rPr>
                <w:rFonts w:ascii="Arial" w:cs="Arial" w:eastAsia="Arial" w:hAnsi="Arial"/>
                <w:sz w:val="18"/>
                <w:szCs w:val="18"/>
                <w:color w:val="auto"/>
                <w:w w:val="87"/>
              </w:rPr>
              <w:t>Value of</w:t>
            </w:r>
          </w:p>
        </w:tc>
        <w:tc>
          <w:tcPr>
            <w:tcW w:w="840" w:type="dxa"/>
            <w:vAlign w:val="bottom"/>
          </w:tcPr>
          <w:p>
            <w:pPr>
              <w:jc w:val="center"/>
              <w:spacing w:after="0" w:line="198" w:lineRule="exact"/>
              <w:rPr>
                <w:sz w:val="20"/>
                <w:szCs w:val="20"/>
                <w:color w:val="auto"/>
              </w:rPr>
            </w:pPr>
            <w:r>
              <w:rPr>
                <w:rFonts w:ascii="Arial" w:cs="Arial" w:eastAsia="Arial" w:hAnsi="Arial"/>
                <w:sz w:val="18"/>
                <w:szCs w:val="18"/>
                <w:color w:val="auto"/>
                <w:w w:val="96"/>
              </w:rPr>
              <w:t>of Unit</w:t>
            </w:r>
          </w:p>
        </w:tc>
        <w:tc>
          <w:tcPr>
            <w:tcW w:w="1020" w:type="dxa"/>
            <w:vAlign w:val="bottom"/>
          </w:tcPr>
          <w:p>
            <w:pPr>
              <w:jc w:val="center"/>
              <w:spacing w:after="0" w:line="198" w:lineRule="exact"/>
              <w:rPr>
                <w:sz w:val="20"/>
                <w:szCs w:val="20"/>
                <w:color w:val="auto"/>
              </w:rPr>
            </w:pPr>
            <w:r>
              <w:rPr>
                <w:rFonts w:ascii="Arial" w:cs="Arial" w:eastAsia="Arial" w:hAnsi="Arial"/>
                <w:sz w:val="18"/>
                <w:szCs w:val="18"/>
                <w:color w:val="auto"/>
                <w:w w:val="96"/>
              </w:rPr>
              <w:t>of Unit</w:t>
            </w:r>
          </w:p>
        </w:tc>
        <w:tc>
          <w:tcPr>
            <w:tcW w:w="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2"/>
              <w:spacing w:after="0" w:line="198" w:lineRule="exact"/>
              <w:rPr>
                <w:sz w:val="20"/>
                <w:szCs w:val="20"/>
                <w:color w:val="auto"/>
              </w:rPr>
            </w:pPr>
            <w:r>
              <w:rPr>
                <w:rFonts w:ascii="Arial" w:cs="Arial" w:eastAsia="Arial" w:hAnsi="Arial"/>
                <w:sz w:val="18"/>
                <w:szCs w:val="18"/>
                <w:color w:val="auto"/>
                <w:w w:val="99"/>
              </w:rPr>
              <w:t>Unit</w:t>
            </w:r>
          </w:p>
        </w:tc>
        <w:tc>
          <w:tcPr>
            <w:tcW w:w="900" w:type="dxa"/>
            <w:vAlign w:val="bottom"/>
            <w:tcBorders>
              <w:top w:val="single" w:sz="8" w:color="auto"/>
            </w:tcBorders>
          </w:tcPr>
          <w:p>
            <w:pPr>
              <w:spacing w:after="0"/>
              <w:rPr>
                <w:sz w:val="17"/>
                <w:szCs w:val="17"/>
                <w:color w:val="auto"/>
              </w:rPr>
            </w:pPr>
          </w:p>
        </w:tc>
      </w:tr>
      <w:tr>
        <w:trPr>
          <w:trHeight w:val="229"/>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Price</w:t>
            </w: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Price</w:t>
            </w:r>
          </w:p>
        </w:tc>
        <w:tc>
          <w:tcPr>
            <w:tcW w:w="7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(Years)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Volatility</w:t>
            </w:r>
          </w:p>
        </w:tc>
        <w:tc>
          <w:tcPr>
            <w:tcW w:w="8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4"/>
              </w:rPr>
              <w:t>Rate</w:t>
            </w: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Warrant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Warrants</w:t>
            </w:r>
          </w:p>
        </w:tc>
        <w:tc>
          <w:tcPr>
            <w:tcW w:w="10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4"/>
              </w:rPr>
              <w:t>Sales</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5"/>
              </w:rPr>
              <w:t>Unit Stock</w:t>
            </w: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7"/>
              </w:rPr>
              <w:t>Warrant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Unit Note</w:t>
            </w:r>
          </w:p>
        </w:tc>
      </w:tr>
      <w:tr>
        <w:trPr>
          <w:trHeight w:val="211"/>
        </w:trPr>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100,750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$254,700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$1,007,500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$481,100</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2013 Unit Notes and 2013 Unit Warrants</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indicated in Note 8</w:t>
      </w:r>
      <w:r>
        <w:rPr>
          <w:rFonts w:ascii="Arial" w:cs="Arial" w:eastAsia="Arial" w:hAnsi="Arial"/>
          <w:sz w:val="16"/>
          <w:szCs w:val="16"/>
          <w:i w:val="1"/>
          <w:iCs w:val="1"/>
          <w:color w:val="auto"/>
        </w:rPr>
        <w:t>, Convertible Promissory Notes and Other Notes Payable</w:t>
      </w:r>
      <w:r>
        <w:rPr>
          <w:rFonts w:ascii="Arial" w:cs="Arial" w:eastAsia="Arial" w:hAnsi="Arial"/>
          <w:sz w:val="16"/>
          <w:szCs w:val="16"/>
          <w:color w:val="auto"/>
        </w:rPr>
        <w:t>, effective May 31, 2014, we entered into note and warrant amendment agreements with substantially all holders of 2013 Unit Notes and 2013 Unit Warrants to (i) modify certain terms of their 2013 Unit Notes, including the maturity date and certain conversion features, to conform to the corresponding terms of the 2014 Unit Notes and (ii) to modify certain terms of the 2013 Unit Warrants, including the exercise price and expiration date, to conform to the corresponding terms of the 2014 Unit Warrants. Holders of 2013 Unit Notes having an aggregate initial face amount of $895,000 and warrants to purchase an aggregate of 93,250 restricted shares of our common stock agreed to the amendments.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29" w:name="page130"/>
    <w:bookmarkEnd w:id="12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calculated the fair value of the modified 2013 Unit Warrants immediately before and after the modifications and determined that the fair value of the warrants increased by an aggregate of $272,900, which we treated as a component of loss on extinguishment of debt in the accompanying Condensed Consolidated Statements of Operations and Comprehensive Loss with a corresponding credit to additional paid-in capital, an equity account. The warrants subject to the exercise price modifications were valued using the Black-Scholes Option Pricing Model and the following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Pre-</w:t>
            </w:r>
          </w:p>
        </w:tc>
        <w:tc>
          <w:tcPr>
            <w:tcW w:w="10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Post-</w:t>
            </w:r>
          </w:p>
        </w:tc>
      </w:tr>
      <w:tr>
        <w:trPr>
          <w:trHeight w:val="235"/>
        </w:trPr>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modification</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5"/>
              </w:rPr>
              <w:t>modification</w:t>
            </w:r>
          </w:p>
        </w:tc>
        <w:tc>
          <w:tcPr>
            <w:tcW w:w="100" w:type="dxa"/>
            <w:vAlign w:val="bottom"/>
          </w:tcPr>
          <w:p>
            <w:pPr>
              <w:spacing w:after="0"/>
              <w:rPr>
                <w:sz w:val="20"/>
                <w:szCs w:val="20"/>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r>
      <w:tr>
        <w:trPr>
          <w:trHeight w:val="211"/>
        </w:trPr>
        <w:tc>
          <w:tcPr>
            <w:tcW w:w="86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r>
      <w:tr>
        <w:trPr>
          <w:trHeight w:val="211"/>
        </w:trPr>
        <w:tc>
          <w:tcPr>
            <w:tcW w:w="868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r>
      <w:tr>
        <w:trPr>
          <w:trHeight w:val="211"/>
        </w:trPr>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1"/>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8680" w:type="dxa"/>
            <w:vAlign w:val="bottom"/>
          </w:tcPr>
          <w:p>
            <w:pPr>
              <w:spacing w:after="0"/>
              <w:rPr>
                <w:sz w:val="20"/>
                <w:szCs w:val="20"/>
                <w:color w:val="auto"/>
              </w:rPr>
            </w:pPr>
            <w:r>
              <w:rPr>
                <w:rFonts w:ascii="Arial" w:cs="Arial" w:eastAsia="Arial" w:hAnsi="Arial"/>
                <w:sz w:val="18"/>
                <w:szCs w:val="18"/>
                <w:b w:val="1"/>
                <w:bCs w:val="1"/>
                <w:color w:val="auto"/>
              </w:rPr>
              <w:t>Fair Value per share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3.73</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6.65</w:t>
            </w:r>
          </w:p>
        </w:tc>
      </w:tr>
      <w:tr>
        <w:trPr>
          <w:trHeight w:val="429"/>
        </w:trPr>
        <w:tc>
          <w:tcPr>
            <w:tcW w:w="8680" w:type="dxa"/>
            <w:vAlign w:val="bottom"/>
          </w:tcPr>
          <w:p>
            <w:pPr>
              <w:spacing w:after="0"/>
              <w:rPr>
                <w:sz w:val="20"/>
                <w:szCs w:val="20"/>
                <w:color w:val="auto"/>
              </w:rPr>
            </w:pPr>
            <w:r>
              <w:rPr>
                <w:rFonts w:ascii="Arial" w:cs="Arial" w:eastAsia="Arial" w:hAnsi="Arial"/>
                <w:sz w:val="18"/>
                <w:szCs w:val="18"/>
                <w:b w:val="1"/>
                <w:bCs w:val="1"/>
                <w:color w:val="auto"/>
                <w:w w:val="96"/>
              </w:rPr>
              <w:t>Issuance of Securities in Satisfaction of Technology License and Maintenance Fees and Patent Expenses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April 2014, we entered into an agreement with Icahn School of Medicine at Mount Sinai (</w:t>
      </w:r>
      <w:r>
        <w:rPr>
          <w:rFonts w:ascii="Arial" w:cs="Arial" w:eastAsia="Arial" w:hAnsi="Arial"/>
          <w:sz w:val="16"/>
          <w:szCs w:val="16"/>
          <w:i w:val="1"/>
          <w:iCs w:val="1"/>
          <w:color w:val="auto"/>
        </w:rPr>
        <w:t>Icahn School</w:t>
      </w:r>
      <w:r>
        <w:rPr>
          <w:rFonts w:ascii="Arial" w:cs="Arial" w:eastAsia="Arial" w:hAnsi="Arial"/>
          <w:sz w:val="16"/>
          <w:szCs w:val="16"/>
          <w:color w:val="auto"/>
        </w:rPr>
        <w:t xml:space="preserve">), one of our long-term stem cell technology licensors, pursuant to which we issued (i) a 10% promissory note in the face amount of $300,000 due on the earlier of December 31, 2014, or the completion of a qualified financing, as defined, (ii) 15,000 restricted shares of our common stock and (iii) 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6"/>
          <w:szCs w:val="16"/>
          <w:i w:val="1"/>
          <w:iCs w:val="1"/>
          <w:color w:val="auto"/>
        </w:rPr>
        <w:t>Icahn School Agreement</w:t>
      </w:r>
      <w:r>
        <w:rPr>
          <w:rFonts w:ascii="Arial" w:cs="Arial" w:eastAsia="Arial" w:hAnsi="Arial"/>
          <w:sz w:val="16"/>
          <w:szCs w:val="16"/>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Icahn School Agreement, an additional $35,800 of license maintenance fees and reimbursable patent prosecution costs were added to the principal amount of the promissory note through March 31, 2015. The note remains outstanding at March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Stock to Consultants</w:t>
      </w:r>
    </w:p>
    <w:p>
      <w:pPr>
        <w:spacing w:after="0" w:line="24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May 2014, we entered into a consulting agreement for strategic advisory and business development services pursuant to which we issued 10,000 restricted shares of our common stock as partial compensation for such professional services. We determined the fair value of stock to be $134,000, based on the $13.40 per share quoted market price of our common stock on the date of the agreement. Additionally, under the terms of the agreement, we paid an aggregate of $80,000 between May 2014 and December 31, 2014 as additional compensation for professional services rendered by the consultant. Effective January 12, 2015, we entered into a new consulting agreement with this consultant for similar services through December 31, 2015 pursuant to which we have issued 20,000 restricted shares of our common stock valued at $160,000, based on the $8.00 per share quoted market price of our common stock on the date of the agreement, and made cash payments of $20,000 as compensation for such professional services.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2015, we entered into a consulting agreement with another consultant for additional advisory and business development services pursuant to which we issued 25,000 restricted shares of our common stock as compensation for such professional services. We determined the fair value of stock to be $175,000, based on the $7.50 per share quoted market price of our common stock on the date of the agreement.</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March 2015, we issued 16,667 shares of our common stock valued at $166,700 to our legal counsel in settlement of direct legal fees related to services provided with respect to our prospective public offering of our equity securities in the fall of 2014 and the Autilion Financing. We recognized a loss of $16,700 with respect to this settlement, which is included in Loss on Extinguishment of Debt in the accompanying Statement of Operations and Comprehensive Loss for the year ended March 31, 2015.</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0" w:name="page131"/>
    <w:bookmarkEnd w:id="13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Warrants to Purchase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Grants and Exercises</w:t>
      </w: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January 2015, when the market price of our common stock was $8.00 per share, our Board of Directors (</w:t>
      </w:r>
      <w:r>
        <w:rPr>
          <w:rFonts w:ascii="Arial" w:cs="Arial" w:eastAsia="Arial" w:hAnsi="Arial"/>
          <w:sz w:val="16"/>
          <w:szCs w:val="16"/>
          <w:i w:val="1"/>
          <w:iCs w:val="1"/>
          <w:color w:val="auto"/>
        </w:rPr>
        <w:t>Board</w:t>
      </w:r>
      <w:r>
        <w:rPr>
          <w:rFonts w:ascii="Arial" w:cs="Arial" w:eastAsia="Arial" w:hAnsi="Arial"/>
          <w:sz w:val="16"/>
          <w:szCs w:val="16"/>
          <w:color w:val="auto"/>
        </w:rPr>
        <w:t>) authorized the grant of fully-vested five-year warrants to purchase an aggregate of 381,000 restricted shares of our common stock at an exercise price of $10.00 per share, including an aggregate of 340,000 such shares to company officers and independent members of the Board. The Board also granted one-year warrants to purchase 5,715 restricted shares of our common stock at an exercise price of $10.00 per share to consultants whose warrants had expired at December 31, 2014. Additionally, the Board extended by one year the expiration date of outstanding warrants to purchase 90,675 shares of our restricted common stock otherwise expiring during calendar 2015 and reduced the exercise price to $15.00 per share for such of those extended term warrants having exercise prices in excess of that amount.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We valued the new warrant grants at $1,756,900 using the Black Scholes Option Pricing Model and the following assumptions: market price per share: $8.00;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exercise price per share: $10.00; risk-free interest rate: 1.45% for five-year warrants and 0.24% for one-year warrants; contractual term: 5 years or 1 year;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volatility: 75.86% for five-year warrants and 69.74% for one-year warrants; expected dividend rate: 0%..</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calculated the fair value of the modified warrants immediately before and after the modifications and determined that the fair value of the warrants increased by $98,400, which is reflected in general and administrative expense in the accompanying Consolidated Statements of Operations and Comprehensive Loss for the fiscal year ended March 31, 2015. The warrants subject to the exercise price modifications and term extensions were valued using the Black-Scholes Option Pricing Model and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Pre-</w:t>
            </w:r>
          </w:p>
        </w:tc>
        <w:tc>
          <w:tcPr>
            <w:tcW w:w="10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Post-</w:t>
            </w:r>
          </w:p>
        </w:tc>
      </w:tr>
      <w:tr>
        <w:trPr>
          <w:trHeight w:val="235"/>
        </w:trPr>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modification</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5"/>
              </w:rPr>
              <w:t>modification</w:t>
            </w:r>
          </w:p>
        </w:tc>
        <w:tc>
          <w:tcPr>
            <w:tcW w:w="100" w:type="dxa"/>
            <w:vAlign w:val="bottom"/>
          </w:tcPr>
          <w:p>
            <w:pPr>
              <w:spacing w:after="0"/>
              <w:rPr>
                <w:sz w:val="20"/>
                <w:szCs w:val="20"/>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11"/>
        </w:trPr>
        <w:tc>
          <w:tcPr>
            <w:tcW w:w="868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r>
      <w:tr>
        <w:trPr>
          <w:trHeight w:val="211"/>
        </w:trPr>
        <w:tc>
          <w:tcPr>
            <w:tcW w:w="8680" w:type="dxa"/>
            <w:vAlign w:val="bottom"/>
          </w:tcPr>
          <w:p>
            <w:pPr>
              <w:spacing w:after="0"/>
              <w:rPr>
                <w:sz w:val="20"/>
                <w:szCs w:val="20"/>
                <w:color w:val="auto"/>
              </w:rPr>
            </w:pPr>
            <w:r>
              <w:rPr>
                <w:rFonts w:ascii="Arial" w:cs="Arial" w:eastAsia="Arial" w:hAnsi="Arial"/>
                <w:sz w:val="18"/>
                <w:szCs w:val="18"/>
                <w:color w:val="auto"/>
              </w:rPr>
              <w:t>Contractual term in years (weighted 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r>
      <w:tr>
        <w:trPr>
          <w:trHeight w:val="211"/>
        </w:trPr>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1"/>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w:t>
            </w:r>
          </w:p>
        </w:tc>
      </w:tr>
    </w:tbl>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March 19, 2014, we granted five-year warrants to purchase an aggregate of 20,750 restricted shares of our unregistered common stock at an exercise price of $10.00 per share to the independent members of our Board and certain of our officers. The warrants became exercisable for 50% of the shares on April 1, 2014, and become exercisable for an additional 25% of the shares on April 1, 2015 and 25% of the shares on April 1, 2016, provided that the warrant will become fully vested upon a change in control of the Company, as defined, or the consummation between us and a third party of a license or sale transaction involving at least one new drug rescue variant. We valued the warrants at $120,800 using the Black Scholes Option Pricing Model and the following assumptions: market price per share: $9.20; exercise price per share: $10.00; risk-free interest rate: 1.75%; contractual term: 5 years; volatility: 80.57%; expected dividend rate: 0%. We recognized stock compensation expense of $54,100 related to the grants in the fourth quarter of the fiscal year ended March 31, 2014 and $27,000 during the fiscal year ended March 31, 2015..</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October 2013, we issued new warrants to purchase an aggregate of 11,875 shares of our restricted common stock to certain former warrant holders whose warrants to purchase an equivalent number of shares of our restricted common stock at an exercise price of $30.00 per share had recently expired. We calculated the fair value of the new warrants as $0.63 per share, using the Black-Scholes Option Pricing Model and the following assumptions. market price per share: $10.00; exercise price per share: $30.00; risk-free interest rate: 0.20%; contractual term: 1.32 years; volatility: 73.5%; and expected dividend rate: 0%. We recorded the aggregate fair value of $7,400 for the new warrants in general and administrative expense in the accompanying Consolidated Statements of Operations and Comprehensive Loss for the fiscal year ended March 31, 2014.</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2013 and October 2013, our Chief Executive Officer partially exercised an outstanding warrant to purchase 2,500 and 500 restricted shares of the Company’s common stock, respectively, at an exercise price of $12.80 per share, and we received cash proceeds of $32,000 and $6,400, respectively, from the exercises.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1" w:name="page132"/>
    <w:bookmarkEnd w:id="13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Warrants Held by Platinum</w:t>
      </w:r>
    </w:p>
    <w:p>
      <w:pPr>
        <w:spacing w:after="0" w:line="24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indicated earlier in this note, effective on May 24, 2013, we entered into an Amendment and Waiver Agreement (</w:t>
      </w:r>
      <w:r>
        <w:rPr>
          <w:rFonts w:ascii="Arial" w:cs="Arial" w:eastAsia="Arial" w:hAnsi="Arial"/>
          <w:sz w:val="16"/>
          <w:szCs w:val="16"/>
          <w:i w:val="1"/>
          <w:iCs w:val="1"/>
          <w:color w:val="auto"/>
        </w:rPr>
        <w:t>Amendment and Waiver</w:t>
      </w:r>
      <w:r>
        <w:rPr>
          <w:rFonts w:ascii="Arial" w:cs="Arial" w:eastAsia="Arial" w:hAnsi="Arial"/>
          <w:sz w:val="16"/>
          <w:szCs w:val="16"/>
          <w:color w:val="auto"/>
        </w:rPr>
        <w:t>) with Platinum pursuant to which we agreed to reduce the exercise price of the Exchange Warrant and the Investment Warrants issued to Platinum between October 2012 and March 2013 (collectively, the “</w:t>
      </w:r>
      <w:r>
        <w:rPr>
          <w:rFonts w:ascii="Arial" w:cs="Arial" w:eastAsia="Arial" w:hAnsi="Arial"/>
          <w:sz w:val="16"/>
          <w:szCs w:val="16"/>
          <w:i w:val="1"/>
          <w:iCs w:val="1"/>
          <w:color w:val="auto"/>
        </w:rPr>
        <w:t>Warrants</w:t>
      </w:r>
      <w:r>
        <w:rPr>
          <w:rFonts w:ascii="Arial" w:cs="Arial" w:eastAsia="Arial" w:hAnsi="Arial"/>
          <w:sz w:val="16"/>
          <w:szCs w:val="16"/>
          <w:color w:val="auto"/>
        </w:rPr>
        <w:t>”)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(i) our sale of shares of our common stock at a price of $10.00 per share in connection with the Autilion Financing; (ii) the March 2013 grant of warrants to certain of our officers and independent directors to purchase an aggregate of 150,000 restricted shares of common stock at an exercise price of $12.80 per share; and (iii) our issuance of restricted shares of our common stock resulting in gross proceeds not to exceed $1.5 million in connection with the exercise by warrant holders, by no later than June 30, 2013, subsequently extended to July 30, 2013, of previously outstanding warrants for which we may reduce the exercise price to not less than $10.00 per share. (See “</w:t>
      </w:r>
      <w:r>
        <w:rPr>
          <w:rFonts w:ascii="Arial" w:cs="Arial" w:eastAsia="Arial" w:hAnsi="Arial"/>
          <w:sz w:val="16"/>
          <w:szCs w:val="16"/>
          <w:i w:val="1"/>
          <w:iCs w:val="1"/>
          <w:color w:val="auto"/>
        </w:rPr>
        <w:t>Other Warrant Modifications and Exercises</w:t>
      </w:r>
      <w:r>
        <w:rPr>
          <w:rFonts w:ascii="Arial" w:cs="Arial" w:eastAsia="Arial" w:hAnsi="Arial"/>
          <w:sz w:val="16"/>
          <w:szCs w:val="16"/>
          <w:color w:val="auto"/>
        </w:rPr>
        <w:t>” below.)</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As described in Note 4,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and in Note 8,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we re-measure the fair value of the Platinum Warrants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We also re-measure at the end of each reporting period the fair value of the Series A Exchange Warrant which is contingently issuable to Platinum upon the exchange of its shares of our Series A Preferred Stock into shares of our restricted common stock. At March 31, 2015 and 2014, we determined the fair values of the Platinum Warrants and the Series A Preferred Exchange Warrant to be a weighted average of $ 5.09.and $5.40 per share, respectively, or an aggregate of $3,008,500 and 2,973,900, which amounts are reflected as Warrant Liability in the accompanying Consolidated Balance Sheets at March 31, 2015 and 2014, respectively. We determined the fair value of the warrants at March 31, 2015 and 2014 using the assumptions indicated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March 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4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r>
      <w:tr>
        <w:trPr>
          <w:trHeight w:val="211"/>
        </w:trPr>
        <w:tc>
          <w:tcPr>
            <w:tcW w:w="54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Market price of common stock</w:t>
            </w:r>
          </w:p>
        </w:tc>
        <w:tc>
          <w:tcPr>
            <w:tcW w:w="2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r>
      <w:tr>
        <w:trPr>
          <w:trHeight w:val="211"/>
        </w:trPr>
        <w:tc>
          <w:tcPr>
            <w:tcW w:w="54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9.80 to $10.00</w:t>
            </w: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0.74% to 1.37%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r>
      <w:tr>
        <w:trPr>
          <w:trHeight w:val="211"/>
        </w:trPr>
        <w:tc>
          <w:tcPr>
            <w:tcW w:w="5460" w:type="dxa"/>
            <w:vAlign w:val="bottom"/>
          </w:tcPr>
          <w:p>
            <w:pPr>
              <w:spacing w:after="0"/>
              <w:rPr>
                <w:sz w:val="20"/>
                <w:szCs w:val="20"/>
                <w:color w:val="auto"/>
              </w:rPr>
            </w:pPr>
            <w:r>
              <w:rPr>
                <w:rFonts w:ascii="Arial" w:cs="Arial" w:eastAsia="Arial" w:hAnsi="Arial"/>
                <w:sz w:val="18"/>
                <w:szCs w:val="18"/>
                <w:color w:val="auto"/>
              </w:rPr>
              <w:t>Volatility</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73.3% to 75.9%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Term (years)</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 to 5.0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 to 5.0</w:t>
            </w:r>
          </w:p>
        </w:tc>
      </w:tr>
      <w:tr>
        <w:trPr>
          <w:trHeight w:val="211"/>
        </w:trPr>
        <w:tc>
          <w:tcPr>
            <w:tcW w:w="5460" w:type="dxa"/>
            <w:vAlign w:val="bottom"/>
          </w:tcPr>
          <w:p>
            <w:pPr>
              <w:spacing w:after="0"/>
              <w:rPr>
                <w:sz w:val="20"/>
                <w:szCs w:val="20"/>
                <w:color w:val="auto"/>
              </w:rPr>
            </w:pPr>
            <w:r>
              <w:rPr>
                <w:rFonts w:ascii="Arial" w:cs="Arial" w:eastAsia="Arial" w:hAnsi="Arial"/>
                <w:sz w:val="18"/>
                <w:szCs w:val="18"/>
                <w:color w:val="auto"/>
              </w:rPr>
              <w:t>Dividend rate</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Series A Preferred exchange</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1"/>
        </w:trPr>
        <w:tc>
          <w:tcPr>
            <w:tcW w:w="54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share</w:t>
            </w:r>
          </w:p>
        </w:tc>
        <w:tc>
          <w:tcPr>
            <w:tcW w:w="2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 to $6.17</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 to $5.80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Warrant Modifications and Exercises</w:t>
      </w: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During the months of June and July 2013, we offered certain long-term warrant holders the opportunity to exercise warrants having an exercise price of $30.00 per share to purchase shares of our restricted common stock at a reduced exercise price of $10.00 per share through July 30, 2013. Warrant holders exercised warrants to purchase an aggregate of 26,419 restricted shares of our common stock and we received cash proceeds of $264,200. In addition, certain warrant holders exercised modified warrants to purchase 832 restricted shares of our common stock in lieu of our payment in satisfaction of amounts due for professional services in the aggregate amount of $8,300. We calculated the fair value of the warrants exercised immediately before and after the modifications and determined that the fair value of the warrants exercised decreased.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2" w:name="page133"/>
    <w:bookmarkEnd w:id="13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October 2013, we modified certain outstanding warrants held by our long-term investors and consultants to purchase an aggregate of 64,639 restricted shares of our common stock to reduce the exercise price of the warrants to $10.00 per share and, for warrants scheduled to expire on December 31, 2013, extend the exercise term of the warrants until January 31, 2015, generally without modifying the exercise price. We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Pre-</w:t>
            </w:r>
          </w:p>
        </w:tc>
        <w:tc>
          <w:tcPr>
            <w:tcW w:w="10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Post-</w:t>
            </w:r>
          </w:p>
        </w:tc>
      </w:tr>
      <w:tr>
        <w:trPr>
          <w:trHeight w:val="235"/>
        </w:trPr>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modification</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5"/>
              </w:rPr>
              <w:t>modification</w:t>
            </w:r>
          </w:p>
        </w:tc>
        <w:tc>
          <w:tcPr>
            <w:tcW w:w="100" w:type="dxa"/>
            <w:vAlign w:val="bottom"/>
          </w:tcPr>
          <w:p>
            <w:pPr>
              <w:spacing w:after="0"/>
              <w:rPr>
                <w:sz w:val="20"/>
                <w:szCs w:val="20"/>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1"/>
        </w:trPr>
        <w:tc>
          <w:tcPr>
            <w:tcW w:w="868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24.68</w:t>
            </w: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r>
        <w:trPr>
          <w:trHeight w:val="211"/>
        </w:trPr>
        <w:tc>
          <w:tcPr>
            <w:tcW w:w="8680" w:type="dxa"/>
            <w:vAlign w:val="bottom"/>
          </w:tcPr>
          <w:p>
            <w:pPr>
              <w:spacing w:after="0"/>
              <w:rPr>
                <w:sz w:val="20"/>
                <w:szCs w:val="20"/>
                <w:color w:val="auto"/>
              </w:rPr>
            </w:pPr>
            <w:r>
              <w:rPr>
                <w:rFonts w:ascii="Arial" w:cs="Arial" w:eastAsia="Arial" w:hAnsi="Arial"/>
                <w:sz w:val="18"/>
                <w:szCs w:val="18"/>
                <w:color w:val="auto"/>
              </w:rPr>
              <w:t>Contractual term in years (weighted 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r>
      <w:tr>
        <w:trPr>
          <w:trHeight w:val="211"/>
        </w:trPr>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1"/>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2.29</w:t>
            </w:r>
          </w:p>
        </w:tc>
      </w:tr>
    </w:tbl>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December 2013, we modified additional outstanding warrants held by certain of our long-term investors, consultants, and members of management and our Board of Directors to purchase an aggregate of 63,013 restricted shares of our common stock to reduce the exercise price of the warrants to $10.00 per share and, in limited cases, extend the exercise term of the warrants. We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Pre-</w:t>
            </w:r>
          </w:p>
        </w:tc>
        <w:tc>
          <w:tcPr>
            <w:tcW w:w="10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Post-</w:t>
            </w:r>
          </w:p>
        </w:tc>
      </w:tr>
      <w:tr>
        <w:trPr>
          <w:trHeight w:val="235"/>
        </w:trPr>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modification</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5"/>
              </w:rPr>
              <w:t>modification</w:t>
            </w:r>
          </w:p>
        </w:tc>
        <w:tc>
          <w:tcPr>
            <w:tcW w:w="100" w:type="dxa"/>
            <w:vAlign w:val="bottom"/>
          </w:tcPr>
          <w:p>
            <w:pPr>
              <w:spacing w:after="0"/>
              <w:rPr>
                <w:sz w:val="20"/>
                <w:szCs w:val="20"/>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11"/>
        </w:trPr>
        <w:tc>
          <w:tcPr>
            <w:tcW w:w="868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33.49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r>
      <w:tr>
        <w:trPr>
          <w:trHeight w:val="211"/>
        </w:trPr>
        <w:tc>
          <w:tcPr>
            <w:tcW w:w="8680" w:type="dxa"/>
            <w:vAlign w:val="bottom"/>
          </w:tcPr>
          <w:p>
            <w:pPr>
              <w:spacing w:after="0"/>
              <w:rPr>
                <w:sz w:val="20"/>
                <w:szCs w:val="20"/>
                <w:color w:val="auto"/>
              </w:rPr>
            </w:pPr>
            <w:r>
              <w:rPr>
                <w:rFonts w:ascii="Arial" w:cs="Arial" w:eastAsia="Arial" w:hAnsi="Arial"/>
                <w:sz w:val="18"/>
                <w:szCs w:val="18"/>
                <w:color w:val="auto"/>
              </w:rPr>
              <w:t>Contractual term in years (weighted 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r>
      <w:tr>
        <w:trPr>
          <w:trHeight w:val="211"/>
        </w:trPr>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1"/>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0.91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2.85</w:t>
            </w:r>
          </w:p>
        </w:tc>
      </w:tr>
    </w:tbl>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making its fair value determinations for both warrant modifications and new grants using the Black Scholes Option Pricing Model, we utilize the following principles in selecting its input assumptions. The market price per share is based on the quoted market price of our common stock on the OTC Markets on the date of the modification or grant. Because of our relatively short history as a public company, we estimate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most closely corresponding with the contractual term or remaining term of the warrant. The dividend rate is zero as we have not paid and do not expect to pay dividends in the near future.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3" w:name="page134"/>
    <w:bookmarkEnd w:id="13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1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following table summarizes outstanding warrants to purchase restricted shares of our common stock as of March 31, 2015. The weighted average exercise price of outstanding warrants at March 31, 2015 was $13.00 per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 Subject</w:t>
            </w:r>
          </w:p>
        </w:tc>
      </w:tr>
      <w:tr>
        <w:trPr>
          <w:trHeight w:val="211"/>
        </w:trPr>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to Purchase at</w:t>
            </w:r>
          </w:p>
        </w:tc>
      </w:tr>
      <w:tr>
        <w:trPr>
          <w:trHeight w:val="211"/>
        </w:trPr>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March 31,</w:t>
            </w:r>
          </w:p>
        </w:tc>
      </w:tr>
      <w:tr>
        <w:trPr>
          <w:trHeight w:val="235"/>
        </w:trPr>
        <w:tc>
          <w:tcPr>
            <w:tcW w:w="160" w:type="dxa"/>
            <w:vAlign w:val="bottom"/>
          </w:tcPr>
          <w:p>
            <w:pPr>
              <w:spacing w:after="0"/>
              <w:rPr>
                <w:sz w:val="20"/>
                <w:szCs w:val="20"/>
                <w:color w:val="auto"/>
              </w:rPr>
            </w:pPr>
          </w:p>
        </w:tc>
        <w:tc>
          <w:tcPr>
            <w:tcW w:w="22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Exercise Price per Share</w:t>
            </w:r>
          </w:p>
        </w:tc>
        <w:tc>
          <w:tcPr>
            <w:tcW w:w="644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 Date</w:t>
            </w:r>
          </w:p>
        </w:tc>
        <w:tc>
          <w:tcPr>
            <w:tcW w:w="242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r>
      <w:tr>
        <w:trPr>
          <w:trHeight w:val="211"/>
        </w:trPr>
        <w:tc>
          <w:tcPr>
            <w:tcW w:w="1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1"/>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6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1/31/2016 to 1/1/2020</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1,064,683</w:t>
            </w:r>
          </w:p>
        </w:tc>
      </w:tr>
      <w:tr>
        <w:trPr>
          <w:trHeight w:val="211"/>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12.80</w:t>
            </w:r>
          </w:p>
        </w:tc>
        <w:tc>
          <w:tcPr>
            <w:tcW w:w="6440" w:type="dxa"/>
            <w:vAlign w:val="bottom"/>
          </w:tcPr>
          <w:p>
            <w:pPr>
              <w:jc w:val="center"/>
              <w:spacing w:after="0"/>
              <w:rPr>
                <w:sz w:val="20"/>
                <w:szCs w:val="20"/>
                <w:color w:val="auto"/>
              </w:rPr>
            </w:pPr>
            <w:r>
              <w:rPr>
                <w:rFonts w:ascii="Arial" w:cs="Arial" w:eastAsia="Arial" w:hAnsi="Arial"/>
                <w:sz w:val="18"/>
                <w:szCs w:val="18"/>
                <w:color w:val="auto"/>
                <w:w w:val="91"/>
              </w:rPr>
              <w:t>3/3/2023</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147,000</w:t>
            </w:r>
          </w:p>
        </w:tc>
      </w:tr>
      <w:tr>
        <w:trPr>
          <w:trHeight w:val="211"/>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w:t>
            </w:r>
          </w:p>
        </w:tc>
        <w:tc>
          <w:tcPr>
            <w:tcW w:w="6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1/31/2016 to 6/11/2016</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54,477</w:t>
            </w:r>
          </w:p>
        </w:tc>
      </w:tr>
      <w:tr>
        <w:trPr>
          <w:trHeight w:val="211"/>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6440" w:type="dxa"/>
            <w:vAlign w:val="bottom"/>
          </w:tcPr>
          <w:p>
            <w:pPr>
              <w:jc w:val="center"/>
              <w:spacing w:after="0"/>
              <w:rPr>
                <w:sz w:val="20"/>
                <w:szCs w:val="20"/>
                <w:color w:val="auto"/>
              </w:rPr>
            </w:pPr>
            <w:r>
              <w:rPr>
                <w:rFonts w:ascii="Arial" w:cs="Arial" w:eastAsia="Arial" w:hAnsi="Arial"/>
                <w:sz w:val="18"/>
                <w:szCs w:val="18"/>
                <w:color w:val="auto"/>
                <w:w w:val="88"/>
              </w:rPr>
              <w:t>7/30/2016 to 9/30/2017</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186,388</w:t>
            </w:r>
          </w:p>
        </w:tc>
      </w:tr>
      <w:tr>
        <w:trPr>
          <w:trHeight w:val="211"/>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c>
          <w:tcPr>
            <w:tcW w:w="6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2/13/2016 to 3/4/2018</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69,426</w:t>
            </w:r>
          </w:p>
        </w:tc>
      </w:tr>
      <w:tr>
        <w:trPr>
          <w:trHeight w:val="211"/>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40.00</w:t>
            </w:r>
          </w:p>
        </w:tc>
        <w:tc>
          <w:tcPr>
            <w:tcW w:w="6440" w:type="dxa"/>
            <w:vAlign w:val="bottom"/>
          </w:tcPr>
          <w:p>
            <w:pPr>
              <w:jc w:val="center"/>
              <w:spacing w:after="0"/>
              <w:rPr>
                <w:sz w:val="20"/>
                <w:szCs w:val="20"/>
                <w:color w:val="auto"/>
              </w:rPr>
            </w:pPr>
            <w:r>
              <w:rPr>
                <w:rFonts w:ascii="Arial" w:cs="Arial" w:eastAsia="Arial" w:hAnsi="Arial"/>
                <w:sz w:val="18"/>
                <w:szCs w:val="18"/>
                <w:color w:val="auto"/>
                <w:w w:val="89"/>
              </w:rPr>
              <w:t>9/15/2017</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21,250</w:t>
            </w:r>
          </w:p>
        </w:tc>
      </w:tr>
      <w:tr>
        <w:trPr>
          <w:trHeight w:val="217"/>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6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2/13/2016</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1,250</w:t>
            </w:r>
          </w:p>
        </w:tc>
      </w:tr>
      <w:tr>
        <w:trPr>
          <w:trHeight w:val="211"/>
        </w:trPr>
        <w:tc>
          <w:tcPr>
            <w:tcW w:w="16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1"/>
        </w:trPr>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1,544,474</w:t>
            </w:r>
          </w:p>
        </w:tc>
        <w:tc>
          <w:tcPr>
            <w:tcW w:w="140" w:type="dxa"/>
            <w:vAlign w:val="bottom"/>
            <w:tcBorders>
              <w:bottom w:val="single" w:sz="8" w:color="CCEEFF"/>
            </w:tcBorders>
            <w:shd w:val="clear" w:color="auto" w:fill="CCEEFF"/>
          </w:tcPr>
          <w:p>
            <w:pPr>
              <w:spacing w:after="0"/>
              <w:rPr>
                <w:sz w:val="21"/>
                <w:szCs w:val="2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Receivable from Sale of Common Stock</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May 2011, the Company accepted a $500,000 short-term note from an investor in payment for shares of the Company’s common stock sold to the investor in a private placement transaction. On October 2, 2014 we received a cash payment of $60,000 from the maker of the note. We have considered that payment to be in full satisfaction of the outstanding principal balance of the note and related accrued interest, aggregating $194,900, at the date of the payment and recognized a loss of $134,900 on the settlement of the note, which is reflected as a component of Other expenses, net in the accompanying Statement of Operations and Comprehensive Loss.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4" w:name="page135"/>
    <w:bookmarkEnd w:id="13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ectPr>
          <w:pgSz w:w="11900" w:h="16838" w:orient="portrait"/>
          <w:cols w:equalWidth="0" w:num="1">
            <w:col w:w="11320"/>
          </w:cols>
          <w:pgMar w:left="240" w:top="129" w:right="33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2015, the Company has reserved shares of its common stock for future issuance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Upon exchange of all shares of Series A Preferred Stock currently issued and outstanding </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-165735</wp:posOffset>
            </wp:positionV>
            <wp:extent cx="7249795" cy="133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9795" cy="133985"/>
                    </a:xfrm>
                    <a:prstGeom prst="rect">
                      <a:avLst/>
                    </a:prstGeom>
                    <a:noFill/>
                  </pic:spPr>
                </pic:pic>
              </a:graphicData>
            </a:graphic>
          </wp:anchor>
        </w:drawing>
      </w:r>
    </w:p>
    <w:p>
      <w:pPr>
        <w:spacing w:after="0" w:line="12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49795" cy="267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9795" cy="26733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110% of shares issuable upon conversion of 10% senior secured convertible notes issued to Platinum in October 2012, February 2013,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49795" cy="2673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9795" cy="2673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2013 and July 2013, including interest accrued through maturity </w:t>
      </w:r>
      <w:r>
        <w:rPr>
          <w:rFonts w:ascii="Arial" w:cs="Arial" w:eastAsia="Arial" w:hAnsi="Arial"/>
          <w:sz w:val="24"/>
          <w:szCs w:val="24"/>
          <w:color w:val="auto"/>
          <w:vertAlign w:val="superscript"/>
        </w:rPr>
        <w:t>(2)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49795" cy="133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9795" cy="13398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Subject to outstanding warrants</w:t>
      </w:r>
    </w:p>
    <w:p>
      <w:pPr>
        <w:spacing w:after="0" w:line="4" w:lineRule="exact"/>
        <w:rPr>
          <w:sz w:val="20"/>
          <w:szCs w:val="20"/>
          <w:color w:val="auto"/>
        </w:rPr>
      </w:pPr>
    </w:p>
    <w:p>
      <w:pPr>
        <w:ind w:left="160" w:right="80" w:firstLine="17"/>
        <w:spacing w:after="0" w:line="248" w:lineRule="auto"/>
        <w:rPr>
          <w:sz w:val="20"/>
          <w:szCs w:val="20"/>
          <w:color w:val="auto"/>
        </w:rPr>
      </w:pPr>
      <w:r>
        <w:rPr>
          <w:rFonts w:ascii="Arial" w:cs="Arial" w:eastAsia="Arial" w:hAnsi="Arial"/>
          <w:sz w:val="18"/>
          <w:szCs w:val="18"/>
          <w:color w:val="auto"/>
        </w:rPr>
        <w:t>Issuable pursuant to accrued interest through maturity on outstanding promissory notes 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49795" cy="133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9795" cy="133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-270510</wp:posOffset>
            </wp:positionV>
            <wp:extent cx="7249795" cy="284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9795" cy="28448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Pursuant to stock incentive plans:</w:t>
      </w:r>
    </w:p>
    <w:p>
      <w:pPr>
        <w:spacing w:after="0" w:line="15" w:lineRule="exact"/>
        <w:rPr>
          <w:sz w:val="20"/>
          <w:szCs w:val="20"/>
          <w:color w:val="auto"/>
        </w:rPr>
      </w:pPr>
    </w:p>
    <w:p>
      <w:pPr>
        <w:ind w:left="180" w:right="4340" w:firstLine="10"/>
        <w:spacing w:after="0" w:line="309" w:lineRule="auto"/>
        <w:rPr>
          <w:sz w:val="20"/>
          <w:szCs w:val="20"/>
          <w:color w:val="auto"/>
        </w:rPr>
      </w:pPr>
      <w:r>
        <w:rPr>
          <w:rFonts w:ascii="Arial" w:cs="Arial" w:eastAsia="Arial" w:hAnsi="Arial"/>
          <w:sz w:val="16"/>
          <w:szCs w:val="16"/>
          <w:color w:val="auto"/>
        </w:rPr>
        <w:t>Subject to outstanding options under the 2008 and 1999 Stock Incentive Plans Available for future grants under the 2008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-299720</wp:posOffset>
            </wp:positionV>
            <wp:extent cx="7249795" cy="133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9795" cy="133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-15240</wp:posOffset>
            </wp:positionV>
            <wp:extent cx="7249795" cy="133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9795" cy="133985"/>
                    </a:xfrm>
                    <a:prstGeom prst="rect">
                      <a:avLst/>
                    </a:prstGeom>
                    <a:noFill/>
                  </pic:spPr>
                </pic:pic>
              </a:graphicData>
            </a:graphic>
          </wp:anchor>
        </w:drawing>
      </w:r>
    </w:p>
    <w:p>
      <w:pPr>
        <w:spacing w:after="0" w:line="36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For additional issuances under the 2014 Private Placement of Units and upon conversion of notes and accrued interest pursuant to the 2013 Private Placement of Units and 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49795" cy="267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9795" cy="267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139065</wp:posOffset>
            </wp:positionV>
            <wp:extent cx="7249795" cy="133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9795" cy="13398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750,000</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375,000</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563,871</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1,544,474</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33,612</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1,578,086</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207,638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2540</wp:posOffset>
            </wp:positionV>
            <wp:extent cx="72771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710" cy="165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248,129</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807,800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144145</wp:posOffset>
            </wp:positionV>
            <wp:extent cx="72771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710" cy="1651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4,322,886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32385</wp:posOffset>
            </wp:positionV>
            <wp:extent cx="7277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710" cy="8255"/>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57150</wp:posOffset>
            </wp:positionV>
            <wp:extent cx="7277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10000" w:space="620"/>
            <w:col w:w="700"/>
          </w:cols>
          <w:pgMar w:left="240" w:top="129"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w:t>
      </w:r>
    </w:p>
    <w:p>
      <w:pPr>
        <w:ind w:left="240" w:hanging="235"/>
        <w:spacing w:after="0" w:line="188" w:lineRule="auto"/>
        <w:tabs>
          <w:tab w:leader="none" w:pos="24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assumes exchange under the terms of the October 11, 2012 Note Exchange and Purchase Agreement with Platinum</w:t>
      </w:r>
    </w:p>
    <w:p>
      <w:pPr>
        <w:spacing w:after="0" w:line="3" w:lineRule="exact"/>
        <w:rPr>
          <w:rFonts w:ascii="Arial" w:cs="Arial" w:eastAsia="Arial" w:hAnsi="Arial"/>
          <w:sz w:val="25"/>
          <w:szCs w:val="25"/>
          <w:color w:val="auto"/>
          <w:vertAlign w:val="superscript"/>
        </w:rPr>
      </w:pPr>
    </w:p>
    <w:p>
      <w:pPr>
        <w:ind w:left="240" w:hanging="235"/>
        <w:spacing w:after="0" w:line="217" w:lineRule="auto"/>
        <w:tabs>
          <w:tab w:leader="none" w:pos="240" w:val="left"/>
        </w:tabs>
        <w:numPr>
          <w:ilvl w:val="0"/>
          <w:numId w:val="60"/>
        </w:numPr>
        <w:rPr>
          <w:rFonts w:ascii="Arial" w:cs="Arial" w:eastAsia="Arial" w:hAnsi="Arial"/>
          <w:sz w:val="20"/>
          <w:szCs w:val="20"/>
          <w:color w:val="auto"/>
          <w:vertAlign w:val="superscript"/>
        </w:rPr>
      </w:pPr>
      <w:r>
        <w:rPr>
          <w:rFonts w:ascii="Arial" w:cs="Arial" w:eastAsia="Arial" w:hAnsi="Arial"/>
          <w:sz w:val="15"/>
          <w:szCs w:val="15"/>
          <w:color w:val="auto"/>
        </w:rPr>
        <w:t>assumes conversion under the terms of the October 11, 2012 Note Exchange and Purchase Agreement with Platinum and the terms of the individual notes</w:t>
      </w: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20"/>
          </w:cols>
          <w:pgMar w:left="240" w:top="129" w:right="339" w:bottom="1440" w:gutter="0" w:footer="0" w:header="0"/>
          <w:type w:val="continuous"/>
        </w:sectPr>
      </w:pPr>
    </w:p>
    <w:bookmarkStart w:id="135" w:name="page136"/>
    <w:bookmarkEnd w:id="13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Research and Development Expenses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recorded research and development expenses of approximately $4.3 million and $2.5 million in the fiscal years ended March 31, 2015 and 2014,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provision for income taxes for the periods presented in the Consolidated Statements of Operations and Comprehensive Income represents minimum California franchise taxes. Income tax expense differed from the amounts computed by applying the U.S. federal income tax rate of 34% to pretax losses as a result of the following:</w:t>
      </w:r>
    </w:p>
    <w:p>
      <w:pPr>
        <w:spacing w:after="0" w:line="215"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Fiscal Years Ended 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5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19"/>
                <w:szCs w:val="19"/>
                <w:color w:val="auto"/>
              </w:rPr>
            </w:pPr>
          </w:p>
        </w:tc>
      </w:tr>
      <w:tr>
        <w:trPr>
          <w:trHeight w:val="211"/>
        </w:trPr>
        <w:tc>
          <w:tcPr>
            <w:tcW w:w="8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(34.0)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11"/>
        </w:trPr>
        <w:tc>
          <w:tcPr>
            <w:tcW w:w="9320" w:type="dxa"/>
            <w:vAlign w:val="bottom"/>
            <w:gridSpan w:val="2"/>
          </w:tcPr>
          <w:p>
            <w:pPr>
              <w:spacing w:after="0"/>
              <w:rPr>
                <w:sz w:val="20"/>
                <w:szCs w:val="20"/>
                <w:color w:val="auto"/>
              </w:rPr>
            </w:pPr>
            <w:r>
              <w:rPr>
                <w:rFonts w:ascii="Arial" w:cs="Arial" w:eastAsia="Arial" w:hAnsi="Arial"/>
                <w:sz w:val="18"/>
                <w:szCs w:val="18"/>
                <w:color w:val="auto"/>
              </w:rPr>
              <w:t>Tax effect of Warrant Liability mark to market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(0.1) %</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r>
      <w:tr>
        <w:trPr>
          <w:trHeight w:val="211"/>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losses not benefitted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34.0%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17"/>
        </w:trPr>
        <w:tc>
          <w:tcPr>
            <w:tcW w:w="9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1"/>
        </w:trPr>
        <w:tc>
          <w:tcPr>
            <w:tcW w:w="85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1"/>
        </w:trPr>
        <w:tc>
          <w:tcPr>
            <w:tcW w:w="93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0"/>
        </w:trPr>
        <w:tc>
          <w:tcPr>
            <w:tcW w:w="8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1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Deferred tax assets:</w:t>
            </w: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operating loss carryovers</w:t>
            </w:r>
          </w:p>
        </w:tc>
        <w:tc>
          <w:tcPr>
            <w:tcW w:w="4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23,054</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19,733</w:t>
            </w:r>
          </w:p>
        </w:tc>
      </w:tr>
      <w:tr>
        <w:trPr>
          <w:trHeight w:val="211"/>
        </w:trPr>
        <w:tc>
          <w:tcPr>
            <w:tcW w:w="4120" w:type="dxa"/>
            <w:vAlign w:val="bottom"/>
          </w:tcPr>
          <w:p>
            <w:pPr>
              <w:ind w:left="460"/>
              <w:spacing w:after="0"/>
              <w:rPr>
                <w:sz w:val="20"/>
                <w:szCs w:val="20"/>
                <w:color w:val="auto"/>
              </w:rPr>
            </w:pPr>
            <w:r>
              <w:rPr>
                <w:rFonts w:ascii="Arial" w:cs="Arial" w:eastAsia="Arial" w:hAnsi="Arial"/>
                <w:sz w:val="18"/>
                <w:szCs w:val="18"/>
                <w:color w:val="auto"/>
              </w:rPr>
              <w:t>Basis differences in fixed assets</w:t>
            </w: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7"/>
        </w:trPr>
        <w:tc>
          <w:tcPr>
            <w:tcW w:w="4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Accruals and reserves</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w:t>
            </w:r>
          </w:p>
        </w:tc>
      </w:tr>
      <w:tr>
        <w:trPr>
          <w:trHeight w:val="211"/>
        </w:trPr>
        <w:tc>
          <w:tcPr>
            <w:tcW w:w="4120" w:type="dxa"/>
            <w:vAlign w:val="bottom"/>
            <w:tcBorders>
              <w:top w:val="single" w:sz="8" w:color="CCEEFF"/>
            </w:tcBorders>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1"/>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25,772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21,153</w:t>
            </w:r>
          </w:p>
        </w:tc>
      </w:tr>
      <w:tr>
        <w:trPr>
          <w:trHeight w:val="211"/>
        </w:trPr>
        <w:tc>
          <w:tcPr>
            <w:tcW w:w="41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(25,772)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(21,153)</w:t>
            </w:r>
          </w:p>
        </w:tc>
      </w:tr>
      <w:tr>
        <w:trPr>
          <w:trHeight w:val="211"/>
        </w:trPr>
        <w:tc>
          <w:tcPr>
            <w:tcW w:w="4120" w:type="dxa"/>
            <w:vAlign w:val="bottom"/>
            <w:tcBorders>
              <w:top w:val="single" w:sz="8" w:color="CCEEFF"/>
            </w:tcBorders>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1"/>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585"/>
        </w:trPr>
        <w:tc>
          <w:tcPr>
            <w:tcW w:w="4120" w:type="dxa"/>
            <w:vAlign w:val="bottom"/>
            <w:tcBorders>
              <w:top w:val="single" w:sz="8" w:color="CCEEFF"/>
            </w:tcBorders>
          </w:tcPr>
          <w:p>
            <w:pPr>
              <w:spacing w:after="0"/>
              <w:rPr>
                <w:sz w:val="24"/>
                <w:szCs w:val="24"/>
                <w:color w:val="auto"/>
              </w:rPr>
            </w:pPr>
          </w:p>
        </w:tc>
        <w:tc>
          <w:tcPr>
            <w:tcW w:w="4680" w:type="dxa"/>
            <w:vAlign w:val="bottom"/>
            <w:tcBorders>
              <w:top w:val="single" w:sz="8" w:color="CCEEFF"/>
            </w:tcBorders>
          </w:tcPr>
          <w:p>
            <w:pPr>
              <w:jc w:val="right"/>
              <w:ind w:right="2812"/>
              <w:spacing w:after="0"/>
              <w:rPr>
                <w:sz w:val="20"/>
                <w:szCs w:val="20"/>
                <w:color w:val="auto"/>
              </w:rPr>
            </w:pPr>
            <w:r>
              <w:rPr>
                <w:rFonts w:ascii="Arial" w:cs="Arial" w:eastAsia="Arial" w:hAnsi="Arial"/>
                <w:sz w:val="18"/>
                <w:szCs w:val="18"/>
                <w:color w:val="auto"/>
              </w:rPr>
              <w:t>-131-</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6"/>
        </w:trPr>
        <w:tc>
          <w:tcPr>
            <w:tcW w:w="4120" w:type="dxa"/>
            <w:vAlign w:val="bottom"/>
            <w:tcBorders>
              <w:bottom w:val="single" w:sz="8" w:color="808080"/>
            </w:tcBorders>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6" w:name="page137"/>
    <w:bookmarkEnd w:id="13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Realization of deferred tax assets is dependent upon future earnings, if any, the timing and amount of which are uncertain. Accordingly, the deferred tax assets have been fully offset by a valuation allowance. The valuation allowance increased by $4,619,000 and $2,126,000 during the fiscal years ended March 31, 2015 and 2014, respectively. When realized, deferred tax assets related to employee stock options will be credited to additional paid-in capital.</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2015, we had U.S. federal net operating loss carryforwards of $58.7 million, which will expire in fiscal years 2020 through 2035. As of March 31, 2015, we had state net operating loss carryforwards of $53.1 million, which will expire in fiscal years 2016 through 2035.</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files income tax returns in the U.S. federal and Canadian jurisdictions and California and Maryland state jurisdictions. The Company is subject to U.S. federal and state income tax examinations by tax authorities for tax years 2000 through 2015 due to net operating losses that are being carried forward for tax purposes.</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does not have any uncertain tax positions or unrecognized tax benefits at March 31, 2015 and 2014. The Company’s policy is to recognize interest and penalties related to income taxes as components of interest expense and other expense,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Licensing and Collaborative Agreements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Health Network</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September 17, 2007, we entered into a Sponsored Research Collaboration Agreement (</w:t>
      </w:r>
      <w:r>
        <w:rPr>
          <w:rFonts w:ascii="Arial" w:cs="Arial" w:eastAsia="Arial" w:hAnsi="Arial"/>
          <w:sz w:val="16"/>
          <w:szCs w:val="16"/>
          <w:i w:val="1"/>
          <w:iCs w:val="1"/>
          <w:color w:val="auto"/>
        </w:rPr>
        <w:t>SRCA</w:t>
      </w:r>
      <w:r>
        <w:rPr>
          <w:rFonts w:ascii="Arial" w:cs="Arial" w:eastAsia="Arial" w:hAnsi="Arial"/>
          <w:sz w:val="16"/>
          <w:szCs w:val="16"/>
          <w:color w:val="auto"/>
        </w:rPr>
        <w:t>) with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to develop certain stem cell technologies for drug discovery, development and rescue technologies. The SRCA was amended on April 19, 2010 to extend the term to five years and give us various options to extend the term for an additional three years. On December 15, 2010, we entered into a second amendment with UHN to expand the scope of work to include induced pluripotent stem cell technology and to further expand the scope of research and term extension options. On April 25, 2011, we and UHN amended the SRCA a third time to expand the scope to include therapeutic and stem cell therapy applications of induced pluripotent cells and to extend the date during which we may elect to fund additional projects to April 30, 2012. On October 24, 2011, we and UHN amended the SRCA a fourth time to identify five key programs to further support our core drug rescue initiatives and potential cell therapy applications. In October 2012, we issued a promissory note in the principal amount of $549,500 and a warrant to UHN as payment in full for services rendered under the fourth amendment. We also entered into Amendment No. 5 to the SRCA establishing the sponsored research projects and the sponsored research budgets under the SRCA from October 1, 2012 to September 30, 2013. During our fiscal year ended March 31, 2015, our financial condition precluded further sponsored research activities with UHN.</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Concurrent with the execution of the fourth amendment to the SRCA, we also entered into a License Agreement with UHN under the terms of which UHN granted us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we have agreed to make payments to UHN totaling $3.9 million, if, and when, we achieves certain commercial milestones set forth in the License Agreement, and to pay UHN royalties based on our receipt of revenue attributable to the licensed patents.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7" w:name="page138"/>
    <w:bookmarkEnd w:id="13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National Institutes of Health</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fiscal years 2006 through 2008,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awarded VistaGen California a $4.2 million grant to support preclinical development of AV-101, our lead drug candidate for treatment of neuropathic pain and other neurodegenerative diseases such as Huntington’s and Parkinson’s diseases. In June 2009, the NIH awarded VistaGen California a $4.2 million grant to support the Phase I clinical development of AV-101, which amount was subsequently increased to a total of $4.6 million in July 2010. The grant expired in the ordinary course on June 30, 2012 and all funds had been expended. In February 2015, we entered into a Cooperative Research and Development Agreement with the National Institute of Mental Health to collaborate on an NIH-sponsored Phase 2 clinical study of the efficacy and safety of AV-101 in subjects with MDD. The study is expected to commence late in the third quarter of 2015 and be completed in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Research Ltd.</w:t>
      </w: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built a strategic development relationship with Cato Research Ltd. (“</w:t>
      </w:r>
      <w:r>
        <w:rPr>
          <w:rFonts w:ascii="Arial" w:cs="Arial" w:eastAsia="Arial" w:hAnsi="Arial"/>
          <w:sz w:val="16"/>
          <w:szCs w:val="16"/>
          <w:i w:val="1"/>
          <w:iCs w:val="1"/>
          <w:color w:val="auto"/>
        </w:rPr>
        <w:t>CRL</w:t>
      </w:r>
      <w:r>
        <w:rPr>
          <w:rFonts w:ascii="Arial" w:cs="Arial" w:eastAsia="Arial" w:hAnsi="Arial"/>
          <w:sz w:val="16"/>
          <w:szCs w:val="16"/>
          <w:color w:val="auto"/>
        </w:rPr>
        <w:t>”), a global contract research and development organization, or CRO, and an affiliate of one of the Company’s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$38,100 and $52,500 for the fiscal years ended March 31, 2015 and 2014, respectively. In October 2012, we issued an unsecured promissory note in the principal amount of $1,009,000, and a warrant exercisable for 50,450 shares of our common stock, as payment in full of all amounts owed to CRL for CRO services rendered to us through December 31,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Plans and 401(k) Plan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share-based compensation plans.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Stock Incentive Plan</w:t>
      </w:r>
    </w:p>
    <w:p>
      <w:pPr>
        <w:spacing w:after="0" w:line="24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2008 Stock Incentive Plan (the “</w:t>
      </w:r>
      <w:r>
        <w:rPr>
          <w:rFonts w:ascii="Arial" w:cs="Arial" w:eastAsia="Arial" w:hAnsi="Arial"/>
          <w:sz w:val="16"/>
          <w:szCs w:val="16"/>
          <w:i w:val="1"/>
          <w:iCs w:val="1"/>
          <w:color w:val="auto"/>
        </w:rPr>
        <w:t>2008 Plan</w:t>
      </w:r>
      <w:r>
        <w:rPr>
          <w:rFonts w:ascii="Arial" w:cs="Arial" w:eastAsia="Arial" w:hAnsi="Arial"/>
          <w:sz w:val="16"/>
          <w:szCs w:val="16"/>
          <w:color w:val="auto"/>
        </w:rPr>
        <w:t>”) was adopted by the shareholders of VistaGen California on December 19, 2008 and assumed by the Company in connection with the Merger. The maximum number of shares of our common stock that may be granted pursuant to the 2008 Plan is 250,000 shares, subject to adjustments for stock splits, stock dividends or other similar changes in the common stock or capital structure.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Incentive Plan</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1999 Stock Incentive Plan (the “</w:t>
      </w:r>
      <w:r>
        <w:rPr>
          <w:rFonts w:ascii="Arial" w:cs="Arial" w:eastAsia="Arial" w:hAnsi="Arial"/>
          <w:sz w:val="18"/>
          <w:szCs w:val="18"/>
          <w:i w:val="1"/>
          <w:iCs w:val="1"/>
          <w:color w:val="auto"/>
        </w:rPr>
        <w:t>1999 Plan</w:t>
      </w:r>
      <w:r>
        <w:rPr>
          <w:rFonts w:ascii="Arial" w:cs="Arial" w:eastAsia="Arial" w:hAnsi="Arial"/>
          <w:sz w:val="18"/>
          <w:szCs w:val="18"/>
          <w:color w:val="auto"/>
        </w:rPr>
        <w:t>”) was adopted by the shareholders of VistaGen California on December 6, 1999 and assumed by the Company in connection with the Merger. We initially reserved 45,000 shares for the issuance of awards under the 1999 Plan. The 1999 Plan has terminated under its own terms and, as a result, no awards may currently be granted under the 1999 Plan. The unexpired options and awards that have already been granted pursuant to the 1999 Plan remain operative.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2008 Plan</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terms of the 2008 Plan, the Compensation Committee of our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8" w:name="page139"/>
    <w:bookmarkEnd w:id="13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Compensation Committee may grant nonstatutory stock options under the 2008 Plan at a price of not less than 100% of the fair market value of our common stock on the date the option is granted. Incentive stock options under the 2008 Plan may be granted at a price of not less than 100% of the fair market value of our common stock on the date the option is granted. Incentive stock options granted to employees who, on the date of grant, own stock representing more than 10% of the voting power of all of our classes of stock are granted at an exercise price of not less than 110% of the fair market value of our common stock and the maximum term of such incentive stock options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 We currently have no performance-based awards outstanding.</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Unless terminated sooner, the 2008 Plan will automatically terminate in 2017. The Board of Directors may at any time amend, suspend or terminate our 2008 Plan.</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did not grant any stock options during fiscal 2015. During the third quarter of fiscal 2014, when the quoted market price of our common stock was $8.00 per share, we reduced the exercise price of an aggregate of 196,213 outstanding options to purchase shares of its common stock at exercise prices between $15.00 per share and $59.80 per share held by certain employees, including the Company’s officers and directors, and by certain consultants to $8.00 per share or $10.00 per share. These reductions in exercise price were accounted for as a modification of the options and resulted in a charge of $252,000.</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following table summarizes share-based compensation expense, including share-based expense related to the March 2015 and March 2014 grants of warrants to certain of our officers and to our independent directors as described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included in the accompanying Consolidated Statement of Operations and Comprehensive Loss for the years ended March 31, 2015 and 2014.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ind w:left="300"/>
              <w:spacing w:after="0"/>
              <w:rPr>
                <w:sz w:val="20"/>
                <w:szCs w:val="20"/>
                <w:color w:val="auto"/>
              </w:rPr>
            </w:pPr>
            <w:r>
              <w:rPr>
                <w:rFonts w:ascii="Arial" w:cs="Arial" w:eastAsia="Arial" w:hAnsi="Arial"/>
                <w:sz w:val="18"/>
                <w:szCs w:val="18"/>
                <w:b w:val="1"/>
                <w:bCs w:val="1"/>
                <w:color w:val="auto"/>
              </w:rPr>
              <w:t>Fiscal Years Ended</w:t>
            </w:r>
          </w:p>
        </w:tc>
      </w:tr>
      <w:tr>
        <w:trPr>
          <w:trHeight w:val="235"/>
        </w:trPr>
        <w:tc>
          <w:tcPr>
            <w:tcW w:w="4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7"/>
        </w:trPr>
        <w:tc>
          <w:tcPr>
            <w:tcW w:w="4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18"/>
                <w:szCs w:val="18"/>
                <w:color w:val="auto"/>
              </w:rPr>
            </w:pPr>
          </w:p>
        </w:tc>
      </w:tr>
      <w:tr>
        <w:trPr>
          <w:trHeight w:val="210"/>
        </w:trPr>
        <w:tc>
          <w:tcPr>
            <w:tcW w:w="4780" w:type="dxa"/>
            <w:vAlign w:val="bottom"/>
          </w:tcPr>
          <w:p>
            <w:pPr>
              <w:ind w:left="40"/>
              <w:spacing w:after="0"/>
              <w:rPr>
                <w:sz w:val="20"/>
                <w:szCs w:val="20"/>
                <w:color w:val="auto"/>
              </w:rPr>
            </w:pPr>
            <w:r>
              <w:rPr>
                <w:rFonts w:ascii="Arial" w:cs="Arial" w:eastAsia="Arial" w:hAnsi="Arial"/>
                <w:sz w:val="18"/>
                <w:szCs w:val="18"/>
                <w:color w:val="auto"/>
              </w:rPr>
              <w:t>Research and development expense:</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 grants</w:t>
            </w:r>
          </w:p>
        </w:tc>
        <w:tc>
          <w:tcPr>
            <w:tcW w:w="4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176,200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296,900</w:t>
            </w:r>
          </w:p>
        </w:tc>
      </w:tr>
      <w:tr>
        <w:trPr>
          <w:trHeight w:val="198"/>
        </w:trPr>
        <w:tc>
          <w:tcPr>
            <w:tcW w:w="4780" w:type="dxa"/>
            <w:vAlign w:val="bottom"/>
          </w:tcPr>
          <w:p>
            <w:pPr>
              <w:ind w:left="400"/>
              <w:spacing w:after="0" w:line="198" w:lineRule="exact"/>
              <w:rPr>
                <w:sz w:val="20"/>
                <w:szCs w:val="20"/>
                <w:color w:val="auto"/>
              </w:rPr>
            </w:pPr>
            <w:r>
              <w:rPr>
                <w:rFonts w:ascii="Arial" w:cs="Arial" w:eastAsia="Arial" w:hAnsi="Arial"/>
                <w:sz w:val="18"/>
                <w:szCs w:val="18"/>
                <w:color w:val="auto"/>
              </w:rPr>
              <w:t>Fully-vested warrants granted to officer and</w:t>
            </w:r>
          </w:p>
        </w:tc>
        <w:tc>
          <w:tcPr>
            <w:tcW w:w="4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780" w:type="dxa"/>
            <w:vAlign w:val="bottom"/>
          </w:tcPr>
          <w:p>
            <w:pPr>
              <w:ind w:left="560"/>
              <w:spacing w:after="0"/>
              <w:rPr>
                <w:sz w:val="20"/>
                <w:szCs w:val="20"/>
                <w:color w:val="auto"/>
              </w:rPr>
            </w:pPr>
            <w:r>
              <w:rPr>
                <w:rFonts w:ascii="Arial" w:cs="Arial" w:eastAsia="Arial" w:hAnsi="Arial"/>
                <w:sz w:val="18"/>
                <w:szCs w:val="18"/>
                <w:color w:val="auto"/>
              </w:rPr>
              <w:t>consultants in January 2015</w:t>
            </w:r>
          </w:p>
        </w:tc>
        <w:tc>
          <w:tcPr>
            <w:tcW w:w="4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527,500</w:t>
            </w: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Warrants granted to officer in March 2014 and 2013</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156,500</w:t>
            </w:r>
          </w:p>
        </w:tc>
      </w:tr>
      <w:tr>
        <w:trPr>
          <w:trHeight w:val="211"/>
        </w:trPr>
        <w:tc>
          <w:tcPr>
            <w:tcW w:w="47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7"/>
        </w:trPr>
        <w:tc>
          <w:tcPr>
            <w:tcW w:w="47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848,800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453,400</w:t>
            </w:r>
          </w:p>
        </w:tc>
      </w:tr>
      <w:tr>
        <w:trPr>
          <w:trHeight w:val="211"/>
        </w:trPr>
        <w:tc>
          <w:tcPr>
            <w:tcW w:w="47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1"/>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 grants</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385,100</w:t>
            </w:r>
          </w:p>
        </w:tc>
      </w:tr>
      <w:tr>
        <w:trPr>
          <w:trHeight w:val="198"/>
        </w:trPr>
        <w:tc>
          <w:tcPr>
            <w:tcW w:w="4780" w:type="dxa"/>
            <w:vAlign w:val="bottom"/>
          </w:tcPr>
          <w:p>
            <w:pPr>
              <w:ind w:left="400"/>
              <w:spacing w:after="0" w:line="198" w:lineRule="exact"/>
              <w:rPr>
                <w:sz w:val="20"/>
                <w:szCs w:val="20"/>
                <w:color w:val="auto"/>
              </w:rPr>
            </w:pPr>
            <w:r>
              <w:rPr>
                <w:rFonts w:ascii="Arial" w:cs="Arial" w:eastAsia="Arial" w:hAnsi="Arial"/>
                <w:sz w:val="18"/>
                <w:szCs w:val="18"/>
                <w:color w:val="auto"/>
              </w:rPr>
              <w:t>Fully-vested warrants granted to officers, directors</w:t>
            </w:r>
          </w:p>
        </w:tc>
        <w:tc>
          <w:tcPr>
            <w:tcW w:w="4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780" w:type="dxa"/>
            <w:vAlign w:val="bottom"/>
          </w:tcPr>
          <w:p>
            <w:pPr>
              <w:ind w:left="560"/>
              <w:spacing w:after="0"/>
              <w:rPr>
                <w:sz w:val="20"/>
                <w:szCs w:val="20"/>
                <w:color w:val="auto"/>
              </w:rPr>
            </w:pPr>
            <w:r>
              <w:rPr>
                <w:rFonts w:ascii="Arial" w:cs="Arial" w:eastAsia="Arial" w:hAnsi="Arial"/>
                <w:sz w:val="18"/>
                <w:szCs w:val="18"/>
                <w:color w:val="auto"/>
              </w:rPr>
              <w:t>and consultants in January 2015</w:t>
            </w:r>
          </w:p>
        </w:tc>
        <w:tc>
          <w:tcPr>
            <w:tcW w:w="4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1,229,400</w:t>
            </w: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Warrants granted to officers and directors in March</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7"/>
        </w:trPr>
        <w:tc>
          <w:tcPr>
            <w:tcW w:w="4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2014 and 2013</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283,100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298,800</w:t>
            </w:r>
          </w:p>
        </w:tc>
      </w:tr>
      <w:tr>
        <w:trPr>
          <w:trHeight w:val="211"/>
        </w:trPr>
        <w:tc>
          <w:tcPr>
            <w:tcW w:w="47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7"/>
        </w:trPr>
        <w:tc>
          <w:tcPr>
            <w:tcW w:w="47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1,611,300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683,900</w:t>
            </w:r>
          </w:p>
        </w:tc>
      </w:tr>
      <w:tr>
        <w:trPr>
          <w:trHeight w:val="211"/>
        </w:trPr>
        <w:tc>
          <w:tcPr>
            <w:tcW w:w="47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1"/>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4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2,460,100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1,137,300</w:t>
            </w:r>
          </w:p>
        </w:tc>
      </w:tr>
      <w:tr>
        <w:trPr>
          <w:trHeight w:val="585"/>
        </w:trPr>
        <w:tc>
          <w:tcPr>
            <w:tcW w:w="4780" w:type="dxa"/>
            <w:vAlign w:val="bottom"/>
            <w:tcBorders>
              <w:top w:val="single" w:sz="8" w:color="CCEEFF"/>
            </w:tcBorders>
          </w:tcPr>
          <w:p>
            <w:pPr>
              <w:spacing w:after="0"/>
              <w:rPr>
                <w:sz w:val="24"/>
                <w:szCs w:val="24"/>
                <w:color w:val="auto"/>
              </w:rPr>
            </w:pPr>
          </w:p>
        </w:tc>
        <w:tc>
          <w:tcPr>
            <w:tcW w:w="4020" w:type="dxa"/>
            <w:vAlign w:val="bottom"/>
            <w:tcBorders>
              <w:top w:val="single" w:sz="8" w:color="CCEEFF"/>
            </w:tcBorders>
          </w:tcPr>
          <w:p>
            <w:pPr>
              <w:jc w:val="right"/>
              <w:ind w:right="2812"/>
              <w:spacing w:after="0"/>
              <w:rPr>
                <w:sz w:val="20"/>
                <w:szCs w:val="20"/>
                <w:color w:val="auto"/>
              </w:rPr>
            </w:pPr>
            <w:r>
              <w:rPr>
                <w:rFonts w:ascii="Arial" w:cs="Arial" w:eastAsia="Arial" w:hAnsi="Arial"/>
                <w:sz w:val="18"/>
                <w:szCs w:val="18"/>
                <w:color w:val="auto"/>
              </w:rPr>
              <w:t>-134-</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6"/>
        </w:trPr>
        <w:tc>
          <w:tcPr>
            <w:tcW w:w="4780" w:type="dxa"/>
            <w:vAlign w:val="bottom"/>
            <w:tcBorders>
              <w:bottom w:val="single" w:sz="8" w:color="808080"/>
            </w:tcBorders>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9" w:name="page140"/>
    <w:bookmarkEnd w:id="13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used the Black-Scholes option valuation model with the following assumptions to determine share-based compensation expense related to option grants during the fiscal years ended March 31, 2015 and 2014: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20" w:type="dxa"/>
            <w:vAlign w:val="bottom"/>
          </w:tcPr>
          <w:p>
            <w:pPr>
              <w:spacing w:after="0"/>
              <w:rPr>
                <w:sz w:val="20"/>
                <w:szCs w:val="20"/>
                <w:color w:val="auto"/>
              </w:rPr>
            </w:pPr>
          </w:p>
        </w:tc>
        <w:tc>
          <w:tcPr>
            <w:tcW w:w="6100" w:type="dxa"/>
            <w:vAlign w:val="bottom"/>
            <w:gridSpan w:val="4"/>
          </w:tcPr>
          <w:p>
            <w:pPr>
              <w:ind w:left="1740"/>
              <w:spacing w:after="0"/>
              <w:rPr>
                <w:sz w:val="20"/>
                <w:szCs w:val="20"/>
                <w:color w:val="auto"/>
              </w:rPr>
            </w:pPr>
            <w:r>
              <w:rPr>
                <w:rFonts w:ascii="Arial" w:cs="Arial" w:eastAsia="Arial" w:hAnsi="Arial"/>
                <w:sz w:val="18"/>
                <w:szCs w:val="18"/>
                <w:b w:val="1"/>
                <w:bCs w:val="1"/>
                <w:color w:val="auto"/>
              </w:rPr>
              <w:t>Fiscal Years Ended March 31,</w:t>
            </w:r>
          </w:p>
        </w:tc>
      </w:tr>
      <w:tr>
        <w:trPr>
          <w:trHeight w:val="217"/>
        </w:trPr>
        <w:tc>
          <w:tcPr>
            <w:tcW w:w="532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2015</w:t>
            </w:r>
          </w:p>
        </w:tc>
        <w:tc>
          <w:tcPr>
            <w:tcW w:w="2860" w:type="dxa"/>
            <w:vAlign w:val="bottom"/>
            <w:tcBorders>
              <w:top w:val="single" w:sz="8" w:color="auto"/>
            </w:tcBorders>
            <w:gridSpan w:val="2"/>
          </w:tcPr>
          <w:p>
            <w:pPr>
              <w:jc w:val="center"/>
              <w:ind w:left="352"/>
              <w:spacing w:after="0"/>
              <w:rPr>
                <w:sz w:val="20"/>
                <w:szCs w:val="20"/>
                <w:color w:val="auto"/>
              </w:rPr>
            </w:pPr>
            <w:r>
              <w:rPr>
                <w:rFonts w:ascii="Arial" w:cs="Arial" w:eastAsia="Arial" w:hAnsi="Arial"/>
                <w:sz w:val="18"/>
                <w:szCs w:val="18"/>
                <w:b w:val="1"/>
                <w:bCs w:val="1"/>
                <w:color w:val="auto"/>
                <w:w w:val="84"/>
              </w:rPr>
              <w:t>2014</w:t>
            </w:r>
          </w:p>
        </w:tc>
        <w:tc>
          <w:tcPr>
            <w:tcW w:w="400" w:type="dxa"/>
            <w:vAlign w:val="bottom"/>
          </w:tcPr>
          <w:p>
            <w:pPr>
              <w:spacing w:after="0"/>
              <w:rPr>
                <w:sz w:val="18"/>
                <w:szCs w:val="18"/>
                <w:color w:val="auto"/>
              </w:rPr>
            </w:pPr>
          </w:p>
        </w:tc>
      </w:tr>
      <w:tr>
        <w:trPr>
          <w:trHeight w:val="211"/>
        </w:trPr>
        <w:tc>
          <w:tcPr>
            <w:tcW w:w="532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not applicable</w:t>
            </w:r>
          </w:p>
        </w:tc>
        <w:tc>
          <w:tcPr>
            <w:tcW w:w="40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$8.00 to $16.40</w:t>
            </w:r>
          </w:p>
        </w:tc>
      </w:tr>
      <w:tr>
        <w:trPr>
          <w:trHeight w:val="211"/>
        </w:trPr>
        <w:tc>
          <w:tcPr>
            <w:tcW w:w="5320" w:type="dxa"/>
            <w:vAlign w:val="bottom"/>
          </w:tcPr>
          <w:p>
            <w:pPr>
              <w:spacing w:after="0"/>
              <w:rPr>
                <w:sz w:val="20"/>
                <w:szCs w:val="20"/>
                <w:color w:val="auto"/>
              </w:rPr>
            </w:pPr>
            <w:r>
              <w:rPr>
                <w:rFonts w:ascii="Arial" w:cs="Arial" w:eastAsia="Arial" w:hAnsi="Arial"/>
                <w:sz w:val="18"/>
                <w:szCs w:val="18"/>
                <w:color w:val="auto"/>
              </w:rPr>
              <w:t>Market price on date of grant</w:t>
            </w: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not applicable</w:t>
            </w:r>
          </w:p>
        </w:tc>
        <w:tc>
          <w:tcPr>
            <w:tcW w:w="400" w:type="dxa"/>
            <w:vAlign w:val="bottom"/>
          </w:tcPr>
          <w:p>
            <w:pPr>
              <w:spacing w:after="0"/>
              <w:rPr>
                <w:sz w:val="18"/>
                <w:szCs w:val="18"/>
                <w:color w:val="auto"/>
              </w:rPr>
            </w:pPr>
          </w:p>
        </w:tc>
        <w:tc>
          <w:tcPr>
            <w:tcW w:w="28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$8.00 to $16.40</w:t>
            </w: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not applicable</w:t>
            </w:r>
          </w:p>
        </w:tc>
        <w:tc>
          <w:tcPr>
            <w:tcW w:w="40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9"/>
              </w:rPr>
              <w:t>1.08% to 2.53%</w:t>
            </w:r>
          </w:p>
        </w:tc>
      </w:tr>
      <w:tr>
        <w:trPr>
          <w:trHeight w:val="211"/>
        </w:trPr>
        <w:tc>
          <w:tcPr>
            <w:tcW w:w="5320" w:type="dxa"/>
            <w:vAlign w:val="bottom"/>
          </w:tcPr>
          <w:p>
            <w:pPr>
              <w:spacing w:after="0"/>
              <w:rPr>
                <w:sz w:val="20"/>
                <w:szCs w:val="20"/>
                <w:color w:val="auto"/>
              </w:rPr>
            </w:pPr>
            <w:r>
              <w:rPr>
                <w:rFonts w:ascii="Arial" w:cs="Arial" w:eastAsia="Arial" w:hAnsi="Arial"/>
                <w:sz w:val="18"/>
                <w:szCs w:val="18"/>
                <w:color w:val="auto"/>
              </w:rPr>
              <w:t>Expected term (years)</w:t>
            </w: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not applicable</w:t>
            </w:r>
          </w:p>
        </w:tc>
        <w:tc>
          <w:tcPr>
            <w:tcW w:w="400" w:type="dxa"/>
            <w:vAlign w:val="bottom"/>
          </w:tcPr>
          <w:p>
            <w:pPr>
              <w:spacing w:after="0"/>
              <w:rPr>
                <w:sz w:val="18"/>
                <w:szCs w:val="18"/>
                <w:color w:val="auto"/>
              </w:rPr>
            </w:pPr>
          </w:p>
        </w:tc>
        <w:tc>
          <w:tcPr>
            <w:tcW w:w="286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6.25 to 10.0</w:t>
            </w: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not applicable</w:t>
            </w:r>
          </w:p>
        </w:tc>
        <w:tc>
          <w:tcPr>
            <w:tcW w:w="40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87.9% to 103.2%</w:t>
            </w:r>
          </w:p>
        </w:tc>
      </w:tr>
      <w:tr>
        <w:trPr>
          <w:trHeight w:val="211"/>
        </w:trPr>
        <w:tc>
          <w:tcPr>
            <w:tcW w:w="5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not applicable</w:t>
            </w:r>
          </w:p>
        </w:tc>
        <w:tc>
          <w:tcPr>
            <w:tcW w:w="2860" w:type="dxa"/>
            <w:vAlign w:val="bottom"/>
            <w:gridSpan w:val="2"/>
          </w:tcPr>
          <w:p>
            <w:pPr>
              <w:jc w:val="center"/>
              <w:ind w:left="312"/>
              <w:spacing w:after="0"/>
              <w:rPr>
                <w:sz w:val="20"/>
                <w:szCs w:val="20"/>
                <w:color w:val="auto"/>
              </w:rPr>
            </w:pPr>
            <w:r>
              <w:rPr>
                <w:rFonts w:ascii="Arial" w:cs="Arial" w:eastAsia="Arial" w:hAnsi="Arial"/>
                <w:sz w:val="18"/>
                <w:szCs w:val="18"/>
                <w:color w:val="auto"/>
                <w:w w:val="84"/>
              </w:rPr>
              <w:t>0%</w:t>
            </w:r>
          </w:p>
        </w:tc>
        <w:tc>
          <w:tcPr>
            <w:tcW w:w="400" w:type="dxa"/>
            <w:vAlign w:val="bottom"/>
          </w:tcPr>
          <w:p>
            <w:pPr>
              <w:spacing w:after="0"/>
              <w:rPr>
                <w:sz w:val="18"/>
                <w:szCs w:val="18"/>
                <w:color w:val="auto"/>
              </w:rPr>
            </w:pPr>
          </w:p>
        </w:tc>
      </w:tr>
      <w:tr>
        <w:trPr>
          <w:trHeight w:val="211"/>
        </w:trPr>
        <w:tc>
          <w:tcPr>
            <w:tcW w:w="53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Fair value per share at grant date</w:t>
            </w: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not applicable</w:t>
            </w:r>
          </w:p>
        </w:tc>
        <w:tc>
          <w:tcPr>
            <w:tcW w:w="400" w:type="dxa"/>
            <w:vAlign w:val="bottom"/>
          </w:tcPr>
          <w:p>
            <w:pPr>
              <w:spacing w:after="0"/>
              <w:rPr>
                <w:sz w:val="19"/>
                <w:szCs w:val="19"/>
                <w:color w:val="auto"/>
              </w:rPr>
            </w:pPr>
          </w:p>
        </w:tc>
        <w:tc>
          <w:tcPr>
            <w:tcW w:w="28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$6.38 to $13.63</w:t>
            </w:r>
          </w:p>
        </w:tc>
      </w:tr>
    </w:tbl>
    <w:p>
      <w:pPr>
        <w:spacing w:after="0" w:line="21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(“SAB No. 107 and 110”). The utilization of SAB No. 107 and 110 was based on the lack of relevant historical data due to our limited historical experience as a publicly traded company as well as the lack of liquidity resulting from the limited number of freely-tradable shares of our common stock. Limited historical experience and lack of liquidity in our stock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calculated the forfeiture rate based on an analysis of historical data, as it reasonably approximates the currently anticipated rate of forfeitures for granted and outstanding options that have not vested.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the fiscal years ended March 31, 2015 and 2014 under our stock option plans: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color w:val="auto"/>
                <w:w w:val="87"/>
              </w:rPr>
              <w:t>Fiscal Years Ended March 31,</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2015</w:t>
            </w: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2014</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2"/>
              <w:spacing w:after="0" w:line="198"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2"/>
              <w:spacing w:after="0" w:line="198" w:lineRule="exact"/>
              <w:rPr>
                <w:sz w:val="20"/>
                <w:szCs w:val="20"/>
                <w:color w:val="auto"/>
              </w:rPr>
            </w:pPr>
            <w:r>
              <w:rPr>
                <w:rFonts w:ascii="Arial" w:cs="Arial" w:eastAsia="Arial" w:hAnsi="Arial"/>
                <w:sz w:val="18"/>
                <w:szCs w:val="18"/>
                <w:color w:val="auto"/>
                <w:w w:val="86"/>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1"/>
        </w:trPr>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Exercise</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29"/>
        </w:trPr>
        <w:tc>
          <w:tcPr>
            <w:tcW w:w="4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Price</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1"/>
        </w:trPr>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outstanding at beginning of period</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212,486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245,653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11"/>
        </w:trPr>
        <w:tc>
          <w:tcPr>
            <w:tcW w:w="4300" w:type="dxa"/>
            <w:vAlign w:val="bottom"/>
          </w:tcPr>
          <w:p>
            <w:pPr>
              <w:ind w:left="620"/>
              <w:spacing w:after="0"/>
              <w:rPr>
                <w:sz w:val="20"/>
                <w:szCs w:val="20"/>
                <w:color w:val="auto"/>
              </w:rPr>
            </w:pPr>
            <w:r>
              <w:rPr>
                <w:rFonts w:ascii="Arial" w:cs="Arial" w:eastAsia="Arial" w:hAnsi="Arial"/>
                <w:sz w:val="18"/>
                <w:szCs w:val="18"/>
                <w:color w:val="auto"/>
              </w:rPr>
              <w:t>Options granted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19,050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1"/>
        </w:trPr>
        <w:tc>
          <w:tcPr>
            <w:tcW w:w="43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Options exercised</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300" w:type="dxa"/>
            <w:vAlign w:val="bottom"/>
          </w:tcPr>
          <w:p>
            <w:pPr>
              <w:ind w:left="620"/>
              <w:spacing w:after="0"/>
              <w:rPr>
                <w:sz w:val="20"/>
                <w:szCs w:val="20"/>
                <w:color w:val="auto"/>
              </w:rPr>
            </w:pPr>
            <w:r>
              <w:rPr>
                <w:rFonts w:ascii="Arial" w:cs="Arial" w:eastAsia="Arial" w:hAnsi="Arial"/>
                <w:sz w:val="18"/>
                <w:szCs w:val="18"/>
                <w:color w:val="auto"/>
              </w:rPr>
              <w:t>Options forfeited</w:t>
            </w:r>
          </w:p>
        </w:tc>
        <w:tc>
          <w:tcPr>
            <w:tcW w:w="3060" w:type="dxa"/>
            <w:vAlign w:val="bottom"/>
            <w:gridSpan w:val="3"/>
          </w:tcPr>
          <w:p>
            <w:pPr>
              <w:jc w:val="right"/>
              <w:ind w:right="80"/>
              <w:spacing w:after="0"/>
              <w:rPr>
                <w:sz w:val="20"/>
                <w:szCs w:val="20"/>
                <w:color w:val="auto"/>
              </w:rPr>
            </w:pPr>
            <w:r>
              <w:rPr>
                <w:rFonts w:ascii="Arial" w:cs="Arial" w:eastAsia="Arial" w:hAnsi="Arial"/>
                <w:sz w:val="18"/>
                <w:szCs w:val="18"/>
                <w:color w:val="auto"/>
              </w:rPr>
              <w:t>(2,001)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(3,954)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Options expired</w:t>
            </w:r>
          </w:p>
        </w:tc>
        <w:tc>
          <w:tcPr>
            <w:tcW w:w="3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(2,847)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11"/>
        </w:trPr>
        <w:tc>
          <w:tcPr>
            <w:tcW w:w="43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300" w:type="dxa"/>
            <w:vAlign w:val="bottom"/>
            <w:tcBorders>
              <w:bottom w:val="single" w:sz="8" w:color="CCEEFF"/>
            </w:tcBorders>
            <w:shd w:val="clear" w:color="auto" w:fill="CCEEFF"/>
          </w:tcPr>
          <w:p>
            <w:pPr>
              <w:ind w:left="40"/>
              <w:spacing w:after="0" w:line="191" w:lineRule="exact"/>
              <w:rPr>
                <w:sz w:val="20"/>
                <w:szCs w:val="20"/>
                <w:color w:val="auto"/>
              </w:rPr>
            </w:pPr>
            <w:r>
              <w:rPr>
                <w:rFonts w:ascii="Arial" w:cs="Arial" w:eastAsia="Arial" w:hAnsi="Arial"/>
                <w:sz w:val="18"/>
                <w:szCs w:val="18"/>
                <w:color w:val="auto"/>
              </w:rPr>
              <w:t>Options outstanding at end of period</w:t>
            </w:r>
          </w:p>
        </w:tc>
        <w:tc>
          <w:tcPr>
            <w:tcW w:w="1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207,638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line="191" w:lineRule="exact"/>
              <w:rPr>
                <w:sz w:val="20"/>
                <w:szCs w:val="20"/>
                <w:color w:val="auto"/>
              </w:rPr>
            </w:pPr>
            <w:r>
              <w:rPr>
                <w:rFonts w:ascii="Arial" w:cs="Arial" w:eastAsia="Arial" w:hAnsi="Arial"/>
                <w:sz w:val="18"/>
                <w:szCs w:val="18"/>
                <w:color w:val="auto"/>
              </w:rPr>
              <w:t>10.09</w:t>
            </w:r>
          </w:p>
        </w:tc>
        <w:tc>
          <w:tcPr>
            <w:tcW w:w="114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212,486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3"/>
        </w:trPr>
        <w:tc>
          <w:tcPr>
            <w:tcW w:w="4300" w:type="dxa"/>
            <w:vAlign w:val="bottom"/>
          </w:tcPr>
          <w:p>
            <w:pPr>
              <w:ind w:left="40"/>
              <w:spacing w:after="0" w:line="191" w:lineRule="exact"/>
              <w:rPr>
                <w:sz w:val="20"/>
                <w:szCs w:val="20"/>
                <w:color w:val="auto"/>
              </w:rPr>
            </w:pPr>
            <w:r>
              <w:rPr>
                <w:rFonts w:ascii="Arial" w:cs="Arial" w:eastAsia="Arial" w:hAnsi="Arial"/>
                <w:sz w:val="18"/>
                <w:szCs w:val="18"/>
                <w:color w:val="auto"/>
              </w:rPr>
              <w:t>Options exercisable at end of period</w:t>
            </w:r>
          </w:p>
        </w:tc>
        <w:tc>
          <w:tcPr>
            <w:tcW w:w="292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199,013</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line="191"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line="191" w:lineRule="exact"/>
              <w:rPr>
                <w:sz w:val="20"/>
                <w:szCs w:val="20"/>
                <w:color w:val="auto"/>
              </w:rPr>
            </w:pPr>
            <w:r>
              <w:rPr>
                <w:rFonts w:ascii="Arial" w:cs="Arial" w:eastAsia="Arial" w:hAnsi="Arial"/>
                <w:sz w:val="18"/>
                <w:szCs w:val="18"/>
                <w:color w:val="auto"/>
              </w:rPr>
              <w:t>10.09</w:t>
            </w:r>
          </w:p>
        </w:tc>
        <w:tc>
          <w:tcPr>
            <w:tcW w:w="1340" w:type="dxa"/>
            <w:vAlign w:val="bottom"/>
            <w:gridSpan w:val="2"/>
          </w:tcPr>
          <w:p>
            <w:pPr>
              <w:jc w:val="right"/>
              <w:ind w:right="200"/>
              <w:spacing w:after="0" w:line="191" w:lineRule="exact"/>
              <w:rPr>
                <w:sz w:val="20"/>
                <w:szCs w:val="20"/>
                <w:color w:val="auto"/>
              </w:rPr>
            </w:pPr>
            <w:r>
              <w:rPr>
                <w:rFonts w:ascii="Arial" w:cs="Arial" w:eastAsia="Arial" w:hAnsi="Arial"/>
                <w:sz w:val="18"/>
                <w:szCs w:val="18"/>
                <w:color w:val="auto"/>
              </w:rPr>
              <w:t>182,775</w:t>
            </w:r>
          </w:p>
        </w:tc>
        <w:tc>
          <w:tcPr>
            <w:tcW w:w="16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1" w:lineRule="exact"/>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40"/>
              <w:spacing w:after="0" w:line="198" w:lineRule="exact"/>
              <w:rPr>
                <w:sz w:val="20"/>
                <w:szCs w:val="20"/>
                <w:color w:val="auto"/>
              </w:rPr>
            </w:pPr>
            <w:r>
              <w:rPr>
                <w:rFonts w:ascii="Arial" w:cs="Arial" w:eastAsia="Arial" w:hAnsi="Arial"/>
                <w:sz w:val="18"/>
                <w:szCs w:val="18"/>
                <w:color w:val="auto"/>
              </w:rPr>
              <w:t>Weighted average grant-date fair value of</w:t>
            </w: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00" w:type="dxa"/>
            <w:vAlign w:val="bottom"/>
          </w:tcPr>
          <w:p>
            <w:pPr>
              <w:ind w:left="620"/>
              <w:spacing w:after="0"/>
              <w:rPr>
                <w:sz w:val="20"/>
                <w:szCs w:val="20"/>
                <w:color w:val="auto"/>
              </w:rPr>
            </w:pPr>
            <w:r>
              <w:rPr>
                <w:rFonts w:ascii="Arial" w:cs="Arial" w:eastAsia="Arial" w:hAnsi="Arial"/>
                <w:sz w:val="18"/>
                <w:szCs w:val="18"/>
                <w:color w:val="auto"/>
              </w:rPr>
              <w:t>options granted during the period</w:t>
            </w:r>
          </w:p>
        </w:tc>
        <w:tc>
          <w:tcPr>
            <w:tcW w:w="1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760" w:type="dxa"/>
            <w:vAlign w:val="bottom"/>
            <w:vMerge w:val="restart"/>
          </w:tcPr>
          <w:p>
            <w:pPr>
              <w:jc w:val="right"/>
              <w:ind w:right="72"/>
              <w:spacing w:after="0"/>
              <w:rPr>
                <w:sz w:val="20"/>
                <w:szCs w:val="20"/>
                <w:color w:val="auto"/>
              </w:rPr>
            </w:pPr>
            <w:r>
              <w:rPr>
                <w:rFonts w:ascii="Arial" w:cs="Arial" w:eastAsia="Arial" w:hAnsi="Arial"/>
                <w:sz w:val="18"/>
                <w:szCs w:val="18"/>
                <w:color w:val="auto"/>
              </w:rPr>
              <w:t>-135-</w:t>
            </w: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5"/>
        </w:trPr>
        <w:tc>
          <w:tcPr>
            <w:tcW w:w="43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30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40" w:name="page141"/>
    <w:bookmarkEnd w:id="14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on stock options outstanding and exercisable under our stock option plans as of March 31, 2015: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Options Outstanding</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80" w:type="dxa"/>
            <w:vAlign w:val="bottom"/>
            <w:gridSpan w:val="5"/>
          </w:tcPr>
          <w:p>
            <w:pPr>
              <w:jc w:val="right"/>
              <w:ind w:right="1260"/>
              <w:spacing w:after="0"/>
              <w:rPr>
                <w:sz w:val="20"/>
                <w:szCs w:val="20"/>
                <w:color w:val="auto"/>
              </w:rPr>
            </w:pPr>
            <w:r>
              <w:rPr>
                <w:rFonts w:ascii="Arial" w:cs="Arial" w:eastAsia="Arial" w:hAnsi="Arial"/>
                <w:sz w:val="18"/>
                <w:szCs w:val="18"/>
                <w:color w:val="auto"/>
              </w:rPr>
              <w:t>Options Exercisable</w:t>
            </w:r>
          </w:p>
        </w:tc>
      </w:tr>
      <w:tr>
        <w:trPr>
          <w:trHeight w:val="198"/>
        </w:trPr>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jc w:val="center"/>
              <w:ind w:right="140"/>
              <w:spacing w:after="0" w:line="198" w:lineRule="exact"/>
              <w:rPr>
                <w:sz w:val="20"/>
                <w:szCs w:val="20"/>
                <w:color w:val="auto"/>
              </w:rPr>
            </w:pPr>
            <w:r>
              <w:rPr>
                <w:rFonts w:ascii="Arial" w:cs="Arial" w:eastAsia="Arial" w:hAnsi="Arial"/>
                <w:sz w:val="18"/>
                <w:szCs w:val="18"/>
                <w:color w:val="auto"/>
                <w:w w:val="86"/>
              </w:rPr>
              <w:t>Weighted</w:t>
            </w: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1"/>
        </w:trPr>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Average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Weighted</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Weighted</w:t>
            </w:r>
          </w:p>
        </w:tc>
      </w:tr>
      <w:tr>
        <w:trPr>
          <w:trHeight w:val="211"/>
        </w:trPr>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Remaining</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Average</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Average</w:t>
            </w:r>
          </w:p>
        </w:tc>
      </w:tr>
      <w:tr>
        <w:trPr>
          <w:trHeight w:val="211"/>
        </w:trPr>
        <w:tc>
          <w:tcPr>
            <w:tcW w:w="30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Exercise</w:t>
            </w: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Number</w:t>
            </w: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Years until</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color w:val="auto"/>
                <w:w w:val="86"/>
              </w:rPr>
              <w:t>Exercise</w:t>
            </w:r>
          </w:p>
        </w:tc>
        <w:tc>
          <w:tcPr>
            <w:tcW w:w="1960" w:type="dxa"/>
            <w:vAlign w:val="bottom"/>
            <w:gridSpan w:val="2"/>
          </w:tcPr>
          <w:p>
            <w:pPr>
              <w:jc w:val="right"/>
              <w:ind w:right="860"/>
              <w:spacing w:after="0"/>
              <w:rPr>
                <w:sz w:val="20"/>
                <w:szCs w:val="20"/>
                <w:color w:val="auto"/>
              </w:rPr>
            </w:pPr>
            <w:r>
              <w:rPr>
                <w:rFonts w:ascii="Arial" w:cs="Arial" w:eastAsia="Arial" w:hAnsi="Arial"/>
                <w:sz w:val="18"/>
                <w:szCs w:val="18"/>
                <w:color w:val="auto"/>
              </w:rPr>
              <w:t>Number</w:t>
            </w:r>
          </w:p>
        </w:tc>
        <w:tc>
          <w:tcPr>
            <w:tcW w:w="3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Exercise</w:t>
            </w:r>
          </w:p>
        </w:tc>
      </w:tr>
      <w:tr>
        <w:trPr>
          <w:trHeight w:val="229"/>
        </w:trPr>
        <w:tc>
          <w:tcPr>
            <w:tcW w:w="300" w:type="dxa"/>
            <w:vAlign w:val="bottom"/>
          </w:tcPr>
          <w:p>
            <w:pPr>
              <w:spacing w:after="0"/>
              <w:rPr>
                <w:sz w:val="19"/>
                <w:szCs w:val="19"/>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Price</w:t>
            </w:r>
          </w:p>
        </w:tc>
        <w:tc>
          <w:tcPr>
            <w:tcW w:w="1900" w:type="dxa"/>
            <w:vAlign w:val="bottom"/>
            <w:gridSpan w:val="2"/>
          </w:tcPr>
          <w:p>
            <w:pPr>
              <w:jc w:val="right"/>
              <w:ind w:right="660"/>
              <w:spacing w:after="0"/>
              <w:rPr>
                <w:sz w:val="20"/>
                <w:szCs w:val="20"/>
                <w:color w:val="auto"/>
              </w:rPr>
            </w:pPr>
            <w:r>
              <w:rPr>
                <w:rFonts w:ascii="Arial" w:cs="Arial" w:eastAsia="Arial" w:hAnsi="Arial"/>
                <w:sz w:val="18"/>
                <w:szCs w:val="18"/>
                <w:color w:val="auto"/>
              </w:rPr>
              <w:t>Outstanding</w:t>
            </w: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Expiration</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color w:val="auto"/>
                <w:w w:val="87"/>
              </w:rPr>
              <w:t>Price</w:t>
            </w: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Exercisable</w:t>
            </w:r>
          </w:p>
        </w:tc>
        <w:tc>
          <w:tcPr>
            <w:tcW w:w="300" w:type="dxa"/>
            <w:vAlign w:val="bottom"/>
          </w:tcPr>
          <w:p>
            <w:pPr>
              <w:spacing w:after="0"/>
              <w:rPr>
                <w:sz w:val="19"/>
                <w:szCs w:val="19"/>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Price</w:t>
            </w:r>
          </w:p>
        </w:tc>
      </w:tr>
      <w:tr>
        <w:trPr>
          <w:trHeight w:val="211"/>
        </w:trPr>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49,590</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46,466</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r>
      <w:tr>
        <w:trPr>
          <w:trHeight w:val="211"/>
        </w:trPr>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600" w:type="dxa"/>
            <w:vAlign w:val="bottom"/>
          </w:tcPr>
          <w:p>
            <w:pPr>
              <w:jc w:val="right"/>
              <w:spacing w:after="0"/>
              <w:rPr>
                <w:sz w:val="20"/>
                <w:szCs w:val="20"/>
                <w:color w:val="auto"/>
              </w:rPr>
            </w:pPr>
            <w:r>
              <w:rPr>
                <w:rFonts w:ascii="Arial" w:cs="Arial" w:eastAsia="Arial" w:hAnsi="Arial"/>
                <w:sz w:val="18"/>
                <w:szCs w:val="18"/>
                <w:color w:val="auto"/>
              </w:rPr>
              <w:t>147,939</w:t>
            </w:r>
          </w:p>
        </w:tc>
        <w:tc>
          <w:tcPr>
            <w:tcW w:w="3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4.88</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142,751</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r>
      <w:tr>
        <w:trPr>
          <w:trHeight w:val="217"/>
        </w:trPr>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14.40 to $36.00</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10,109</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21.69</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9,796</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60" w:type="dxa"/>
            <w:vAlign w:val="bottom"/>
            <w:shd w:val="clear" w:color="auto" w:fill="CCEEFF"/>
          </w:tcPr>
          <w:p>
            <w:pPr>
              <w:spacing w:after="0"/>
              <w:rPr>
                <w:sz w:val="18"/>
                <w:szCs w:val="18"/>
                <w:color w:val="auto"/>
              </w:rPr>
            </w:pPr>
          </w:p>
        </w:tc>
      </w:tr>
      <w:tr>
        <w:trPr>
          <w:trHeight w:val="211"/>
        </w:trPr>
        <w:tc>
          <w:tcPr>
            <w:tcW w:w="3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1"/>
        </w:trPr>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rPr>
              <w:t>207,638</w:t>
            </w:r>
          </w:p>
        </w:tc>
        <w:tc>
          <w:tcPr>
            <w:tcW w:w="3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40"/>
              <w:spacing w:after="0" w:line="191" w:lineRule="exact"/>
              <w:rPr>
                <w:sz w:val="20"/>
                <w:szCs w:val="20"/>
                <w:color w:val="auto"/>
              </w:rPr>
            </w:pPr>
            <w:r>
              <w:rPr>
                <w:rFonts w:ascii="Arial" w:cs="Arial" w:eastAsia="Arial" w:hAnsi="Arial"/>
                <w:sz w:val="18"/>
                <w:szCs w:val="18"/>
                <w:color w:val="auto"/>
              </w:rPr>
              <w:t>5.51</w:t>
            </w:r>
          </w:p>
        </w:tc>
        <w:tc>
          <w:tcPr>
            <w:tcW w:w="440" w:type="dxa"/>
            <w:vAlign w:val="bottom"/>
            <w:gridSpan w:val="2"/>
            <w:shd w:val="clear" w:color="auto" w:fill="CCEEFF"/>
          </w:tcPr>
          <w:p>
            <w:pPr>
              <w:jc w:val="right"/>
              <w:ind w:right="200"/>
              <w:spacing w:after="0" w:line="191"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00"/>
              <w:spacing w:after="0" w:line="191" w:lineRule="exact"/>
              <w:rPr>
                <w:sz w:val="20"/>
                <w:szCs w:val="20"/>
                <w:color w:val="auto"/>
              </w:rPr>
            </w:pPr>
            <w:r>
              <w:rPr>
                <w:rFonts w:ascii="Arial" w:cs="Arial" w:eastAsia="Arial" w:hAnsi="Arial"/>
                <w:sz w:val="18"/>
                <w:szCs w:val="18"/>
                <w:color w:val="auto"/>
              </w:rPr>
              <w:t>10.09</w:t>
            </w:r>
          </w:p>
        </w:tc>
        <w:tc>
          <w:tcPr>
            <w:tcW w:w="1960" w:type="dxa"/>
            <w:vAlign w:val="bottom"/>
            <w:gridSpan w:val="2"/>
            <w:shd w:val="clear" w:color="auto" w:fill="CCEEFF"/>
          </w:tcPr>
          <w:p>
            <w:pPr>
              <w:jc w:val="right"/>
              <w:ind w:right="320"/>
              <w:spacing w:after="0" w:line="191" w:lineRule="exact"/>
              <w:rPr>
                <w:sz w:val="20"/>
                <w:szCs w:val="20"/>
                <w:color w:val="auto"/>
              </w:rPr>
            </w:pPr>
            <w:r>
              <w:rPr>
                <w:rFonts w:ascii="Arial" w:cs="Arial" w:eastAsia="Arial" w:hAnsi="Arial"/>
                <w:sz w:val="18"/>
                <w:szCs w:val="18"/>
                <w:color w:val="auto"/>
              </w:rPr>
              <w:t>199,013</w:t>
            </w:r>
          </w:p>
        </w:tc>
        <w:tc>
          <w:tcPr>
            <w:tcW w:w="300" w:type="dxa"/>
            <w:vAlign w:val="bottom"/>
            <w:shd w:val="clear" w:color="auto" w:fill="CCEEFF"/>
          </w:tcPr>
          <w:p>
            <w:pPr>
              <w:jc w:val="right"/>
              <w:ind w:right="112"/>
              <w:spacing w:after="0" w:line="191"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20"/>
                <w:szCs w:val="20"/>
                <w:color w:val="auto"/>
              </w:rPr>
            </w:pPr>
          </w:p>
        </w:tc>
      </w:tr>
      <w:tr>
        <w:trPr>
          <w:trHeight w:val="20"/>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March 31, 2015, there were 40,491 shares of our common stock remaining available for grant under the 2008 Plan. There were no option exercises during the years ended March 31, 2015 or 2014.</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Aggregate intrinsic value is the sum of the amounts by which the fair value of the underlying common stock exceeded the exercise price of the option (</w:t>
      </w:r>
      <w:r>
        <w:rPr>
          <w:rFonts w:ascii="Arial" w:cs="Arial" w:eastAsia="Arial" w:hAnsi="Arial"/>
          <w:sz w:val="18"/>
          <w:szCs w:val="18"/>
          <w:i w:val="1"/>
          <w:iCs w:val="1"/>
          <w:color w:val="auto"/>
        </w:rPr>
        <w:t>in-the-money-options</w:t>
      </w:r>
      <w:r>
        <w:rPr>
          <w:rFonts w:ascii="Arial" w:cs="Arial" w:eastAsia="Arial" w:hAnsi="Arial"/>
          <w:sz w:val="18"/>
          <w:szCs w:val="18"/>
          <w:color w:val="auto"/>
        </w:rPr>
        <w:t>). Based on the $10.00 per share quoted market price of our common stock on March 31, 2015, the aggregate intrinsic value of outstanding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that date was $99,200, of which $92,900 related to exercisable options.</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March 31, 2015, there was approximately $71,700 of unrecognized compensation cost related to non-vested share-based compensation awards from the 2008 Plan, which is expected to be recognized through May 2016. Additionally, at March 31, 2015 there was approximately $27,000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4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xml:space="preserve">), the parent of CRL,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$310,400 (the </w:t>
      </w:r>
      <w:r>
        <w:rPr>
          <w:rFonts w:ascii="Arial" w:cs="Arial" w:eastAsia="Arial" w:hAnsi="Arial"/>
          <w:sz w:val="16"/>
          <w:szCs w:val="16"/>
          <w:i w:val="1"/>
          <w:iCs w:val="1"/>
          <w:color w:val="auto"/>
        </w:rPr>
        <w:t>2012 CHC Note</w:t>
      </w:r>
      <w:r>
        <w:rPr>
          <w:rFonts w:ascii="Arial" w:cs="Arial" w:eastAsia="Arial" w:hAnsi="Arial"/>
          <w:sz w:val="16"/>
          <w:szCs w:val="16"/>
          <w:color w:val="auto"/>
        </w:rPr>
        <w:t xml:space="preserve">) and a five-year warrant to purchase 12,500 restricted shares of our common stock at a price of $30.00 per share (the </w:t>
      </w:r>
      <w:r>
        <w:rPr>
          <w:rFonts w:ascii="Arial" w:cs="Arial" w:eastAsia="Arial" w:hAnsi="Arial"/>
          <w:sz w:val="16"/>
          <w:szCs w:val="16"/>
          <w:i w:val="1"/>
          <w:iCs w:val="1"/>
          <w:color w:val="auto"/>
        </w:rPr>
        <w:t>CHC Warrant</w:t>
      </w:r>
      <w:r>
        <w:rPr>
          <w:rFonts w:ascii="Arial" w:cs="Arial" w:eastAsia="Arial" w:hAnsi="Arial"/>
          <w:sz w:val="16"/>
          <w:szCs w:val="16"/>
          <w:color w:val="auto"/>
        </w:rPr>
        <w:t>). Additionally, on October 10, 2012, we issued to CRL: (i) an unsecured promissory note in the initial principal amount of $1,009,000,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payable solely in restricted shares of our common stock and which accrues interest at the rate of 7.5% per annum, compounded monthly (the </w:t>
      </w:r>
      <w:r>
        <w:rPr>
          <w:rFonts w:ascii="Arial" w:cs="Arial" w:eastAsia="Arial" w:hAnsi="Arial"/>
          <w:sz w:val="16"/>
          <w:szCs w:val="16"/>
          <w:i w:val="1"/>
          <w:iCs w:val="1"/>
          <w:color w:val="auto"/>
        </w:rPr>
        <w:t>CRL Note</w:t>
      </w:r>
      <w:r>
        <w:rPr>
          <w:rFonts w:ascii="Arial" w:cs="Arial" w:eastAsia="Arial" w:hAnsi="Arial"/>
          <w:sz w:val="16"/>
          <w:szCs w:val="16"/>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2012 CHC Note and the CRL Note mature on March 31, 2016.</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41" w:name="page142"/>
    <w:bookmarkEnd w:id="14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During fiscal year 2007, VistaGen California entered into a contract research organization arrangement with CRL related to the development of AV-101, under which we incurred expenses of $38,100 and $52,500 for the fiscal years ended March 31, 2015 and 2014, respectively. Total interest expense on notes payable to CHC and CRL was $174,800 and $167,900 for the fiscal years ended March 31, 2015 and 2014, respectively.</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Upon the approval of its Board of Directors, in December 2006, VistaGen California accepted a full-recourse promissory note in the amount of $103,400 from Mr. Shawn Singh in payment of the exercise price for options and warrants to purchase an aggregate of 6,320 restricted shares of VistaGen California’s common stock. The note accrued interest at a rate of 4.90% per annum and was due and payable no later than the earlier of (i) December 1, 2016 or (ii) ten days prior to VistaGen California becoming subject to the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2015 and 2014, we had accrued $101,900 as an estimate of the gross-up amount, but we had not yet paid any of that amount to Mr. Singh.</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2015, we have completely repaid the balance of the advances and the $50,000 promissory note issued in connection with his investment in the 2013 Unit Private Placement to Mr. Singh.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Contingencies, Guarantees and Indemnifications</w:t>
      </w:r>
    </w:p>
    <w:p>
      <w:pPr>
        <w:spacing w:after="0" w:line="24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6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2015 or 2014.</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2015 or 2014.</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42" w:name="page143"/>
    <w:bookmarkEnd w:id="14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and 2014, the following assets are under capital lease obligations and included in property and equipment: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8"/>
                <w:szCs w:val="18"/>
                <w:color w:val="auto"/>
              </w:rPr>
            </w:pPr>
          </w:p>
        </w:tc>
      </w:tr>
      <w:tr>
        <w:trPr>
          <w:trHeight w:val="211"/>
        </w:trPr>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r>
      <w:tr>
        <w:trPr>
          <w:trHeight w:val="217"/>
        </w:trPr>
        <w:tc>
          <w:tcPr>
            <w:tcW w:w="8800" w:type="dxa"/>
            <w:vAlign w:val="bottom"/>
          </w:tcPr>
          <w:p>
            <w:pPr>
              <w:spacing w:after="0"/>
              <w:rPr>
                <w:sz w:val="20"/>
                <w:szCs w:val="20"/>
                <w:color w:val="auto"/>
              </w:rPr>
            </w:pPr>
            <w:r>
              <w:rPr>
                <w:rFonts w:ascii="Arial" w:cs="Arial" w:eastAsia="Arial" w:hAnsi="Arial"/>
                <w:sz w:val="18"/>
                <w:szCs w:val="18"/>
                <w:color w:val="auto"/>
              </w:rPr>
              <w:t>Office equipment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8"/>
                <w:szCs w:val="18"/>
                <w:color w:val="auto"/>
              </w:rPr>
            </w:pPr>
          </w:p>
        </w:tc>
      </w:tr>
      <w:tr>
        <w:trPr>
          <w:trHeight w:val="211"/>
        </w:trPr>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23,500</w:t>
            </w:r>
          </w:p>
        </w:tc>
      </w:tr>
      <w:tr>
        <w:trPr>
          <w:trHeight w:val="217"/>
        </w:trPr>
        <w:tc>
          <w:tcPr>
            <w:tcW w:w="88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(11,100)</w:t>
            </w:r>
          </w:p>
        </w:tc>
      </w:tr>
      <w:tr>
        <w:trPr>
          <w:trHeight w:val="211"/>
        </w:trPr>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Net book value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12,400</w:t>
            </w:r>
          </w:p>
        </w:tc>
      </w:tr>
      <w:tr>
        <w:trPr>
          <w:trHeight w:val="20"/>
        </w:trPr>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Amortization expense for assets recorded under capital leases is included in depreciation expense. Future minimum payments, by year and in the aggregate, required under capital leases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Capital</w:t>
            </w:r>
          </w:p>
        </w:tc>
      </w:tr>
      <w:tr>
        <w:trPr>
          <w:trHeight w:val="229"/>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Years Ending March 31,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Leases</w:t>
            </w:r>
          </w:p>
        </w:tc>
        <w:tc>
          <w:tcPr>
            <w:tcW w:w="100" w:type="dxa"/>
            <w:vAlign w:val="bottom"/>
          </w:tcPr>
          <w:p>
            <w:pPr>
              <w:spacing w:after="0"/>
              <w:rPr>
                <w:sz w:val="19"/>
                <w:szCs w:val="19"/>
                <w:color w:val="auto"/>
              </w:rPr>
            </w:pPr>
          </w:p>
        </w:tc>
      </w:tr>
      <w:tr>
        <w:trPr>
          <w:trHeight w:val="211"/>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r>
      <w:tr>
        <w:trPr>
          <w:trHeight w:val="211"/>
        </w:trPr>
        <w:tc>
          <w:tcPr>
            <w:tcW w:w="1006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r>
      <w:tr>
        <w:trPr>
          <w:trHeight w:val="217"/>
        </w:trPr>
        <w:tc>
          <w:tcPr>
            <w:tcW w:w="10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1"/>
        </w:trPr>
        <w:tc>
          <w:tcPr>
            <w:tcW w:w="10060" w:type="dxa"/>
            <w:vAlign w:val="bottom"/>
          </w:tcPr>
          <w:p>
            <w:pPr>
              <w:spacing w:after="0"/>
              <w:rPr>
                <w:sz w:val="20"/>
                <w:szCs w:val="20"/>
                <w:color w:val="auto"/>
              </w:rPr>
            </w:pPr>
            <w:r>
              <w:rPr>
                <w:rFonts w:ascii="Arial" w:cs="Arial" w:eastAsia="Arial" w:hAnsi="Arial"/>
                <w:sz w:val="18"/>
                <w:szCs w:val="18"/>
                <w:color w:val="auto"/>
              </w:rPr>
              <w:t>Future minimum lease payments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r>
      <w:tr>
        <w:trPr>
          <w:trHeight w:val="211"/>
        </w:trPr>
        <w:tc>
          <w:tcPr>
            <w:tcW w:w="10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7"/>
        </w:trPr>
        <w:tc>
          <w:tcPr>
            <w:tcW w:w="10060" w:type="dxa"/>
            <w:vAlign w:val="bottom"/>
          </w:tcPr>
          <w:p>
            <w:pPr>
              <w:ind w:left="180"/>
              <w:spacing w:after="0"/>
              <w:rPr>
                <w:sz w:val="20"/>
                <w:szCs w:val="20"/>
                <w:color w:val="auto"/>
              </w:rPr>
            </w:pPr>
            <w:r>
              <w:rPr>
                <w:rFonts w:ascii="Arial" w:cs="Arial" w:eastAsia="Arial" w:hAnsi="Arial"/>
                <w:sz w:val="18"/>
                <w:szCs w:val="18"/>
                <w:color w:val="auto"/>
              </w:rPr>
              <w:t>Less imputed interest included in minimum lease payments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r>
      <w:tr>
        <w:trPr>
          <w:trHeight w:val="211"/>
        </w:trPr>
        <w:tc>
          <w:tcPr>
            <w:tcW w:w="10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006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r>
      <w:tr>
        <w:trPr>
          <w:trHeight w:val="211"/>
        </w:trPr>
        <w:tc>
          <w:tcPr>
            <w:tcW w:w="10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7"/>
        </w:trPr>
        <w:tc>
          <w:tcPr>
            <w:tcW w:w="10060" w:type="dxa"/>
            <w:vAlign w:val="bottom"/>
          </w:tcPr>
          <w:p>
            <w:pPr>
              <w:ind w:left="18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1"/>
        </w:trPr>
        <w:tc>
          <w:tcPr>
            <w:tcW w:w="10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10060" w:type="dxa"/>
            <w:vAlign w:val="bottom"/>
          </w:tcPr>
          <w:p>
            <w:pPr>
              <w:spacing w:after="0"/>
              <w:rPr>
                <w:sz w:val="20"/>
                <w:szCs w:val="20"/>
                <w:color w:val="auto"/>
              </w:rPr>
            </w:pPr>
            <w:r>
              <w:rPr>
                <w:rFonts w:ascii="Arial" w:cs="Arial" w:eastAsia="Arial" w:hAnsi="Arial"/>
                <w:sz w:val="18"/>
                <w:szCs w:val="18"/>
                <w:color w:val="auto"/>
              </w:rPr>
              <w:t>Non-current capital lease obligation</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r>
      <w:tr>
        <w:trPr>
          <w:trHeight w:val="20"/>
        </w:trPr>
        <w:tc>
          <w:tcPr>
            <w:tcW w:w="10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At March 31, 2015, future minimum payments under operating leases relate to our facility lease in South San Francisco, California through July 31, 2017 and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360" w:type="dxa"/>
            <w:vAlign w:val="bottom"/>
            <w:gridSpan w:val="3"/>
          </w:tcPr>
          <w:p>
            <w:pPr>
              <w:spacing w:after="0"/>
              <w:rPr>
                <w:sz w:val="20"/>
                <w:szCs w:val="20"/>
                <w:color w:val="auto"/>
              </w:rPr>
            </w:pPr>
            <w:r>
              <w:rPr>
                <w:rFonts w:ascii="Arial" w:cs="Arial" w:eastAsia="Arial" w:hAnsi="Arial"/>
                <w:sz w:val="18"/>
                <w:szCs w:val="18"/>
                <w:color w:val="auto"/>
              </w:rPr>
              <w:t>Fiscal Years Ending March 31,</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Amount</w:t>
            </w:r>
          </w:p>
        </w:tc>
      </w:tr>
      <w:tr>
        <w:trPr>
          <w:trHeight w:val="211"/>
        </w:trPr>
        <w:tc>
          <w:tcPr>
            <w:tcW w:w="10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264,000</w:t>
            </w:r>
          </w:p>
        </w:tc>
        <w:tc>
          <w:tcPr>
            <w:tcW w:w="100" w:type="dxa"/>
            <w:vAlign w:val="bottom"/>
            <w:shd w:val="clear" w:color="auto" w:fill="CCEEFF"/>
          </w:tcPr>
          <w:p>
            <w:pPr>
              <w:spacing w:after="0"/>
              <w:rPr>
                <w:sz w:val="18"/>
                <w:szCs w:val="18"/>
                <w:color w:val="auto"/>
              </w:rPr>
            </w:pPr>
          </w:p>
        </w:tc>
      </w:tr>
      <w:tr>
        <w:trPr>
          <w:trHeight w:val="211"/>
        </w:trPr>
        <w:tc>
          <w:tcPr>
            <w:tcW w:w="1006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277,100</w:t>
            </w:r>
          </w:p>
        </w:tc>
        <w:tc>
          <w:tcPr>
            <w:tcW w:w="100" w:type="dxa"/>
            <w:vAlign w:val="bottom"/>
          </w:tcPr>
          <w:p>
            <w:pPr>
              <w:spacing w:after="0"/>
              <w:rPr>
                <w:sz w:val="18"/>
                <w:szCs w:val="18"/>
                <w:color w:val="auto"/>
              </w:rPr>
            </w:pPr>
          </w:p>
        </w:tc>
      </w:tr>
      <w:tr>
        <w:trPr>
          <w:trHeight w:val="217"/>
        </w:trPr>
        <w:tc>
          <w:tcPr>
            <w:tcW w:w="10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1"/>
        </w:trPr>
        <w:tc>
          <w:tcPr>
            <w:tcW w:w="10360" w:type="dxa"/>
            <w:vAlign w:val="bottom"/>
            <w:gridSpan w:val="3"/>
          </w:tcPr>
          <w:p>
            <w:pPr>
              <w:ind w:left="10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634,900</w:t>
            </w:r>
          </w:p>
        </w:tc>
        <w:tc>
          <w:tcPr>
            <w:tcW w:w="100" w:type="dxa"/>
            <w:vAlign w:val="bottom"/>
          </w:tcPr>
          <w:p>
            <w:pPr>
              <w:spacing w:after="0"/>
              <w:rPr>
                <w:sz w:val="18"/>
                <w:szCs w:val="18"/>
                <w:color w:val="auto"/>
              </w:rPr>
            </w:pPr>
          </w:p>
        </w:tc>
      </w:tr>
      <w:tr>
        <w:trPr>
          <w:trHeight w:val="20"/>
        </w:trPr>
        <w:tc>
          <w:tcPr>
            <w:tcW w:w="10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incurred total facility rent expense for the fiscal years ended March 31, 2015 and 2014 of $337,000 and $284,100 ,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43" w:name="page144"/>
    <w:bookmarkEnd w:id="14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Repayment</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At March 31, 2015, assuming that all outstanding convertible notes are converted into shares of common stock in accordance with their respective conversion provisions and that Replacement Note B issued to Morrison &amp; Foerster, the CRL Note and the UHN Note, each as described further in Note 8, </w:t>
      </w:r>
      <w:r>
        <w:rPr>
          <w:rFonts w:ascii="Arial" w:cs="Arial" w:eastAsia="Arial" w:hAnsi="Arial"/>
          <w:sz w:val="16"/>
          <w:szCs w:val="16"/>
          <w:i w:val="1"/>
          <w:iCs w:val="1"/>
          <w:color w:val="auto"/>
        </w:rPr>
        <w:t>Convertible</w:t>
      </w:r>
      <w:r>
        <w:rPr>
          <w:rFonts w:ascii="Arial" w:cs="Arial" w:eastAsia="Arial" w:hAnsi="Arial"/>
          <w:sz w:val="16"/>
          <w:szCs w:val="16"/>
          <w:color w:val="auto"/>
        </w:rPr>
        <w:t xml:space="preserve"> </w:t>
      </w:r>
      <w:r>
        <w:rPr>
          <w:rFonts w:ascii="Arial" w:cs="Arial" w:eastAsia="Arial" w:hAnsi="Arial"/>
          <w:sz w:val="16"/>
          <w:szCs w:val="16"/>
          <w:i w:val="1"/>
          <w:iCs w:val="1"/>
          <w:color w:val="auto"/>
        </w:rPr>
        <w:t>Promissory Notes and Other Notes Payable</w:t>
      </w:r>
      <w:r>
        <w:rPr>
          <w:rFonts w:ascii="Arial" w:cs="Arial" w:eastAsia="Arial" w:hAnsi="Arial"/>
          <w:sz w:val="16"/>
          <w:szCs w:val="16"/>
          <w:color w:val="auto"/>
        </w:rPr>
        <w:t>, are repaid through the issuance of restricted common stock upon the exercise of the warrants associated with such</w:t>
      </w:r>
      <w:r>
        <w:rPr>
          <w:rFonts w:ascii="Arial" w:cs="Arial" w:eastAsia="Arial" w:hAnsi="Arial"/>
          <w:sz w:val="16"/>
          <w:szCs w:val="16"/>
          <w:i w:val="1"/>
          <w:iCs w:val="1"/>
          <w:color w:val="auto"/>
        </w:rPr>
        <w:t xml:space="preserve"> </w:t>
      </w:r>
      <w:r>
        <w:rPr>
          <w:rFonts w:ascii="Arial" w:cs="Arial" w:eastAsia="Arial" w:hAnsi="Arial"/>
          <w:sz w:val="16"/>
          <w:szCs w:val="16"/>
          <w:color w:val="auto"/>
        </w:rPr>
        <w:t>notes, future minimum principal payments related to long-term debt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Years Ending March 31,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r>
      <w:tr>
        <w:trPr>
          <w:trHeight w:val="211"/>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2,185,700</w:t>
            </w:r>
          </w:p>
        </w:tc>
      </w:tr>
      <w:tr>
        <w:trPr>
          <w:trHeight w:val="211"/>
        </w:trPr>
        <w:tc>
          <w:tcPr>
            <w:tcW w:w="1006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9,800</w:t>
            </w:r>
          </w:p>
        </w:tc>
      </w:tr>
      <w:tr>
        <w:trPr>
          <w:trHeight w:val="211"/>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w:t>
            </w:r>
          </w:p>
        </w:tc>
      </w:tr>
      <w:tr>
        <w:trPr>
          <w:trHeight w:val="211"/>
        </w:trPr>
        <w:tc>
          <w:tcPr>
            <w:tcW w:w="100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11,300</w:t>
            </w:r>
          </w:p>
        </w:tc>
      </w:tr>
      <w:tr>
        <w:trPr>
          <w:trHeight w:val="217"/>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Thereafter through June 2019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11"/>
        </w:trPr>
        <w:tc>
          <w:tcPr>
            <w:tcW w:w="10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1"/>
        </w:trPr>
        <w:tc>
          <w:tcPr>
            <w:tcW w:w="100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2,221,300</w:t>
            </w:r>
          </w:p>
        </w:tc>
      </w:tr>
      <w:tr>
        <w:trPr>
          <w:trHeight w:val="20"/>
        </w:trPr>
        <w:tc>
          <w:tcPr>
            <w:tcW w:w="10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evaluated subsequent events through the date of this report and have identified the following material events and transactions that occurred after March 31,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Unit Private Placement</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From April 1, 2015 through May 14, 2015, we entered into securities purchase agreements with accredited investors pursuant to which we sold to such accredited investors Units, for aggregate cash proceeds of $280,000, consisting of (i) 10% convertible notes in the aggregate face amount of $280,000 due between April 30, 2015 and May 15, 2015 or automatically convertible into securities we may issue upon the consummation of a Qualified Financing, as defined in the note (ii) an aggregate of 33,000 restricted shares of our common stock; and (iii) warrants exercisable through December 31, 2016 to purchase an aggregate of 24,250 restricted shares of our common stock at an exercise price of $10.00 per share.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Creation of Series B Preferred Stock</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7, 2015, we filed a Certificate of Designation of the Relative Rights and Preferences of the Series B 10% Preferred Stock of VistaGen Therapeutics, Inc. (</w:t>
      </w:r>
      <w:r>
        <w:rPr>
          <w:rFonts w:ascii="Arial" w:cs="Arial" w:eastAsia="Arial" w:hAnsi="Arial"/>
          <w:sz w:val="18"/>
          <w:szCs w:val="18"/>
          <w:i w:val="1"/>
          <w:iCs w:val="1"/>
          <w:color w:val="auto"/>
        </w:rPr>
        <w:t>Certificate of Designation</w:t>
      </w:r>
      <w:r>
        <w:rPr>
          <w:rFonts w:ascii="Arial" w:cs="Arial" w:eastAsia="Arial" w:hAnsi="Arial"/>
          <w:sz w:val="18"/>
          <w:szCs w:val="18"/>
          <w:color w:val="auto"/>
        </w:rPr>
        <w:t>) with the Nevada Secretary of State to designate 4.0 million shares of our authorized preferred stock as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our common stock at a fixed conversion price of $7.00 per share (</w:t>
      </w:r>
      <w:r>
        <w:rPr>
          <w:rFonts w:ascii="Arial" w:cs="Arial" w:eastAsia="Arial" w:hAnsi="Arial"/>
          <w:sz w:val="16"/>
          <w:szCs w:val="16"/>
          <w:i w:val="1"/>
          <w:iCs w:val="1"/>
          <w:color w:val="auto"/>
        </w:rPr>
        <w:t>Conversion Price</w:t>
      </w:r>
      <w:r>
        <w:rPr>
          <w:rFonts w:ascii="Arial" w:cs="Arial" w:eastAsia="Arial" w:hAnsi="Arial"/>
          <w:sz w:val="16"/>
          <w:szCs w:val="16"/>
          <w:color w:val="auto"/>
        </w:rPr>
        <w:t>). The Conversion Price is subject to adjustment only for customary stock dividends, reclassifications, splits and similar transactions set forth in the Certificate of Designation. All outstanding shares of Series B Preferred are also convertible automatically into shares of our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6"/>
          <w:szCs w:val="16"/>
          <w:i w:val="1"/>
          <w:iCs w:val="1"/>
          <w:color w:val="auto"/>
        </w:rPr>
        <w:t>Conversion</w:t>
      </w:r>
      <w:r>
        <w:rPr>
          <w:rFonts w:ascii="Arial" w:cs="Arial" w:eastAsia="Arial" w:hAnsi="Arial"/>
          <w:sz w:val="16"/>
          <w:szCs w:val="16"/>
          <w:color w:val="auto"/>
        </w:rPr>
        <w:t>) are subject to certain beneficial ownership blockers as set forth in the Certificate of Designation.</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Conversion, shares of Series B Preferred will accrue dividends, payable only in shares of our common stock, at a rate of 10% per annum (</w:t>
      </w:r>
      <w:r>
        <w:rPr>
          <w:rFonts w:ascii="Arial" w:cs="Arial" w:eastAsia="Arial" w:hAnsi="Arial"/>
          <w:sz w:val="18"/>
          <w:szCs w:val="18"/>
          <w:i w:val="1"/>
          <w:iCs w:val="1"/>
          <w:color w:val="auto"/>
        </w:rPr>
        <w:t>Accrued</w:t>
      </w:r>
      <w:r>
        <w:rPr>
          <w:rFonts w:ascii="Arial" w:cs="Arial" w:eastAsia="Arial" w:hAnsi="Arial"/>
          <w:sz w:val="18"/>
          <w:szCs w:val="18"/>
          <w:color w:val="auto"/>
        </w:rPr>
        <w:t xml:space="preserve"> </w:t>
      </w:r>
      <w:r>
        <w:rPr>
          <w:rFonts w:ascii="Arial" w:cs="Arial" w:eastAsia="Arial" w:hAnsi="Arial"/>
          <w:sz w:val="18"/>
          <w:szCs w:val="18"/>
          <w:i w:val="1"/>
          <w:iCs w:val="1"/>
          <w:color w:val="auto"/>
        </w:rPr>
        <w:t>Dividend</w:t>
      </w:r>
      <w:r>
        <w:rPr>
          <w:rFonts w:ascii="Arial" w:cs="Arial" w:eastAsia="Arial" w:hAnsi="Arial"/>
          <w:sz w:val="18"/>
          <w:szCs w:val="18"/>
          <w:color w:val="auto"/>
        </w:rPr>
        <w:t>). The Accrued Dividend will be payable on the date of either a Voluntary Conversion or Automatic Conversion solely in that number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equal to the Accrued Dividend, divided by the Conversion Price.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44" w:name="page145"/>
    <w:bookmarkEnd w:id="14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Platinum</w:t>
      </w:r>
    </w:p>
    <w:p>
      <w:pPr>
        <w:spacing w:after="0" w:line="24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May 5, 2015, we entered into an Agreement with Platinum, which, as modified by an Acknowledgement and Agreement, became effective on May 12, 2015 (</w:t>
      </w:r>
      <w:r>
        <w:rPr>
          <w:rFonts w:ascii="Arial" w:cs="Arial" w:eastAsia="Arial" w:hAnsi="Arial"/>
          <w:sz w:val="18"/>
          <w:szCs w:val="18"/>
          <w:i w:val="1"/>
          <w:iCs w:val="1"/>
          <w:color w:val="auto"/>
        </w:rPr>
        <w:t>Platinum Agreement</w:t>
      </w:r>
      <w:r>
        <w:rPr>
          <w:rFonts w:ascii="Arial" w:cs="Arial" w:eastAsia="Arial" w:hAnsi="Arial"/>
          <w:sz w:val="18"/>
          <w:szCs w:val="18"/>
          <w:color w:val="auto"/>
        </w:rPr>
        <w:t>). Under the Platinum Agreement, Platinum:</w:t>
      </w:r>
    </w:p>
    <w:p>
      <w:pPr>
        <w:spacing w:after="0" w:line="233" w:lineRule="exact"/>
        <w:rPr>
          <w:sz w:val="20"/>
          <w:szCs w:val="20"/>
          <w:color w:val="auto"/>
        </w:rPr>
      </w:pPr>
    </w:p>
    <w:p>
      <w:pPr>
        <w:ind w:firstLine="163"/>
        <w:spacing w:after="0" w:line="262" w:lineRule="auto"/>
        <w:tabs>
          <w:tab w:leader="none" w:pos="413"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Converted all of the approximately $4.5 million outstanding balance (principal and accrued but unpaid interest) of the Senior Notes we issued to Platinum into 641,335 shares of Series B Preferred, thereby cancelling approximately $4.5 million of our outstanding indebtedness;</w:t>
      </w:r>
    </w:p>
    <w:p>
      <w:pPr>
        <w:spacing w:after="0" w:line="206" w:lineRule="exact"/>
        <w:rPr>
          <w:rFonts w:ascii="Arial" w:cs="Arial" w:eastAsia="Arial" w:hAnsi="Arial"/>
          <w:sz w:val="18"/>
          <w:szCs w:val="18"/>
          <w:color w:val="auto"/>
        </w:rPr>
      </w:pPr>
    </w:p>
    <w:p>
      <w:pPr>
        <w:ind w:firstLine="163"/>
        <w:spacing w:after="0" w:line="262" w:lineRule="auto"/>
        <w:tabs>
          <w:tab w:leader="none" w:pos="413"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Released all of its security interests in our assets and those of our subsidiaries by terminating the Amended and Restated Security Agreement, IP Security Agreement and Negative Covenant, each dated October 11, 2012 between us and Platinum; and</w:t>
      </w:r>
    </w:p>
    <w:p>
      <w:pPr>
        <w:spacing w:after="0" w:line="232" w:lineRule="exact"/>
        <w:rPr>
          <w:rFonts w:ascii="Arial" w:cs="Arial" w:eastAsia="Arial" w:hAnsi="Arial"/>
          <w:sz w:val="18"/>
          <w:szCs w:val="18"/>
          <w:color w:val="auto"/>
        </w:rPr>
      </w:pPr>
    </w:p>
    <w:p>
      <w:pPr>
        <w:jc w:val="both"/>
        <w:ind w:firstLine="163"/>
        <w:spacing w:after="0" w:line="253" w:lineRule="auto"/>
        <w:tabs>
          <w:tab w:leader="none" w:pos="413"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Converted all of the approximately $1.3 million outstanding balance (principal and accrued but unpaid interest) of the 2014 Unit Notes that we issued to Platinum into 240,305 shares of Series B Preferred and five-year warrants to purchase 240,305 shares of our common stock at a fixed exercise price of $7.00 per share (</w:t>
      </w:r>
      <w:r>
        <w:rPr>
          <w:rFonts w:ascii="Arial" w:cs="Arial" w:eastAsia="Arial" w:hAnsi="Arial"/>
          <w:sz w:val="18"/>
          <w:szCs w:val="18"/>
          <w:i w:val="1"/>
          <w:iCs w:val="1"/>
          <w:color w:val="auto"/>
        </w:rPr>
        <w:t>Series B Warrants</w:t>
      </w:r>
      <w:r>
        <w:rPr>
          <w:rFonts w:ascii="Arial" w:cs="Arial" w:eastAsia="Arial" w:hAnsi="Arial"/>
          <w:sz w:val="18"/>
          <w:szCs w:val="18"/>
          <w:color w:val="auto"/>
        </w:rPr>
        <w:t>), thereby cancelling approximately $1.3 million of our outstanding indebtedness; and</w:t>
      </w:r>
    </w:p>
    <w:p>
      <w:pPr>
        <w:spacing w:after="0" w:line="240" w:lineRule="exact"/>
        <w:rPr>
          <w:rFonts w:ascii="Arial" w:cs="Arial" w:eastAsia="Arial" w:hAnsi="Arial"/>
          <w:sz w:val="18"/>
          <w:szCs w:val="18"/>
          <w:color w:val="auto"/>
        </w:rPr>
      </w:pPr>
    </w:p>
    <w:p>
      <w:pPr>
        <w:jc w:val="both"/>
        <w:ind w:firstLine="163"/>
        <w:spacing w:after="0" w:line="250" w:lineRule="auto"/>
        <w:tabs>
          <w:tab w:leader="none" w:pos="413"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8"/>
          <w:szCs w:val="18"/>
          <w:i w:val="1"/>
          <w:iCs w:val="1"/>
          <w:color w:val="auto"/>
        </w:rPr>
        <w:t>Investor 2014 Unit Notes</w:t>
      </w:r>
      <w:r>
        <w:rPr>
          <w:rFonts w:ascii="Arial" w:cs="Arial" w:eastAsia="Arial" w:hAnsi="Arial"/>
          <w:sz w:val="18"/>
          <w:szCs w:val="18"/>
          <w:color w:val="auto"/>
        </w:rPr>
        <w:t xml:space="preserve"> ) and converted the entire outstanding balance of the Investor 2014 Unit Notes into 265,699 shares of Series B Preferred and Series B Warrants to purchase 265,699 shares of our common stock, thereby cancelling approximately $1.5 million of our outstanding indebtedness; and</w:t>
      </w:r>
    </w:p>
    <w:p>
      <w:pPr>
        <w:spacing w:after="0" w:line="243" w:lineRule="exact"/>
        <w:rPr>
          <w:rFonts w:ascii="Arial" w:cs="Arial" w:eastAsia="Arial" w:hAnsi="Arial"/>
          <w:sz w:val="18"/>
          <w:szCs w:val="18"/>
          <w:color w:val="auto"/>
        </w:rPr>
      </w:pPr>
    </w:p>
    <w:p>
      <w:pPr>
        <w:ind w:firstLine="163"/>
        <w:spacing w:after="0" w:line="324" w:lineRule="auto"/>
        <w:tabs>
          <w:tab w:leader="none" w:pos="413" w:val="left"/>
        </w:tabs>
        <w:numPr>
          <w:ilvl w:val="0"/>
          <w:numId w:val="61"/>
        </w:numPr>
        <w:rPr>
          <w:rFonts w:ascii="Arial" w:cs="Arial" w:eastAsia="Arial" w:hAnsi="Arial"/>
          <w:sz w:val="16"/>
          <w:szCs w:val="16"/>
          <w:color w:val="auto"/>
        </w:rPr>
      </w:pPr>
      <w:r>
        <w:rPr>
          <w:rFonts w:ascii="Arial" w:cs="Arial" w:eastAsia="Arial" w:hAnsi="Arial"/>
          <w:sz w:val="16"/>
          <w:szCs w:val="16"/>
          <w:color w:val="auto"/>
        </w:rPr>
        <w:t>Entered into a Securities Purchase Agreement (</w:t>
      </w:r>
      <w:r>
        <w:rPr>
          <w:rFonts w:ascii="Arial" w:cs="Arial" w:eastAsia="Arial" w:hAnsi="Arial"/>
          <w:sz w:val="16"/>
          <w:szCs w:val="16"/>
          <w:i w:val="1"/>
          <w:iCs w:val="1"/>
          <w:color w:val="auto"/>
        </w:rPr>
        <w:t>SPA</w:t>
      </w:r>
      <w:r>
        <w:rPr>
          <w:rFonts w:ascii="Arial" w:cs="Arial" w:eastAsia="Arial" w:hAnsi="Arial"/>
          <w:sz w:val="16"/>
          <w:szCs w:val="16"/>
          <w:color w:val="auto"/>
        </w:rPr>
        <w:t>) to purchase, for $1.0 million, a total of 142,857 shares of Series B Preferred and a Series B Warrant to purchase 142,857 shares of our common stock, on or before June 11, 2015 (a portion of which purchase was completed on June 19, 2015); and</w:t>
      </w:r>
    </w:p>
    <w:p>
      <w:pPr>
        <w:spacing w:after="0" w:line="188" w:lineRule="exact"/>
        <w:rPr>
          <w:rFonts w:ascii="Arial" w:cs="Arial" w:eastAsia="Arial" w:hAnsi="Arial"/>
          <w:sz w:val="16"/>
          <w:szCs w:val="16"/>
          <w:color w:val="auto"/>
        </w:rPr>
      </w:pPr>
    </w:p>
    <w:p>
      <w:pPr>
        <w:ind w:left="420" w:hanging="257"/>
        <w:spacing w:after="0"/>
        <w:tabs>
          <w:tab w:leader="none" w:pos="4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Amended the Platinum Warrants (all warrants previously issued by us to Platinum in connection with the Senior Notes) and the Series A Exchange Warrant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w:t>
      </w:r>
    </w:p>
    <w:p>
      <w:pPr>
        <w:spacing w:after="0" w:line="255" w:lineRule="exact"/>
        <w:rPr>
          <w:sz w:val="20"/>
          <w:szCs w:val="20"/>
          <w:color w:val="auto"/>
        </w:rPr>
      </w:pPr>
    </w:p>
    <w:p>
      <w:pPr>
        <w:ind w:left="780" w:hanging="301"/>
        <w:spacing w:after="0"/>
        <w:tabs>
          <w:tab w:leader="none" w:pos="7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fix the exercise price thereof at $7.00 per share;</w:t>
      </w:r>
    </w:p>
    <w:p>
      <w:pPr>
        <w:spacing w:after="0" w:line="15" w:lineRule="exact"/>
        <w:rPr>
          <w:rFonts w:ascii="Arial" w:cs="Arial" w:eastAsia="Arial" w:hAnsi="Arial"/>
          <w:sz w:val="18"/>
          <w:szCs w:val="18"/>
          <w:color w:val="auto"/>
        </w:rPr>
      </w:pPr>
    </w:p>
    <w:p>
      <w:pPr>
        <w:ind w:left="620" w:hanging="141"/>
        <w:spacing w:after="0"/>
        <w:tabs>
          <w:tab w:leader="none" w:pos="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eliminate the exercise price reset features and fix the number of shares of our common stock issuable thereunder; and</w:t>
      </w:r>
    </w:p>
    <w:p>
      <w:pPr>
        <w:spacing w:after="0" w:line="18" w:lineRule="exact"/>
        <w:rPr>
          <w:rFonts w:ascii="Arial" w:cs="Arial" w:eastAsia="Arial" w:hAnsi="Arial"/>
          <w:sz w:val="18"/>
          <w:szCs w:val="18"/>
          <w:color w:val="auto"/>
        </w:rPr>
      </w:pPr>
    </w:p>
    <w:p>
      <w:pPr>
        <w:ind w:left="780" w:hanging="301"/>
        <w:spacing w:after="0"/>
        <w:tabs>
          <w:tab w:leader="none" w:pos="7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eliminate the cashless exercise provisions from the Platinum Warrants and the Series A Exchange Warrant; and</w:t>
      </w:r>
    </w:p>
    <w:p>
      <w:pPr>
        <w:spacing w:after="0" w:line="267" w:lineRule="exact"/>
        <w:rPr>
          <w:rFonts w:ascii="Arial" w:cs="Arial" w:eastAsia="Arial" w:hAnsi="Arial"/>
          <w:sz w:val="18"/>
          <w:szCs w:val="18"/>
          <w:color w:val="auto"/>
        </w:rPr>
      </w:pPr>
    </w:p>
    <w:p>
      <w:pPr>
        <w:jc w:val="both"/>
        <w:ind w:firstLine="163"/>
        <w:spacing w:after="0" w:line="253" w:lineRule="auto"/>
        <w:tabs>
          <w:tab w:leader="none" w:pos="42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additional consideration for the agreements of Platinum under the Platinum Agreement, we issued to Platinum 400,000 shares of Series B Preferred and Series B Warrants to purchase 1.2 million shares of our common stock, and exchanged 30,000 shares of our common stock currently beneficially owned or controlled by Platinum for 30,000 shares of Series B Preferred.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2014 Unit Notes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May 20, 2015, holders of the remaining approximately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45" w:name="page146"/>
    <w:bookmarkEnd w:id="14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Series B Preferred Units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Between May 26, 2015 and June 25, 2015, we sold to accredited investors and institutions an aggregate of $557,500 of units in our Series B Preferred Unit offering, which units consist of Series B Preferred and Series B Warrants (together Series B Preferred Units),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Notes and Accounts Payable</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May and June 2015,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adjustments thereto) into 831,577 shares of Series B Preferred, thereby cancelling an additional approximately $5.8 million of our outstanding debt.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Financial Information</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 presents the unaudited statements of operations data for each of the eight quarters in the period ended March 31, 2015.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400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rPr>
              <w:t>Quarterly Results of Operations (Unaudited)</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8"/>
        </w:trPr>
        <w:tc>
          <w:tcPr>
            <w:tcW w:w="3480" w:type="dxa"/>
            <w:vAlign w:val="bottom"/>
          </w:tcPr>
          <w:p>
            <w:pPr>
              <w:spacing w:after="0"/>
              <w:rPr>
                <w:sz w:val="24"/>
                <w:szCs w:val="24"/>
                <w:color w:val="auto"/>
              </w:rPr>
            </w:pPr>
          </w:p>
        </w:tc>
        <w:tc>
          <w:tcPr>
            <w:tcW w:w="4300" w:type="dxa"/>
            <w:vAlign w:val="bottom"/>
            <w:gridSpan w:val="8"/>
          </w:tcPr>
          <w:p>
            <w:pPr>
              <w:jc w:val="right"/>
              <w:ind w:right="32"/>
              <w:spacing w:after="0"/>
              <w:rPr>
                <w:sz w:val="20"/>
                <w:szCs w:val="20"/>
                <w:color w:val="auto"/>
              </w:rPr>
            </w:pPr>
            <w:r>
              <w:rPr>
                <w:rFonts w:ascii="Arial" w:cs="Arial" w:eastAsia="Arial" w:hAnsi="Arial"/>
                <w:sz w:val="18"/>
                <w:szCs w:val="18"/>
                <w:b w:val="1"/>
                <w:bCs w:val="1"/>
                <w:color w:val="auto"/>
                <w:w w:val="93"/>
              </w:rPr>
              <w:t>(in thousands, except share and per share amounts)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5"/>
        </w:trPr>
        <w:tc>
          <w:tcPr>
            <w:tcW w:w="3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w w:val="99"/>
              </w:rPr>
              <w:t>Three Months Ended</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r>
      <w:tr>
        <w:trPr>
          <w:trHeight w:val="192"/>
        </w:trPr>
        <w:tc>
          <w:tcPr>
            <w:tcW w:w="3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2" w:lineRule="exact"/>
              <w:rPr>
                <w:sz w:val="20"/>
                <w:szCs w:val="20"/>
                <w:color w:val="auto"/>
              </w:rPr>
            </w:pPr>
            <w:r>
              <w:rPr>
                <w:rFonts w:ascii="Arial" w:cs="Arial" w:eastAsia="Arial" w:hAnsi="Arial"/>
                <w:sz w:val="18"/>
                <w:szCs w:val="18"/>
                <w:b w:val="1"/>
                <w:bCs w:val="1"/>
                <w:color w:val="auto"/>
                <w:w w:val="86"/>
              </w:rPr>
              <w:t>September 30,</w:t>
            </w:r>
          </w:p>
        </w:tc>
        <w:tc>
          <w:tcPr>
            <w:tcW w:w="1360" w:type="dxa"/>
            <w:vAlign w:val="bottom"/>
            <w:gridSpan w:val="3"/>
          </w:tcPr>
          <w:p>
            <w:pPr>
              <w:jc w:val="right"/>
              <w:ind w:right="280"/>
              <w:spacing w:after="0" w:line="192" w:lineRule="exact"/>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6"/>
                <w:szCs w:val="16"/>
                <w:color w:val="auto"/>
              </w:rPr>
            </w:pPr>
          </w:p>
        </w:tc>
        <w:tc>
          <w:tcPr>
            <w:tcW w:w="1000" w:type="dxa"/>
            <w:vAlign w:val="bottom"/>
          </w:tcPr>
          <w:p>
            <w:pPr>
              <w:jc w:val="right"/>
              <w:ind w:right="92"/>
              <w:spacing w:after="0" w:line="192" w:lineRule="exact"/>
              <w:rPr>
                <w:sz w:val="20"/>
                <w:szCs w:val="20"/>
                <w:color w:val="auto"/>
              </w:rPr>
            </w:pPr>
            <w:r>
              <w:rPr>
                <w:rFonts w:ascii="Arial" w:cs="Arial" w:eastAsia="Arial" w:hAnsi="Arial"/>
                <w:sz w:val="18"/>
                <w:szCs w:val="18"/>
                <w:b w:val="1"/>
                <w:bCs w:val="1"/>
                <w:color w:val="auto"/>
                <w:w w:val="96"/>
              </w:rPr>
              <w:t>March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line="192" w:lineRule="exact"/>
              <w:rPr>
                <w:sz w:val="20"/>
                <w:szCs w:val="20"/>
                <w:color w:val="auto"/>
              </w:rPr>
            </w:pPr>
            <w:r>
              <w:rPr>
                <w:rFonts w:ascii="Arial" w:cs="Arial" w:eastAsia="Arial" w:hAnsi="Arial"/>
                <w:sz w:val="18"/>
                <w:szCs w:val="18"/>
                <w:b w:val="1"/>
                <w:bCs w:val="1"/>
                <w:color w:val="auto"/>
                <w:w w:val="86"/>
              </w:rPr>
              <w:t>Fiscal Year</w:t>
            </w:r>
          </w:p>
        </w:tc>
      </w:tr>
      <w:tr>
        <w:trPr>
          <w:trHeight w:val="235"/>
        </w:trPr>
        <w:tc>
          <w:tcPr>
            <w:tcW w:w="3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June 30, 2014</w:t>
            </w:r>
          </w:p>
        </w:tc>
        <w:tc>
          <w:tcPr>
            <w:tcW w:w="26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20"/>
                <w:szCs w:val="20"/>
                <w:color w:val="auto"/>
              </w:rPr>
            </w:pPr>
          </w:p>
        </w:tc>
      </w:tr>
      <w:tr>
        <w:trPr>
          <w:trHeight w:val="421"/>
        </w:trPr>
        <w:tc>
          <w:tcPr>
            <w:tcW w:w="3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34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1"/>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34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2,433</w:t>
            </w:r>
          </w:p>
        </w:tc>
      </w:tr>
      <w:tr>
        <w:trPr>
          <w:trHeight w:val="211"/>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w:t>
            </w:r>
          </w:p>
        </w:tc>
      </w:tr>
      <w:tr>
        <w:trPr>
          <w:trHeight w:val="26"/>
        </w:trPr>
        <w:tc>
          <w:tcPr>
            <w:tcW w:w="3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348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1,114</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1,116</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6,777</w:t>
            </w:r>
          </w:p>
        </w:tc>
      </w:tr>
      <w:tr>
        <w:trPr>
          <w:trHeight w:val="26"/>
        </w:trPr>
        <w:tc>
          <w:tcPr>
            <w:tcW w:w="3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(6,777)</w:t>
            </w:r>
          </w:p>
        </w:tc>
      </w:tr>
      <w:tr>
        <w:trPr>
          <w:trHeight w:val="211"/>
        </w:trPr>
        <w:tc>
          <w:tcPr>
            <w:tcW w:w="3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348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(785)</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(606)</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(792)</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(4,549)</w:t>
            </w:r>
          </w:p>
        </w:tc>
      </w:tr>
      <w:tr>
        <w:trPr>
          <w:trHeight w:val="211"/>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warrant liabilities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1"/>
        </w:trPr>
        <w:tc>
          <w:tcPr>
            <w:tcW w:w="348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(1,603)</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(2,388)</w:t>
            </w:r>
          </w:p>
        </w:tc>
      </w:tr>
      <w:tr>
        <w:trPr>
          <w:trHeight w:val="217"/>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11"/>
        </w:trPr>
        <w:tc>
          <w:tcPr>
            <w:tcW w:w="34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1"/>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(13,884)</w:t>
            </w:r>
          </w:p>
        </w:tc>
      </w:tr>
      <w:tr>
        <w:trPr>
          <w:trHeight w:val="211"/>
        </w:trPr>
        <w:tc>
          <w:tcPr>
            <w:tcW w:w="3480" w:type="dxa"/>
            <w:vAlign w:val="bottom"/>
          </w:tcPr>
          <w:p>
            <w:pPr>
              <w:spacing w:after="0"/>
              <w:rPr>
                <w:sz w:val="20"/>
                <w:szCs w:val="20"/>
                <w:color w:val="auto"/>
              </w:rPr>
            </w:pPr>
            <w:r>
              <w:rPr>
                <w:rFonts w:ascii="Arial" w:cs="Arial" w:eastAsia="Arial" w:hAnsi="Arial"/>
                <w:sz w:val="18"/>
                <w:szCs w:val="18"/>
                <w:color w:val="auto"/>
              </w:rPr>
              <w:t>Income taxes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6"/>
        </w:trPr>
        <w:tc>
          <w:tcPr>
            <w:tcW w:w="3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1"/>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(4,553)</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(13,886)</w:t>
            </w:r>
          </w:p>
        </w:tc>
      </w:tr>
      <w:tr>
        <w:trPr>
          <w:trHeight w:val="203"/>
        </w:trPr>
        <w:tc>
          <w:tcPr>
            <w:tcW w:w="348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1"/>
        </w:trPr>
        <w:tc>
          <w:tcPr>
            <w:tcW w:w="3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3480" w:type="dxa"/>
            <w:vAlign w:val="bottom"/>
          </w:tcPr>
          <w:p>
            <w:pPr>
              <w:spacing w:after="0"/>
              <w:rPr>
                <w:sz w:val="20"/>
                <w:szCs w:val="20"/>
                <w:color w:val="auto"/>
              </w:rPr>
            </w:pPr>
            <w:r>
              <w:rPr>
                <w:rFonts w:ascii="Arial" w:cs="Arial" w:eastAsia="Arial" w:hAnsi="Arial"/>
                <w:sz w:val="18"/>
                <w:szCs w:val="18"/>
                <w:color w:val="auto"/>
              </w:rPr>
              <w:t>Basic net (loss) per common share</w:t>
            </w:r>
          </w:p>
        </w:tc>
        <w:tc>
          <w:tcPr>
            <w:tcW w:w="1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(1.58)</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(10.53)</w:t>
            </w:r>
          </w:p>
        </w:tc>
      </w:tr>
      <w:tr>
        <w:trPr>
          <w:trHeight w:val="20"/>
        </w:trPr>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3480" w:type="dxa"/>
            <w:vAlign w:val="bottom"/>
          </w:tcPr>
          <w:p>
            <w:pPr>
              <w:spacing w:after="0"/>
              <w:rPr>
                <w:sz w:val="20"/>
                <w:szCs w:val="20"/>
                <w:color w:val="auto"/>
              </w:rPr>
            </w:pPr>
            <w:r>
              <w:rPr>
                <w:rFonts w:ascii="Arial" w:cs="Arial" w:eastAsia="Arial" w:hAnsi="Arial"/>
                <w:sz w:val="18"/>
                <w:szCs w:val="18"/>
                <w:color w:val="auto"/>
              </w:rPr>
              <w:t>Diluted net loss per common share</w:t>
            </w:r>
          </w:p>
        </w:tc>
        <w:tc>
          <w:tcPr>
            <w:tcW w:w="1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r>
      <w:tr>
        <w:trPr>
          <w:trHeight w:val="20"/>
        </w:trPr>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3480" w:type="dxa"/>
            <w:vAlign w:val="bottom"/>
          </w:tcPr>
          <w:p>
            <w:pPr>
              <w:spacing w:after="0"/>
              <w:rPr>
                <w:sz w:val="20"/>
                <w:szCs w:val="20"/>
                <w:color w:val="auto"/>
              </w:rPr>
            </w:pPr>
            <w:r>
              <w:rPr>
                <w:rFonts w:ascii="Arial" w:cs="Arial" w:eastAsia="Arial" w:hAnsi="Arial"/>
                <w:sz w:val="18"/>
                <w:szCs w:val="18"/>
                <w:color w:val="auto"/>
                <w:w w:val="95"/>
              </w:rPr>
              <w:t>Weighted average shares used in computing:</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net (loss) per common share</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1,229,488</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1,279,251</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1,302,300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1,466,386</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1,318,797</w:t>
            </w:r>
          </w:p>
        </w:tc>
      </w:tr>
      <w:tr>
        <w:trPr>
          <w:trHeight w:val="203"/>
        </w:trPr>
        <w:tc>
          <w:tcPr>
            <w:tcW w:w="348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1"/>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net loss per common share</w:t>
            </w: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1,229,488</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1,299,099</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1,302,300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1,466,386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1,318,797</w:t>
            </w:r>
          </w:p>
        </w:tc>
      </w:tr>
      <w:tr>
        <w:trPr>
          <w:trHeight w:val="20"/>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9"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vMerge w:val="restart"/>
          </w:tcPr>
          <w:p>
            <w:pPr>
              <w:jc w:val="right"/>
              <w:ind w:right="700"/>
              <w:spacing w:after="0"/>
              <w:rPr>
                <w:sz w:val="20"/>
                <w:szCs w:val="20"/>
                <w:color w:val="auto"/>
              </w:rPr>
            </w:pPr>
            <w:r>
              <w:rPr>
                <w:rFonts w:ascii="Arial" w:cs="Arial" w:eastAsia="Arial" w:hAnsi="Arial"/>
                <w:sz w:val="18"/>
                <w:szCs w:val="18"/>
                <w:b w:val="1"/>
                <w:bCs w:val="1"/>
                <w:color w:val="auto"/>
                <w:w w:val="99"/>
              </w:rPr>
              <w:t>Three Months Ended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7"/>
        </w:trPr>
        <w:tc>
          <w:tcPr>
            <w:tcW w:w="1120" w:type="dxa"/>
            <w:vAlign w:val="bottom"/>
            <w:tcBorders>
              <w:top w:val="single" w:sz="8" w:color="0000EE"/>
            </w:tcBorders>
          </w:tcPr>
          <w:p>
            <w:pPr>
              <w:spacing w:after="0"/>
              <w:rPr>
                <w:sz w:val="20"/>
                <w:szCs w:val="20"/>
                <w:color w:val="auto"/>
              </w:rPr>
            </w:pPr>
          </w:p>
        </w:tc>
        <w:tc>
          <w:tcPr>
            <w:tcW w:w="2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2" w:lineRule="exact"/>
              <w:rPr>
                <w:sz w:val="20"/>
                <w:szCs w:val="20"/>
                <w:color w:val="auto"/>
              </w:rPr>
            </w:pPr>
            <w:r>
              <w:rPr>
                <w:rFonts w:ascii="Arial" w:cs="Arial" w:eastAsia="Arial" w:hAnsi="Arial"/>
                <w:sz w:val="18"/>
                <w:szCs w:val="18"/>
                <w:b w:val="1"/>
                <w:bCs w:val="1"/>
                <w:color w:val="auto"/>
                <w:w w:val="86"/>
              </w:rPr>
              <w:t>September 30,</w:t>
            </w:r>
          </w:p>
        </w:tc>
        <w:tc>
          <w:tcPr>
            <w:tcW w:w="1360" w:type="dxa"/>
            <w:vAlign w:val="bottom"/>
            <w:gridSpan w:val="3"/>
          </w:tcPr>
          <w:p>
            <w:pPr>
              <w:jc w:val="right"/>
              <w:ind w:right="280"/>
              <w:spacing w:after="0" w:line="192" w:lineRule="exact"/>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6"/>
                <w:szCs w:val="16"/>
                <w:color w:val="auto"/>
              </w:rPr>
            </w:pPr>
          </w:p>
        </w:tc>
        <w:tc>
          <w:tcPr>
            <w:tcW w:w="1000" w:type="dxa"/>
            <w:vAlign w:val="bottom"/>
          </w:tcPr>
          <w:p>
            <w:pPr>
              <w:jc w:val="right"/>
              <w:ind w:right="92"/>
              <w:spacing w:after="0" w:line="192" w:lineRule="exact"/>
              <w:rPr>
                <w:sz w:val="20"/>
                <w:szCs w:val="20"/>
                <w:color w:val="auto"/>
              </w:rPr>
            </w:pPr>
            <w:r>
              <w:rPr>
                <w:rFonts w:ascii="Arial" w:cs="Arial" w:eastAsia="Arial" w:hAnsi="Arial"/>
                <w:sz w:val="18"/>
                <w:szCs w:val="18"/>
                <w:b w:val="1"/>
                <w:bCs w:val="1"/>
                <w:color w:val="auto"/>
                <w:w w:val="96"/>
              </w:rPr>
              <w:t>March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line="192" w:lineRule="exact"/>
              <w:rPr>
                <w:sz w:val="20"/>
                <w:szCs w:val="20"/>
                <w:color w:val="auto"/>
              </w:rPr>
            </w:pPr>
            <w:r>
              <w:rPr>
                <w:rFonts w:ascii="Arial" w:cs="Arial" w:eastAsia="Arial" w:hAnsi="Arial"/>
                <w:sz w:val="18"/>
                <w:szCs w:val="18"/>
                <w:b w:val="1"/>
                <w:bCs w:val="1"/>
                <w:color w:val="auto"/>
                <w:w w:val="86"/>
              </w:rPr>
              <w:t>Fiscal Year</w:t>
            </w: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June 30, 2013</w:t>
            </w:r>
          </w:p>
        </w:tc>
        <w:tc>
          <w:tcPr>
            <w:tcW w:w="26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11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695</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1"/>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6"/>
        </w:trPr>
        <w:tc>
          <w:tcPr>
            <w:tcW w:w="112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gridSpan w:val="2"/>
          </w:tcPr>
          <w:p>
            <w:pPr>
              <w:ind w:left="560"/>
              <w:spacing w:after="0"/>
              <w:rPr>
                <w:sz w:val="20"/>
                <w:szCs w:val="20"/>
                <w:color w:val="auto"/>
              </w:rPr>
            </w:pPr>
            <w:r>
              <w:rPr>
                <w:rFonts w:ascii="Arial" w:cs="Arial" w:eastAsia="Arial" w:hAnsi="Arial"/>
                <w:sz w:val="18"/>
                <w:szCs w:val="18"/>
                <w:color w:val="auto"/>
              </w:rPr>
              <w:t>Total operating expenses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1,215</w:t>
            </w: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1,448</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gridSpan w:val="2"/>
          </w:tcPr>
          <w:p>
            <w:pPr>
              <w:ind w:left="360"/>
              <w:spacing w:after="0"/>
              <w:rPr>
                <w:sz w:val="20"/>
                <w:szCs w:val="20"/>
                <w:color w:val="auto"/>
              </w:rPr>
            </w:pPr>
            <w:r>
              <w:rPr>
                <w:rFonts w:ascii="Arial" w:cs="Arial" w:eastAsia="Arial" w:hAnsi="Arial"/>
                <w:sz w:val="18"/>
                <w:szCs w:val="18"/>
                <w:color w:val="auto"/>
              </w:rPr>
              <w:t>Interest expense, net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7"/>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warrant liabilities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1"/>
        </w:trPr>
        <w:tc>
          <w:tcPr>
            <w:tcW w:w="11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11"/>
        </w:trPr>
        <w:tc>
          <w:tcPr>
            <w:tcW w:w="40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03"/>
        </w:trPr>
        <w:tc>
          <w:tcPr>
            <w:tcW w:w="1120" w:type="dxa"/>
            <w:vAlign w:val="bottom"/>
            <w:tcBorders>
              <w:top w:val="single" w:sz="8" w:color="CCEEFF"/>
            </w:tcBorders>
          </w:tcPr>
          <w:p>
            <w:pPr>
              <w:spacing w:after="0"/>
              <w:rPr>
                <w:sz w:val="17"/>
                <w:szCs w:val="17"/>
                <w:color w:val="auto"/>
              </w:rPr>
            </w:pPr>
          </w:p>
        </w:tc>
        <w:tc>
          <w:tcPr>
            <w:tcW w:w="29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(loss) per common share</w:t>
            </w:r>
          </w:p>
        </w:tc>
        <w:tc>
          <w:tcPr>
            <w:tcW w:w="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1120" w:type="dxa"/>
            <w:vAlign w:val="bottom"/>
            <w:tcBorders>
              <w:top w:val="single" w:sz="8" w:color="CCEEFF"/>
            </w:tcBorders>
          </w:tcPr>
          <w:p>
            <w:pPr>
              <w:spacing w:after="0"/>
              <w:rPr>
                <w:sz w:val="17"/>
                <w:szCs w:val="17"/>
                <w:color w:val="auto"/>
              </w:rPr>
            </w:pPr>
          </w:p>
        </w:tc>
        <w:tc>
          <w:tcPr>
            <w:tcW w:w="29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loss per common share</w:t>
            </w:r>
          </w:p>
        </w:tc>
        <w:tc>
          <w:tcPr>
            <w:tcW w:w="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3"/>
        </w:trPr>
        <w:tc>
          <w:tcPr>
            <w:tcW w:w="1120" w:type="dxa"/>
            <w:vAlign w:val="bottom"/>
            <w:tcBorders>
              <w:top w:val="single" w:sz="8" w:color="CCEEFF"/>
            </w:tcBorders>
          </w:tcPr>
          <w:p>
            <w:pPr>
              <w:spacing w:after="0"/>
              <w:rPr>
                <w:sz w:val="17"/>
                <w:szCs w:val="17"/>
                <w:color w:val="auto"/>
              </w:rPr>
            </w:pPr>
          </w:p>
        </w:tc>
        <w:tc>
          <w:tcPr>
            <w:tcW w:w="29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gridSpan w:val="2"/>
          </w:tcPr>
          <w:p>
            <w:pPr>
              <w:ind w:left="360"/>
              <w:spacing w:after="0"/>
              <w:rPr>
                <w:sz w:val="20"/>
                <w:szCs w:val="20"/>
                <w:color w:val="auto"/>
              </w:rPr>
            </w:pPr>
            <w:r>
              <w:rPr>
                <w:rFonts w:ascii="Arial" w:cs="Arial" w:eastAsia="Arial" w:hAnsi="Arial"/>
                <w:sz w:val="18"/>
                <w:szCs w:val="18"/>
                <w:color w:val="auto"/>
              </w:rPr>
              <w:t>Basic net income (loss) per common share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1,042,081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1,081,529</w:t>
            </w: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1,110,529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1,162,636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1,098,742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20" w:type="dxa"/>
            <w:vAlign w:val="bottom"/>
            <w:gridSpan w:val="2"/>
          </w:tcPr>
          <w:p>
            <w:pPr>
              <w:ind w:left="360"/>
              <w:spacing w:after="0"/>
              <w:rPr>
                <w:sz w:val="20"/>
                <w:szCs w:val="20"/>
                <w:color w:val="auto"/>
              </w:rPr>
            </w:pPr>
            <w:r>
              <w:rPr>
                <w:rFonts w:ascii="Arial" w:cs="Arial" w:eastAsia="Arial" w:hAnsi="Arial"/>
                <w:sz w:val="18"/>
                <w:szCs w:val="18"/>
                <w:color w:val="auto"/>
              </w:rPr>
              <w:t>Diluted net loss per common share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1,061,544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1,128,152</w:t>
            </w: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1,110,529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1,162,636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1,099,216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1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2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47" w:name="page148"/>
    <w:bookmarkEnd w:id="14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Based on their evaluation as of the end of the period covered by this report, our Chief Executive Officer and Chief Financial Officer have concluded that our disclosure controls and procedures (as defined in Rules 13a-15(e) and 15d-15(e) under the Exchange Act) were effective as of the end of the period covered by this report to ensure that information that we are required to disclose in reports that management files or submits under the Exchange Act is recorded, processed, summarized and reported within the time periods specified in SEC rules and forms.</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disclosure controls and procedures are designed to provide reasonable assurance of achieving their objectives, and our chief executive officer and acting chief financial officer have concluded that these controls and procedures are effective at the “reasonable assurance” level.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 company’s internal control over financial reporting is a process designed to provide reasonable assurance regarding the reliability of financial reporting and the preparation of financial statements for external purposes in accordance with U.S. GAAP.</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inherent limitations in the effectiveness of any system of internal control, including the possibility of human error and the circumvention or overriding of controls. Accordingly, even effective internal controls can provide only reasonable assurances with respect to financial statement preparation. Further, because of changes in conditions, the effectiveness of internal control may vary over time.</w:t>
      </w:r>
    </w:p>
    <w:p>
      <w:pPr>
        <w:spacing w:after="0" w:line="21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March 31, 2015. In making this assessment, management used the criteria set forth by the Committee of Sponsoring Organizations (COSO) of the Treadway Commission in </w:t>
      </w:r>
      <w:r>
        <w:rPr>
          <w:rFonts w:ascii="Arial" w:cs="Arial" w:eastAsia="Arial" w:hAnsi="Arial"/>
          <w:sz w:val="16"/>
          <w:szCs w:val="16"/>
          <w:i w:val="1"/>
          <w:iCs w:val="1"/>
          <w:color w:val="auto"/>
        </w:rPr>
        <w:t>Internal Control—Integrated Framework (1992)</w:t>
      </w:r>
      <w:r>
        <w:rPr>
          <w:rFonts w:ascii="Arial" w:cs="Arial" w:eastAsia="Arial" w:hAnsi="Arial"/>
          <w:sz w:val="16"/>
          <w:szCs w:val="16"/>
          <w:color w:val="auto"/>
        </w:rPr>
        <w:t>. Based on its assessment using the COSO criteria, management concluded that our internal control over financial reporting was effective as of March 31, 2015.</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a result of the enactment of the Dodd-Frank Wall Street Reform and Consumer Protection Act of 2010, and the resulting amendment of Section 404 of the Sarbanes-Oxley Act of 2002, as a non-accelerated filer, we are not required to provide an attestation report by our independent registered public accounting firm regarding internal control over financial reporting for the fiscal year ended March 31, 2015 or thereafter, until such time as we are no longer eligible for the exemption for smaller issuers set forth within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48" w:name="page149"/>
    <w:bookmarkEnd w:id="14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Officers and Corporate Governance.</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senior management is composed of individuals with significant management experience. Our directors and executive officers as of June 26, 2015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Age</w:t>
            </w:r>
          </w:p>
        </w:tc>
        <w:tc>
          <w:tcPr>
            <w:tcW w:w="12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1"/>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4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1"/>
        </w:trPr>
        <w:tc>
          <w:tcPr>
            <w:tcW w:w="4300" w:type="dxa"/>
            <w:vAlign w:val="bottom"/>
          </w:tcPr>
          <w:p>
            <w:pPr>
              <w:spacing w:after="0"/>
              <w:rPr>
                <w:sz w:val="20"/>
                <w:szCs w:val="20"/>
                <w:color w:val="auto"/>
              </w:rPr>
            </w:pPr>
            <w:r>
              <w:rPr>
                <w:rFonts w:ascii="Arial" w:cs="Arial" w:eastAsia="Arial" w:hAnsi="Arial"/>
                <w:sz w:val="18"/>
                <w:szCs w:val="18"/>
                <w:color w:val="auto"/>
              </w:rPr>
              <w:t>H. Ralph Snodgrass, Ph.D.</w:t>
            </w:r>
          </w:p>
        </w:tc>
        <w:tc>
          <w:tcPr>
            <w:tcW w:w="1400" w:type="dxa"/>
            <w:vAlign w:val="bottom"/>
            <w:gridSpan w:val="2"/>
          </w:tcPr>
          <w:p>
            <w:pPr>
              <w:jc w:val="right"/>
              <w:ind w:right="41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1"/>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Jerrold D. Dotson</w:t>
            </w:r>
          </w:p>
        </w:tc>
        <w:tc>
          <w:tcPr>
            <w:tcW w:w="14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Chief Financial Officer and Secretary</w:t>
            </w:r>
          </w:p>
        </w:tc>
      </w:tr>
      <w:tr>
        <w:trPr>
          <w:trHeight w:val="211"/>
        </w:trPr>
        <w:tc>
          <w:tcPr>
            <w:tcW w:w="4300" w:type="dxa"/>
            <w:vAlign w:val="bottom"/>
          </w:tcPr>
          <w:p>
            <w:pPr>
              <w:spacing w:after="0"/>
              <w:rPr>
                <w:sz w:val="20"/>
                <w:szCs w:val="20"/>
                <w:color w:val="auto"/>
              </w:rPr>
            </w:pPr>
            <w:r>
              <w:rPr>
                <w:rFonts w:ascii="Arial" w:cs="Arial" w:eastAsia="Arial" w:hAnsi="Arial"/>
                <w:sz w:val="18"/>
                <w:szCs w:val="18"/>
                <w:color w:val="auto"/>
              </w:rPr>
              <w:t>Jon S. Saxe (1)</w:t>
            </w:r>
          </w:p>
        </w:tc>
        <w:tc>
          <w:tcPr>
            <w:tcW w:w="1400" w:type="dxa"/>
            <w:vAlign w:val="bottom"/>
            <w:gridSpan w:val="2"/>
          </w:tcPr>
          <w:p>
            <w:pPr>
              <w:jc w:val="right"/>
              <w:ind w:right="41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11"/>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Brian J. Underdown, PhD. (2)</w:t>
            </w:r>
          </w:p>
        </w:tc>
        <w:tc>
          <w:tcPr>
            <w:tcW w:w="14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25" w:lineRule="exact"/>
        <w:rPr>
          <w:sz w:val="20"/>
          <w:szCs w:val="20"/>
          <w:color w:val="auto"/>
        </w:rPr>
      </w:pPr>
    </w:p>
    <w:p>
      <w:pPr>
        <w:ind w:left="640" w:hanging="295"/>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Chairman of the audit committee and member of the compensation committee and corporate governance and nominating committee</w:t>
      </w:r>
    </w:p>
    <w:p>
      <w:pPr>
        <w:spacing w:after="0" w:line="15" w:lineRule="exact"/>
        <w:rPr>
          <w:rFonts w:ascii="Arial" w:cs="Arial" w:eastAsia="Arial" w:hAnsi="Arial"/>
          <w:sz w:val="18"/>
          <w:szCs w:val="18"/>
          <w:color w:val="auto"/>
        </w:rPr>
      </w:pPr>
    </w:p>
    <w:p>
      <w:pPr>
        <w:ind w:left="640" w:hanging="295"/>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Member of the audit committee and chairman of the compensation committee and corporate governance and nominating committee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4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i w:val="1"/>
          <w:iCs w:val="1"/>
          <w:color w:val="auto"/>
        </w:rPr>
        <w:t xml:space="preserve">Shawn K. Singh, J.D. </w:t>
      </w:r>
      <w:r>
        <w:rPr>
          <w:rFonts w:ascii="Arial" w:cs="Arial" w:eastAsia="Arial" w:hAnsi="Arial"/>
          <w:sz w:val="16"/>
          <w:szCs w:val="16"/>
          <w:color w:val="auto"/>
        </w:rPr>
        <w:t>has served as our Chief Executive Officer since August 2009; he joined our Board of Directors in 2000 and served on our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team (part-time) from late-2003, following our acquisition of Artemis Neuroscience, of which he was President, to August 2009. Mr. Singh has over 20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affiliated with Cato BioVentures. Mr. Singh served as President (part-time) of Echo Therapeutics (NASDAQ: ECTE), a medical device company,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US-based, China-focused specialty pharmaceutical company with a substantial revenue-generating and profitable commercial business and a marketed product portfolio of differentiated therapies for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J.D. degree from the University of Maryland School of Law. Mr. Singh is a member of the State Bar of California.</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with Dr. Gordon Keller in 1998 and served as our Chief Executive Officer until August 2009. Dr. Snodgrass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our President and Chief Scientific Officer since August 2009. He has served as a member of our Board of Directors since 1998. Prior to founding VistaGen, Dr. Snodgrass served 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20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28 years’ experience in the uses of stem cells as biological tools for research, drug discovery and development.</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49" w:name="page150"/>
    <w:bookmarkEnd w:id="14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4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 xml:space="preserve">Jon S. Saxe, J.D. </w:t>
      </w:r>
      <w:r>
        <w:rPr>
          <w:rFonts w:ascii="Arial" w:cs="Arial" w:eastAsia="Arial" w:hAnsi="Arial"/>
          <w:sz w:val="16"/>
          <w:szCs w:val="16"/>
          <w:color w:val="auto"/>
        </w:rPr>
        <w:t>has served as Chairman of our Board of Directors since 2000. He also serves as the Chairman of our Audit Committee. Mr. Saxe is the retired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five private life science companies, Arbor Vita Corporation, Arcuo Medical, LLC, Armetheon, Inc., Lumos Pharma, Inc. and Trellis Bioscience.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selected Mr. Saxe to serve as Chairman of our Board of Directors due to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Dr. Underdown has served as Managing Director of Lumira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Corp. since September 1997, having started in the venture capital 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Underdown’s past and current board positions include: ID Biomedical, Trillium Therapeutics, Cytochroma Inc., Argos Therapeutics, Locus Therapeutics, Nysa Membrane Technologies, Ception Therapeutics and Transmolecular Therapeutics. He has served on a number of Boards and advisory bodies of government sponsored research organizations including CANVAC, the Canadian National Centre of Excellence in Vaccines, Ontario Genomics Institute, Allergen, the Canadian National Centre of Excellence in Allergy and Asthma. Dr. Underdown obtained his Ph.D. in immunology from McGill University and undertook post-doctoral studies at Washington University School of Medicine.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Executive Officers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four members. Accordingly, there are currently three vacancies on our Board of Directors. Our Board of Directors anticipates filling each of such vacancies as soon as practicable. All actions of the Board of Directors require the approval of a majority of the directors in attendance at a meeting at which a quorum is present.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50" w:name="page151"/>
    <w:bookmarkEnd w:id="15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and Dr. Underdown, are each members of the audit committee. Mr. Saxe and Dr. Underdown also currently serve as members of the compensation committee and the corporate governance and nominating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audit committee is comprised of Mr. Saxe and Dr. Underdown.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217" w:lineRule="exact"/>
        <w:rPr>
          <w:sz w:val="20"/>
          <w:szCs w:val="20"/>
          <w:color w:val="auto"/>
        </w:rPr>
      </w:pPr>
    </w:p>
    <w:p>
      <w:pPr>
        <w:ind w:left="640" w:hanging="341"/>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4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compensation committee is comprised of Mr. Saxe and Dr. Underdown, who serves as the committee chairman. Our compensation committee charter is available on our website. Under its charter, the compensation committee is primarily responsible for, among other things,</w:t>
      </w:r>
    </w:p>
    <w:p>
      <w:pPr>
        <w:spacing w:after="0" w:line="207" w:lineRule="exact"/>
        <w:rPr>
          <w:sz w:val="20"/>
          <w:szCs w:val="20"/>
          <w:color w:val="auto"/>
        </w:rPr>
      </w:pPr>
    </w:p>
    <w:p>
      <w:pPr>
        <w:jc w:val="both"/>
        <w:ind w:left="640" w:hanging="341"/>
        <w:spacing w:after="0" w:line="299" w:lineRule="auto"/>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81" w:lineRule="exact"/>
        <w:rPr>
          <w:rFonts w:ascii="Arial" w:cs="Arial" w:eastAsia="Arial" w:hAnsi="Arial"/>
          <w:sz w:val="16"/>
          <w:szCs w:val="16"/>
          <w:color w:val="auto"/>
        </w:rPr>
      </w:pPr>
    </w:p>
    <w:p>
      <w:pPr>
        <w:ind w:left="640" w:hanging="341"/>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40"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206"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goals and objectives relevant to CEO compensation, evaluating CEO performance in light of such goals and objectives, and determining CEO compensation based on the evaluation; and</w:t>
      </w:r>
    </w:p>
    <w:p>
      <w:pPr>
        <w:spacing w:after="0" w:line="206" w:lineRule="exact"/>
        <w:rPr>
          <w:rFonts w:ascii="Arial" w:cs="Arial" w:eastAsia="Arial" w:hAnsi="Arial"/>
          <w:sz w:val="18"/>
          <w:szCs w:val="18"/>
          <w:color w:val="auto"/>
        </w:rPr>
      </w:pPr>
    </w:p>
    <w:p>
      <w:pPr>
        <w:jc w:val="both"/>
        <w:ind w:left="640" w:hanging="341"/>
        <w:spacing w:after="0" w:line="253"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214" w:lineRule="exact"/>
        <w:rPr>
          <w:rFonts w:ascii="Arial" w:cs="Arial" w:eastAsia="Arial" w:hAnsi="Arial"/>
          <w:sz w:val="18"/>
          <w:szCs w:val="18"/>
          <w:color w:val="auto"/>
        </w:rPr>
      </w:pPr>
    </w:p>
    <w:p>
      <w:pPr>
        <w:ind w:left="640" w:hanging="341"/>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w:t>
      </w:r>
    </w:p>
    <w:p>
      <w:pPr>
        <w:spacing w:after="0" w:line="240"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ectPr>
          <w:pgSz w:w="11900" w:h="16838" w:orient="portrait"/>
          <w:cols w:equalWidth="0" w:num="1">
            <w:col w:w="11420"/>
          </w:cols>
          <w:pgMar w:left="240" w:top="129"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151" w:name="page152"/>
    <w:bookmarkEnd w:id="15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215" w:lineRule="exact"/>
        <w:rPr>
          <w:sz w:val="20"/>
          <w:szCs w:val="20"/>
          <w:color w:val="auto"/>
        </w:rPr>
      </w:pPr>
    </w:p>
    <w:p>
      <w:pPr>
        <w:ind w:left="640" w:hanging="341"/>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40" w:lineRule="exact"/>
        <w:rPr>
          <w:rFonts w:ascii="Arial" w:cs="Arial" w:eastAsia="Arial" w:hAnsi="Arial"/>
          <w:sz w:val="18"/>
          <w:szCs w:val="18"/>
          <w:color w:val="auto"/>
        </w:rPr>
      </w:pPr>
    </w:p>
    <w:p>
      <w:pPr>
        <w:ind w:left="640" w:hanging="341"/>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40"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206" w:lineRule="exact"/>
        <w:rPr>
          <w:rFonts w:ascii="Arial" w:cs="Arial" w:eastAsia="Arial" w:hAnsi="Arial"/>
          <w:sz w:val="18"/>
          <w:szCs w:val="18"/>
          <w:color w:val="auto"/>
        </w:rPr>
      </w:pPr>
    </w:p>
    <w:p>
      <w:pPr>
        <w:ind w:left="640" w:hanging="341"/>
        <w:spacing w:after="0" w:line="262"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All potential candidates for director nominees, including candidates recommended by our stockholders, are reviewed in the context of the current composition of the Board, our operating requirements and the long-term interests of our stockholders. In conducting this assessment, the Committee considers such factors as it deems appropriate given our current needs and those of our Board, to maintain a balance of expertise, experience and capability. The Corporate Governance and Nominating Committee reviews directors’ overall service during their term, including the number of meetings attended, their level of participation and quality of performance. The Committee also determines whether the nominee would be independent, which determination is based upon applicable Nasdaq or other exchange listing standards, applicable SEC rules and regulations and the advice of counsel, if necessary.</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Corporate Governance and Nominating Committee will consider director candidates recommended by stockholders in the same manner as it considers recommendations from current directors or other sources. Stockholders who wish to recommend individuals for consideration by the Corporate Governance and Nominating Committee to become nominees for election to the Board may do so by delivering a written recommendation to the Company Secretary at the following address: 343 Allerton Avenue, South San Francisco, CA 94080 at least 60 days prior, but no more than 90 days prior, to the anniversary date of the last annual meeting of stockholders. Submissions should include the full name, address and age of the proposed nominee, a description of the proposed nominee’s business experience for at least the previous five years, complete biographical information, a description of the proposed nominee’s qualifications as a director, and the number of shares of our stock beneficially owned by the proposed nominee. The nominating stockholder must also provide his or her name and address of record and the number of shares of our stock that he or she owns beneficially or of record.</w:t>
      </w:r>
    </w:p>
    <w:p>
      <w:pPr>
        <w:spacing w:after="0" w:line="19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Corporate Governance and Nominating Committee has not established specific minimum qualifications for recommended nominees or specific qualities or skills for one or more of our directors to possess, other than as are necessary to meet any requirements under rules and regulations (including any stock exchange rules) applicable to the Company. The Corporate Governance and Nominating Committee uses a subjective process for identifying and evaluating nominees for director, based on the information available to, and the subjective judgments of, the members of the Committee and our then current needs for the Board as a whole. Although it does not have a formal policy regarding the consideration of diversity, the Corporate Governance and Nominating Committee considers the needs for the Board as a whole when identifying and evaluating nominees and, among other things, considers diversity in background, age, experience, qualifications, attributes and skills in identifying nominees.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Corporate Governance and Nominating Committee’s process for identification and evaluation of director candidates is generally as follows:</w:t>
      </w:r>
    </w:p>
    <w:p>
      <w:pPr>
        <w:spacing w:after="0" w:line="241" w:lineRule="exact"/>
        <w:rPr>
          <w:sz w:val="20"/>
          <w:szCs w:val="20"/>
          <w:color w:val="auto"/>
        </w:rPr>
      </w:pPr>
    </w:p>
    <w:p>
      <w:pPr>
        <w:jc w:val="both"/>
        <w:ind w:left="640" w:hanging="3"/>
        <w:spacing w:after="0" w:line="299" w:lineRule="auto"/>
        <w:tabs>
          <w:tab w:leader="none" w:pos="886"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the event of a vacancy or the establishment of a new directorship on the Board, candidate(s) for director nominee(s) shall be presented to the full Board for consideration and approval upon the recommendation of no less than a majority of the independent members of the Board (as independence is defined under any stock exchange rules that may be applicable to the Company at such time).</w:t>
      </w:r>
    </w:p>
    <w:p>
      <w:pPr>
        <w:spacing w:after="0" w:line="181" w:lineRule="exact"/>
        <w:rPr>
          <w:rFonts w:ascii="Arial" w:cs="Arial" w:eastAsia="Arial" w:hAnsi="Arial"/>
          <w:sz w:val="16"/>
          <w:szCs w:val="16"/>
          <w:color w:val="auto"/>
        </w:rPr>
      </w:pPr>
    </w:p>
    <w:p>
      <w:pPr>
        <w:jc w:val="both"/>
        <w:ind w:left="640" w:hanging="3"/>
        <w:spacing w:after="0" w:line="247" w:lineRule="auto"/>
        <w:tabs>
          <w:tab w:leader="none" w:pos="892"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believe that the continuing service of qualified incumbents promotes stability and continuity in the boardroom, contributing to the Board's ability to work as a collective body, while giving us the benefit of the familiarity and insight into our affairs that our directors have accumulated during their tenure. Accordingly, the process for identifying nominees reflects our practice of re-nominating incumbent directors who continue to satisfy the criteria for membership on the Board, whom the independent members of the Board believe continue to make important contributions to the Board and who consent to continue their service on the Board. Consistent with this policy, in considering candidates for election at annual meetings of stockholders, the independent members of the Board will first determine the incumbent directors whose terms expire at the upcoming meeting and who wish to continue their service on the Board.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52" w:name="page153"/>
    <w:bookmarkEnd w:id="15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ind w:left="640" w:hanging="3"/>
        <w:spacing w:after="0" w:line="248" w:lineRule="auto"/>
        <w:tabs>
          <w:tab w:leader="none" w:pos="901"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independent members of the Board will evaluate the qualifications and performance of the incumbent directors that desire to continue their service. In particular, as to each such incumbent director, the independent members of the Board will (i) consider if the director continues to satisfy the minimum qualifications for director candidates adopted by the independent members of the Board, (ii) review any assessments of the performance of the director during the preceding term made by the Board, and (iii) determine whether there exist any special, countervailing considerations against re-nomination of the director.</w:t>
      </w:r>
    </w:p>
    <w:p>
      <w:pPr>
        <w:spacing w:after="0" w:line="221" w:lineRule="exact"/>
        <w:rPr>
          <w:rFonts w:ascii="Arial" w:cs="Arial" w:eastAsia="Arial" w:hAnsi="Arial"/>
          <w:sz w:val="18"/>
          <w:szCs w:val="18"/>
          <w:color w:val="auto"/>
        </w:rPr>
      </w:pPr>
    </w:p>
    <w:p>
      <w:pPr>
        <w:jc w:val="both"/>
        <w:ind w:left="640" w:hanging="3"/>
        <w:spacing w:after="0" w:line="291" w:lineRule="auto"/>
        <w:tabs>
          <w:tab w:leader="none" w:pos="919"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the independent members of the Board determine that an incumbent director consenting to re-nomination continues to be qualified and has satisfactorily performed his or her duties as director during the preceding term, and there exist no reasons, including considerations relating to the composition and functional needs of the Board as a whole, why in the view of the independent members of the Board the incumbent should not be re-nominated, the independent members of the Board will, absent special circumstances, propose the incumbent director for reelection.</w:t>
      </w:r>
    </w:p>
    <w:p>
      <w:pPr>
        <w:spacing w:after="0" w:line="187" w:lineRule="exact"/>
        <w:rPr>
          <w:rFonts w:ascii="Arial" w:cs="Arial" w:eastAsia="Arial" w:hAnsi="Arial"/>
          <w:sz w:val="16"/>
          <w:szCs w:val="16"/>
          <w:color w:val="auto"/>
        </w:rPr>
      </w:pPr>
    </w:p>
    <w:p>
      <w:pPr>
        <w:ind w:left="640" w:hanging="3"/>
        <w:spacing w:after="0" w:line="262" w:lineRule="auto"/>
        <w:tabs>
          <w:tab w:leader="none" w:pos="888"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process by the independent members of the Board for identifying and evaluating nominees for director, including nominees recommended by a stockholder, involves (with or without the assistance of a retained search firm):</w:t>
      </w:r>
    </w:p>
    <w:p>
      <w:pPr>
        <w:spacing w:after="0" w:line="206" w:lineRule="exact"/>
        <w:rPr>
          <w:rFonts w:ascii="Arial" w:cs="Arial" w:eastAsia="Arial" w:hAnsi="Arial"/>
          <w:sz w:val="18"/>
          <w:szCs w:val="18"/>
          <w:color w:val="auto"/>
        </w:rPr>
      </w:pPr>
    </w:p>
    <w:p>
      <w:pPr>
        <w:ind w:left="1260" w:hanging="645"/>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compiling names of potentially eligible candidates;</w:t>
      </w:r>
    </w:p>
    <w:p>
      <w:pPr>
        <w:spacing w:after="0" w:line="15" w:lineRule="exact"/>
        <w:rPr>
          <w:rFonts w:ascii="Arial" w:cs="Arial" w:eastAsia="Arial" w:hAnsi="Arial"/>
          <w:sz w:val="18"/>
          <w:szCs w:val="18"/>
          <w:color w:val="auto"/>
        </w:rPr>
      </w:pPr>
    </w:p>
    <w:p>
      <w:pPr>
        <w:ind w:left="1260" w:hanging="645"/>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conducting background and reference checks;</w:t>
      </w:r>
    </w:p>
    <w:p>
      <w:pPr>
        <w:spacing w:after="0" w:line="3" w:lineRule="exact"/>
        <w:rPr>
          <w:rFonts w:ascii="Arial" w:cs="Arial" w:eastAsia="Arial" w:hAnsi="Arial"/>
          <w:sz w:val="18"/>
          <w:szCs w:val="18"/>
          <w:color w:val="auto"/>
        </w:rPr>
      </w:pPr>
    </w:p>
    <w:p>
      <w:pPr>
        <w:ind w:left="1260" w:hanging="645"/>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conducting interviews with candidates and/or others;</w:t>
      </w:r>
    </w:p>
    <w:p>
      <w:pPr>
        <w:spacing w:after="0" w:line="3" w:lineRule="exact"/>
        <w:rPr>
          <w:rFonts w:ascii="Arial" w:cs="Arial" w:eastAsia="Arial" w:hAnsi="Arial"/>
          <w:sz w:val="18"/>
          <w:szCs w:val="18"/>
          <w:color w:val="auto"/>
        </w:rPr>
      </w:pPr>
    </w:p>
    <w:p>
      <w:pPr>
        <w:ind w:left="1260" w:hanging="645"/>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meeting to consider and approve final candidates; and, as appropriate,</w:t>
      </w:r>
    </w:p>
    <w:p>
      <w:pPr>
        <w:spacing w:after="0" w:line="3" w:lineRule="exact"/>
        <w:rPr>
          <w:rFonts w:ascii="Arial" w:cs="Arial" w:eastAsia="Arial" w:hAnsi="Arial"/>
          <w:sz w:val="18"/>
          <w:szCs w:val="18"/>
          <w:color w:val="auto"/>
        </w:rPr>
      </w:pPr>
    </w:p>
    <w:p>
      <w:pPr>
        <w:ind w:left="1260" w:hanging="645"/>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preparing and presenting to the full Board an analysis with regard to particular recommended candidates.</w:t>
      </w:r>
    </w:p>
    <w:p>
      <w:pPr>
        <w:spacing w:after="0" w:line="229"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During the search process, the independent directors shall endeavor to identify director nominees who have the highest personal and professional integrity, have demonstrated exceptional ability and judgment, and, together with other director nominees and current Board members, shall effectively serve the long-term interests of our stockholders and contribute to our overall corporate goals.</w:t>
      </w:r>
    </w:p>
    <w:p>
      <w:pPr>
        <w:spacing w:after="0" w:line="215" w:lineRule="exact"/>
        <w:rPr>
          <w:sz w:val="20"/>
          <w:szCs w:val="20"/>
          <w:color w:val="auto"/>
        </w:rPr>
      </w:pPr>
    </w:p>
    <w:p>
      <w:pPr>
        <w:ind w:left="640" w:hanging="3"/>
        <w:spacing w:after="0" w:line="262" w:lineRule="auto"/>
        <w:tabs>
          <w:tab w:leader="none" w:pos="881"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considering potential new directors, the independent members of the Board will review individuals from various disciplines and backgrounds. Among the qualifications to be considered in the selection of candidates are:</w:t>
      </w:r>
    </w:p>
    <w:p>
      <w:pPr>
        <w:spacing w:after="0" w:line="206" w:lineRule="exact"/>
        <w:rPr>
          <w:rFonts w:ascii="Arial" w:cs="Arial" w:eastAsia="Arial" w:hAnsi="Arial"/>
          <w:sz w:val="18"/>
          <w:szCs w:val="18"/>
          <w:color w:val="auto"/>
        </w:rPr>
      </w:pPr>
    </w:p>
    <w:p>
      <w:pPr>
        <w:ind w:left="1260" w:hanging="645"/>
        <w:spacing w:after="0"/>
        <w:tabs>
          <w:tab w:leader="none" w:pos="1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15" w:lineRule="exact"/>
        <w:rPr>
          <w:rFonts w:ascii="Arial" w:cs="Arial" w:eastAsia="Arial" w:hAnsi="Arial"/>
          <w:sz w:val="18"/>
          <w:szCs w:val="18"/>
          <w:color w:val="auto"/>
        </w:rPr>
      </w:pPr>
    </w:p>
    <w:p>
      <w:pPr>
        <w:ind w:left="1260" w:hanging="645"/>
        <w:spacing w:after="0"/>
        <w:tabs>
          <w:tab w:leader="none" w:pos="1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broad experience in business, finance or administration;</w:t>
      </w:r>
    </w:p>
    <w:p>
      <w:pPr>
        <w:spacing w:after="0" w:line="3" w:lineRule="exact"/>
        <w:rPr>
          <w:rFonts w:ascii="Arial" w:cs="Arial" w:eastAsia="Arial" w:hAnsi="Arial"/>
          <w:sz w:val="18"/>
          <w:szCs w:val="18"/>
          <w:color w:val="auto"/>
        </w:rPr>
      </w:pPr>
    </w:p>
    <w:p>
      <w:pPr>
        <w:ind w:left="1260" w:hanging="645"/>
        <w:spacing w:after="0"/>
        <w:tabs>
          <w:tab w:leader="none" w:pos="1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familiarity with our industry; and</w:t>
      </w:r>
    </w:p>
    <w:p>
      <w:pPr>
        <w:spacing w:after="0" w:line="3" w:lineRule="exact"/>
        <w:rPr>
          <w:rFonts w:ascii="Arial" w:cs="Arial" w:eastAsia="Arial" w:hAnsi="Arial"/>
          <w:sz w:val="18"/>
          <w:szCs w:val="18"/>
          <w:color w:val="auto"/>
        </w:rPr>
      </w:pPr>
    </w:p>
    <w:p>
      <w:pPr>
        <w:ind w:left="1260" w:hanging="645"/>
        <w:spacing w:after="0"/>
        <w:tabs>
          <w:tab w:leader="none" w:pos="1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prominence and reputation.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xml:space="preserve"> . We intend to disclose any future amendments to certain provisions of our Code of Business Conduct and Ethics, or waivers of these provisions, on our website or in filings with the SEC under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Board of Directors, Committee and Stockholder Meetings</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Board of Directors met two times and acted by unanimous written consent six times during the fiscal year ended March 31, 2015. Our Audit Committee met four times and our Compensation Committee requested action by the entire Board of Directors for grants of warrants and the modification of certain warrants during the same period. Each director serving during fiscal 2015 attended all of the meetings of the Board and the committees of the Board upon which such director served.</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have a formal policy regarding attendance by members of the Board at our annual meeting of stockholders, but directors are encouraged to attend. We did not hold an annual meeting of stockholders during our fiscal year ended March 31,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4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Our Compensation Committee consists of Dr. Underdown and Mr. Saxe, each of whom is a non-employee director. Neither member of the Compensation Committee has a relationship that would constitute an interlocking relationship with executive officers or directors of another entity.</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3" w:name="page154"/>
    <w:bookmarkEnd w:id="15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 Beneficial Ownership Reporting Compliance</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Section 16(a) of the Exchange Act requires our officers, directors and persons who beneficially own more than ten percent of our common stock (collectively, </w:t>
      </w:r>
      <w:r>
        <w:rPr>
          <w:rFonts w:ascii="Arial" w:cs="Arial" w:eastAsia="Arial" w:hAnsi="Arial"/>
          <w:sz w:val="16"/>
          <w:szCs w:val="16"/>
          <w:i w:val="1"/>
          <w:iCs w:val="1"/>
          <w:color w:val="auto"/>
        </w:rPr>
        <w:t>Reporting Persons</w:t>
      </w:r>
      <w:r>
        <w:rPr>
          <w:rFonts w:ascii="Arial" w:cs="Arial" w:eastAsia="Arial" w:hAnsi="Arial"/>
          <w:sz w:val="16"/>
          <w:szCs w:val="16"/>
          <w:color w:val="auto"/>
        </w:rPr>
        <w:t>) to file reports of ownership on Form 3 and changes in ownership on Form 4 or Form 5 with the Commission. The Reporting Persons are also</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by SEC rules to furnish us with copies of all reports that they file pursuant to Section 16(a). We believe that during our fiscal year ended March 31, 2015, all of the Reporting Persons complied with all applicable reporting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Compensation Objectives</w:t>
      </w:r>
    </w:p>
    <w:p>
      <w:pPr>
        <w:spacing w:after="0" w:line="21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shareholder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217"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at the time of hire. An executive officer’s base salary is also determined by reviewing the executive officer’s other compensation to ensure that the executive officer’s total compensation is in line with our overall compensation philosophy.</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Base salaries are reviewed annually and increased for merit reasons, based on the executive officers’ success in meeting or exceeding individual objectives. Additionally, we adjust base salaries as warranted throughout the year for promotions or other changes in the scope or breadth of an executive officer’s role or responsibilities. As indicated in the Summary Compensation Table following, to conserve our cash resources during fiscal 2015 and 2014 the cash amounts of annual base salary that we paid to our executives was significantly less than their stated annual base salary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did not seek, and our Compensation Committee did not award, cash bonuses to executive officers during fiscal 2014 or 2015.</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54" w:name="page155"/>
    <w:bookmarkEnd w:id="15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 based compensation granted under our stock option plans or pursuant to other awards made to our executives and key employees.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shows information regarding the compensation of our Named Executive Officers (</w:t>
      </w:r>
      <w:r>
        <w:rPr>
          <w:rFonts w:ascii="Arial" w:cs="Arial" w:eastAsia="Arial" w:hAnsi="Arial"/>
          <w:sz w:val="18"/>
          <w:szCs w:val="18"/>
          <w:i w:val="1"/>
          <w:iCs w:val="1"/>
          <w:color w:val="auto"/>
        </w:rPr>
        <w:t>NEO’s</w:t>
      </w:r>
      <w:r>
        <w:rPr>
          <w:rFonts w:ascii="Arial" w:cs="Arial" w:eastAsia="Arial" w:hAnsi="Arial"/>
          <w:sz w:val="18"/>
          <w:szCs w:val="18"/>
          <w:color w:val="auto"/>
        </w:rPr>
        <w:t>) for services performed in the fiscal years ended March 31, 2015 and 2014.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Option and</w:t>
            </w: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2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jc w:val="right"/>
              <w:ind w:right="552"/>
              <w:spacing w:after="0"/>
              <w:rPr>
                <w:sz w:val="20"/>
                <w:szCs w:val="20"/>
                <w:color w:val="auto"/>
              </w:rPr>
            </w:pPr>
            <w:r>
              <w:rPr>
                <w:rFonts w:ascii="Arial" w:cs="Arial" w:eastAsia="Arial" w:hAnsi="Arial"/>
                <w:sz w:val="18"/>
                <w:szCs w:val="18"/>
                <w:b w:val="1"/>
                <w:bCs w:val="1"/>
                <w:color w:val="auto"/>
              </w:rPr>
              <w:t>Warrant</w:t>
            </w:r>
          </w:p>
        </w:tc>
        <w:tc>
          <w:tcPr>
            <w:tcW w:w="1440" w:type="dxa"/>
            <w:vAlign w:val="bottom"/>
          </w:tcPr>
          <w:p>
            <w:pPr>
              <w:jc w:val="center"/>
              <w:ind w:right="152"/>
              <w:spacing w:after="0"/>
              <w:rPr>
                <w:sz w:val="20"/>
                <w:szCs w:val="20"/>
                <w:color w:val="auto"/>
              </w:rPr>
            </w:pPr>
            <w:r>
              <w:rPr>
                <w:rFonts w:ascii="Arial" w:cs="Arial" w:eastAsia="Arial" w:hAnsi="Arial"/>
                <w:sz w:val="18"/>
                <w:szCs w:val="18"/>
                <w:b w:val="1"/>
                <w:bCs w:val="1"/>
                <w:color w:val="auto"/>
                <w:w w:val="94"/>
              </w:rPr>
              <w:t>All Other</w:t>
            </w:r>
          </w:p>
        </w:tc>
        <w:tc>
          <w:tcPr>
            <w:tcW w:w="1180" w:type="dxa"/>
            <w:vAlign w:val="bottom"/>
          </w:tcPr>
          <w:p>
            <w:pPr>
              <w:spacing w:after="0"/>
              <w:rPr>
                <w:sz w:val="18"/>
                <w:szCs w:val="18"/>
                <w:color w:val="auto"/>
              </w:rPr>
            </w:pPr>
          </w:p>
        </w:tc>
      </w:tr>
      <w:tr>
        <w:trPr>
          <w:trHeight w:val="211"/>
        </w:trPr>
        <w:tc>
          <w:tcPr>
            <w:tcW w:w="2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Fiscal</w:t>
            </w:r>
          </w:p>
        </w:tc>
        <w:tc>
          <w:tcPr>
            <w:tcW w:w="1760" w:type="dxa"/>
            <w:vAlign w:val="bottom"/>
          </w:tcPr>
          <w:p>
            <w:pPr>
              <w:jc w:val="right"/>
              <w:ind w:right="672"/>
              <w:spacing w:after="0"/>
              <w:rPr>
                <w:sz w:val="20"/>
                <w:szCs w:val="20"/>
                <w:color w:val="auto"/>
              </w:rPr>
            </w:pPr>
            <w:r>
              <w:rPr>
                <w:rFonts w:ascii="Arial" w:cs="Arial" w:eastAsia="Arial" w:hAnsi="Arial"/>
                <w:sz w:val="18"/>
                <w:szCs w:val="18"/>
                <w:b w:val="1"/>
                <w:bCs w:val="1"/>
                <w:color w:val="auto"/>
              </w:rPr>
              <w:t>Salary</w:t>
            </w:r>
          </w:p>
        </w:tc>
        <w:tc>
          <w:tcPr>
            <w:tcW w:w="1180" w:type="dxa"/>
            <w:vAlign w:val="bottom"/>
          </w:tcPr>
          <w:p>
            <w:pPr>
              <w:jc w:val="right"/>
              <w:ind w:right="412"/>
              <w:spacing w:after="0"/>
              <w:rPr>
                <w:sz w:val="20"/>
                <w:szCs w:val="20"/>
                <w:color w:val="auto"/>
              </w:rPr>
            </w:pPr>
            <w:r>
              <w:rPr>
                <w:rFonts w:ascii="Arial" w:cs="Arial" w:eastAsia="Arial" w:hAnsi="Arial"/>
                <w:sz w:val="18"/>
                <w:szCs w:val="18"/>
                <w:b w:val="1"/>
                <w:bCs w:val="1"/>
                <w:color w:val="auto"/>
              </w:rPr>
              <w:t>Bonus</w:t>
            </w:r>
          </w:p>
        </w:tc>
        <w:tc>
          <w:tcPr>
            <w:tcW w:w="1560" w:type="dxa"/>
            <w:vAlign w:val="bottom"/>
          </w:tcPr>
          <w:p>
            <w:pPr>
              <w:ind w:left="180"/>
              <w:spacing w:after="0"/>
              <w:rPr>
                <w:sz w:val="20"/>
                <w:szCs w:val="20"/>
                <w:color w:val="auto"/>
              </w:rPr>
            </w:pPr>
            <w:r>
              <w:rPr>
                <w:rFonts w:ascii="Arial" w:cs="Arial" w:eastAsia="Arial" w:hAnsi="Arial"/>
                <w:sz w:val="18"/>
                <w:szCs w:val="18"/>
                <w:b w:val="1"/>
                <w:bCs w:val="1"/>
                <w:color w:val="auto"/>
              </w:rPr>
              <w:t>Awards (10)</w:t>
            </w:r>
          </w:p>
        </w:tc>
        <w:tc>
          <w:tcPr>
            <w:tcW w:w="1440" w:type="dxa"/>
            <w:vAlign w:val="bottom"/>
          </w:tcPr>
          <w:p>
            <w:pPr>
              <w:jc w:val="center"/>
              <w:ind w:right="152"/>
              <w:spacing w:after="0"/>
              <w:rPr>
                <w:sz w:val="20"/>
                <w:szCs w:val="20"/>
                <w:color w:val="auto"/>
              </w:rPr>
            </w:pPr>
            <w:r>
              <w:rPr>
                <w:rFonts w:ascii="Arial" w:cs="Arial" w:eastAsia="Arial" w:hAnsi="Arial"/>
                <w:sz w:val="18"/>
                <w:szCs w:val="18"/>
                <w:b w:val="1"/>
                <w:bCs w:val="1"/>
                <w:color w:val="auto"/>
                <w:w w:val="86"/>
              </w:rPr>
              <w:t>Compensation</w:t>
            </w:r>
          </w:p>
        </w:tc>
        <w:tc>
          <w:tcPr>
            <w:tcW w:w="1180" w:type="dxa"/>
            <w:vAlign w:val="bottom"/>
          </w:tcPr>
          <w:p>
            <w:pPr>
              <w:jc w:val="right"/>
              <w:ind w:right="432"/>
              <w:spacing w:after="0"/>
              <w:rPr>
                <w:sz w:val="20"/>
                <w:szCs w:val="20"/>
                <w:color w:val="auto"/>
              </w:rPr>
            </w:pPr>
            <w:r>
              <w:rPr>
                <w:rFonts w:ascii="Arial" w:cs="Arial" w:eastAsia="Arial" w:hAnsi="Arial"/>
                <w:sz w:val="18"/>
                <w:szCs w:val="18"/>
                <w:b w:val="1"/>
                <w:bCs w:val="1"/>
                <w:color w:val="auto"/>
              </w:rPr>
              <w:t>Total</w:t>
            </w:r>
          </w:p>
        </w:tc>
      </w:tr>
      <w:tr>
        <w:trPr>
          <w:trHeight w:val="228"/>
        </w:trPr>
        <w:tc>
          <w:tcPr>
            <w:tcW w:w="2860" w:type="dxa"/>
            <w:vAlign w:val="bottom"/>
          </w:tcPr>
          <w:p>
            <w:pPr>
              <w:ind w:left="260"/>
              <w:spacing w:after="0"/>
              <w:rPr>
                <w:sz w:val="20"/>
                <w:szCs w:val="20"/>
                <w:color w:val="auto"/>
              </w:rPr>
            </w:pPr>
            <w:r>
              <w:rPr>
                <w:rFonts w:ascii="Arial" w:cs="Arial" w:eastAsia="Arial" w:hAnsi="Arial"/>
                <w:sz w:val="18"/>
                <w:szCs w:val="18"/>
                <w:b w:val="1"/>
                <w:bCs w:val="1"/>
                <w:color w:val="auto"/>
              </w:rPr>
              <w:t>Name and Principal Position</w:t>
            </w:r>
          </w:p>
        </w:tc>
        <w:tc>
          <w:tcPr>
            <w:tcW w:w="1440" w:type="dxa"/>
            <w:vAlign w:val="bottom"/>
          </w:tcPr>
          <w:p>
            <w:pPr>
              <w:ind w:left="480"/>
              <w:spacing w:after="0"/>
              <w:rPr>
                <w:sz w:val="20"/>
                <w:szCs w:val="20"/>
                <w:color w:val="auto"/>
              </w:rPr>
            </w:pPr>
            <w:r>
              <w:rPr>
                <w:rFonts w:ascii="Arial" w:cs="Arial" w:eastAsia="Arial" w:hAnsi="Arial"/>
                <w:sz w:val="18"/>
                <w:szCs w:val="18"/>
                <w:b w:val="1"/>
                <w:bCs w:val="1"/>
                <w:color w:val="auto"/>
              </w:rPr>
              <w:t>Year</w:t>
            </w:r>
          </w:p>
        </w:tc>
        <w:tc>
          <w:tcPr>
            <w:tcW w:w="1760" w:type="dxa"/>
            <w:vAlign w:val="bottom"/>
          </w:tcPr>
          <w:p>
            <w:pPr>
              <w:jc w:val="right"/>
              <w:ind w:right="81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752"/>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center"/>
              <w:ind w:right="152"/>
              <w:spacing w:after="0"/>
              <w:rPr>
                <w:sz w:val="20"/>
                <w:szCs w:val="20"/>
                <w:color w:val="auto"/>
              </w:rPr>
            </w:pPr>
            <w:r>
              <w:rPr>
                <w:rFonts w:ascii="Arial" w:cs="Arial" w:eastAsia="Arial" w:hAnsi="Arial"/>
                <w:sz w:val="18"/>
                <w:szCs w:val="18"/>
                <w:b w:val="1"/>
                <w:bCs w:val="1"/>
                <w:color w:val="auto"/>
                <w:w w:val="90"/>
              </w:rPr>
              <w:t>($)</w:t>
            </w:r>
          </w:p>
        </w:tc>
        <w:tc>
          <w:tcPr>
            <w:tcW w:w="1180" w:type="dxa"/>
            <w:vAlign w:val="bottom"/>
          </w:tcPr>
          <w:p>
            <w:pPr>
              <w:jc w:val="right"/>
              <w:ind w:right="532"/>
              <w:spacing w:after="0"/>
              <w:rPr>
                <w:sz w:val="20"/>
                <w:szCs w:val="20"/>
                <w:color w:val="auto"/>
              </w:rPr>
            </w:pPr>
            <w:r>
              <w:rPr>
                <w:rFonts w:ascii="Arial" w:cs="Arial" w:eastAsia="Arial" w:hAnsi="Arial"/>
                <w:sz w:val="18"/>
                <w:szCs w:val="18"/>
                <w:b w:val="1"/>
                <w:bCs w:val="1"/>
                <w:color w:val="auto"/>
              </w:rPr>
              <w:t>($)</w:t>
            </w:r>
          </w:p>
        </w:tc>
      </w:tr>
      <w:tr>
        <w:trPr>
          <w:trHeight w:val="211"/>
        </w:trPr>
        <w:tc>
          <w:tcPr>
            <w:tcW w:w="2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 (1)</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347,500(4)</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688,050(11)</w:t>
            </w: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1,035,550</w:t>
            </w:r>
          </w:p>
        </w:tc>
      </w:tr>
      <w:tr>
        <w:trPr>
          <w:trHeight w:val="211"/>
        </w:trPr>
        <w:tc>
          <w:tcPr>
            <w:tcW w:w="286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760" w:type="dxa"/>
            <w:vAlign w:val="bottom"/>
          </w:tcPr>
          <w:p>
            <w:pPr>
              <w:jc w:val="right"/>
              <w:ind w:right="112"/>
              <w:spacing w:after="0"/>
              <w:rPr>
                <w:sz w:val="20"/>
                <w:szCs w:val="20"/>
                <w:color w:val="auto"/>
              </w:rPr>
            </w:pPr>
            <w:r>
              <w:rPr>
                <w:rFonts w:ascii="Arial" w:cs="Arial" w:eastAsia="Arial" w:hAnsi="Arial"/>
                <w:sz w:val="18"/>
                <w:szCs w:val="18"/>
                <w:color w:val="auto"/>
              </w:rPr>
              <w:t>250,000(5)</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159,802(12)</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409,802</w:t>
            </w:r>
          </w:p>
        </w:tc>
      </w:tr>
      <w:tr>
        <w:trPr>
          <w:trHeight w:val="211"/>
        </w:trPr>
        <w:tc>
          <w:tcPr>
            <w:tcW w:w="2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H. Ralph Snodgrass, Ph.D. (2)</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760" w:type="dxa"/>
            <w:vAlign w:val="bottom"/>
          </w:tcPr>
          <w:p>
            <w:pPr>
              <w:jc w:val="right"/>
              <w:ind w:right="112"/>
              <w:spacing w:after="0"/>
              <w:rPr>
                <w:sz w:val="20"/>
                <w:szCs w:val="20"/>
                <w:color w:val="auto"/>
              </w:rPr>
            </w:pPr>
            <w:r>
              <w:rPr>
                <w:rFonts w:ascii="Arial" w:cs="Arial" w:eastAsia="Arial" w:hAnsi="Arial"/>
                <w:sz w:val="18"/>
                <w:szCs w:val="18"/>
                <w:color w:val="auto"/>
              </w:rPr>
              <w:t>305,000(6)</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458,700(11)</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763,700</w:t>
            </w:r>
          </w:p>
        </w:tc>
      </w:tr>
      <w:tr>
        <w:trPr>
          <w:trHeight w:val="211"/>
        </w:trPr>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250,000(7)</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102,353(12)</w:t>
            </w: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352,353</w:t>
            </w:r>
          </w:p>
        </w:tc>
      </w:tr>
      <w:tr>
        <w:trPr>
          <w:trHeight w:val="211"/>
        </w:trPr>
        <w:tc>
          <w:tcPr>
            <w:tcW w:w="2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Jerrold D. Dotson (3)</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250,000(8)</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229,350(11)</w:t>
            </w: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479,350</w:t>
            </w:r>
          </w:p>
        </w:tc>
      </w:tr>
      <w:tr>
        <w:trPr>
          <w:trHeight w:val="198"/>
        </w:trPr>
        <w:tc>
          <w:tcPr>
            <w:tcW w:w="2860" w:type="dxa"/>
            <w:vAlign w:val="bottom"/>
          </w:tcPr>
          <w:p>
            <w:pPr>
              <w:spacing w:after="0" w:line="198" w:lineRule="exact"/>
              <w:rPr>
                <w:sz w:val="20"/>
                <w:szCs w:val="20"/>
                <w:color w:val="auto"/>
              </w:rPr>
            </w:pPr>
            <w:r>
              <w:rPr>
                <w:rFonts w:ascii="Arial" w:cs="Arial" w:eastAsia="Arial" w:hAnsi="Arial"/>
                <w:sz w:val="18"/>
                <w:szCs w:val="18"/>
                <w:i w:val="1"/>
                <w:iCs w:val="1"/>
                <w:color w:val="auto"/>
              </w:rPr>
              <w:t>Vice President, Chief Financial</w:t>
            </w: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2"/>
        </w:trPr>
        <w:tc>
          <w:tcPr>
            <w:tcW w:w="2860" w:type="dxa"/>
            <w:vAlign w:val="bottom"/>
          </w:tcPr>
          <w:p>
            <w:pPr>
              <w:spacing w:after="0"/>
              <w:rPr>
                <w:sz w:val="20"/>
                <w:szCs w:val="20"/>
                <w:color w:val="auto"/>
              </w:rPr>
            </w:pPr>
            <w:r>
              <w:rPr>
                <w:rFonts w:ascii="Arial" w:cs="Arial" w:eastAsia="Arial" w:hAnsi="Arial"/>
                <w:sz w:val="18"/>
                <w:szCs w:val="18"/>
                <w:i w:val="1"/>
                <w:iCs w:val="1"/>
                <w:color w:val="auto"/>
              </w:rPr>
              <w:t>Officer, Secretary</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760" w:type="dxa"/>
            <w:vAlign w:val="bottom"/>
          </w:tcPr>
          <w:p>
            <w:pPr>
              <w:jc w:val="right"/>
              <w:ind w:right="112"/>
              <w:spacing w:after="0"/>
              <w:rPr>
                <w:sz w:val="20"/>
                <w:szCs w:val="20"/>
                <w:color w:val="auto"/>
              </w:rPr>
            </w:pPr>
            <w:r>
              <w:rPr>
                <w:rFonts w:ascii="Arial" w:cs="Arial" w:eastAsia="Arial" w:hAnsi="Arial"/>
                <w:sz w:val="18"/>
                <w:szCs w:val="18"/>
                <w:color w:val="auto"/>
              </w:rPr>
              <w:t>200,000(9)</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36,846(12)</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236,846</w:t>
            </w:r>
          </w:p>
        </w:tc>
      </w:tr>
    </w:tbl>
    <w:p>
      <w:pPr>
        <w:spacing w:after="0" w:line="199" w:lineRule="exact"/>
        <w:rPr>
          <w:sz w:val="20"/>
          <w:szCs w:val="20"/>
          <w:color w:val="auto"/>
        </w:rPr>
      </w:pPr>
    </w:p>
    <w:p>
      <w:pPr>
        <w:jc w:val="both"/>
        <w:ind w:left="520" w:right="20" w:hanging="515"/>
        <w:spacing w:after="0" w:line="280" w:lineRule="auto"/>
        <w:tabs>
          <w:tab w:leader="none" w:pos="5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Mr. Singh became VistaGen California’s Chief Executive Officer on August 20, 2009 and our Chief Executive Officer in May 2011, in connection with the Merger. In our fiscal years ended March 31, 2015 and 2014, Mr. Singh’s annual base cash salary, pursuant to his January 2010 employment agreement, was contractually set at $347,500. However, to conserve cash for our operations during those years, Mr. Singh voluntarily agreed to receive cash payments of less than his contractual base cash salary. Further, in fiscal 2014 Mr. Singh voluntarily reduced his base cash salary to the amount indicated. The figures reported above reflect the amount of Mr. Singh’s salary that we expensed for accounting purposes in our financial statements included in Part II, Item 8 of this Annual Report on Form 10-K for the respective fiscal years. See notes (4) and (5) for amounts actually paid in cash to Mr. Singh. The difference between the amounts expensed for accounting purposes and the amounts actually paid to Mr. Singh has been accrued for payment in the future. Additionally, pursuant to his employment agreement, Mr. Singh is eligible to receive an annual cash incentive bonus of up to fifty percent (50%) of his base cash salary. Again, to conserve cash for our operations during our fiscal years ended March 31, 2015 and 2014, Mr. Singh voluntarily refrained from receiving any cash bonus.</w:t>
      </w:r>
    </w:p>
    <w:p>
      <w:pPr>
        <w:spacing w:after="0" w:line="171" w:lineRule="exact"/>
        <w:rPr>
          <w:rFonts w:ascii="Arial" w:cs="Arial" w:eastAsia="Arial" w:hAnsi="Arial"/>
          <w:sz w:val="16"/>
          <w:szCs w:val="16"/>
          <w:color w:val="auto"/>
        </w:rPr>
      </w:pPr>
    </w:p>
    <w:p>
      <w:pPr>
        <w:jc w:val="both"/>
        <w:ind w:left="520" w:right="20" w:hanging="515"/>
        <w:spacing w:after="0" w:line="279" w:lineRule="auto"/>
        <w:tabs>
          <w:tab w:leader="none" w:pos="5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2015 and 2014, Dr. Snodgrass’ annual base cash salary, pursuant to his January 2010 employment agreement, was contractually set at $305,000. However, to conserve cash for our operations during those years, Dr. Snodgrass voluntarily agreed to receive cash payments of less than his contractual base cash salary. Further, in fiscal 2014 Dr. Snodgrass voluntarily reduced his base cash salary to the amount indicated. The figures reported above reflect the amount of Dr. Snodgrass’ salary that we expensed for accounting purposes in our financial statements included in Part II, Item 8 of this Annual Report on Form 10-K for the respective fiscal years. See notes (6) and (7) for amounts actually paid in cash to Dr. Snodgrass. The difference between the amounts expensed for accounting purposes and the amounts actually paid to Dr. Snodgrass has been accrued for payment in the future. Additionally, pursuant to his employment agreement, Dr. Snodgrass is eligible to receive an annual cash incentive bonus of up to fifty percent (50%) of his base cash salary. Again, to conserve cash for our operations during our fiscal years ended March 31, 2015 and 2014, Dr. Snodgrass voluntarily refrained from receiving any cash bonus.</w:t>
      </w:r>
    </w:p>
    <w:p>
      <w:pPr>
        <w:spacing w:after="0" w:line="175" w:lineRule="exact"/>
        <w:rPr>
          <w:rFonts w:ascii="Arial" w:cs="Arial" w:eastAsia="Arial" w:hAnsi="Arial"/>
          <w:sz w:val="16"/>
          <w:szCs w:val="16"/>
          <w:color w:val="auto"/>
        </w:rPr>
      </w:pPr>
    </w:p>
    <w:p>
      <w:pPr>
        <w:jc w:val="both"/>
        <w:ind w:left="520" w:right="20" w:hanging="515"/>
        <w:spacing w:after="0" w:line="283" w:lineRule="auto"/>
        <w:tabs>
          <w:tab w:leader="none" w:pos="5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Mr. Dotson served as Chief Financial Officer on a part-time contract basis from September 19, 2011 through August 2012, at which time he became our full-time employee. In our fiscal years ended March 31, 2015 and 2014, Mr. Dotson’s annual base cash salary was $250,000 and $200,000, respectively. However, to conserve cash for our operations during those years, Mr. Dotson voluntarily agreed to receive cash payments of less than his base cash salary. The figures reported above reflect the amount of Mr. Dotson’s salary that we expensed for accounting purposes in our financial statements included in Part II, Item 8 of this Annual Report on Form 10-K for the respective fiscal years. See notes (8) and (9) for amounts actually paid in cash to Mr. Dotson. The difference between the amounts expensed for accounting purposes and the amounts actually paid to Mr. Dotson has been accrued for payment in the future. Mr. Dotson did not receive a cash bonus in either of our fiscal years ended March 31, 2015 or 2014.</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55" w:name="page156"/>
    <w:bookmarkEnd w:id="155"/>
    <w:p>
      <w:pPr>
        <w:spacing w:after="0" w:line="14" w:lineRule="exact"/>
        <w:rPr>
          <w:sz w:val="20"/>
          <w:szCs w:val="20"/>
          <w:color w:val="auto"/>
        </w:rPr>
      </w:pPr>
    </w:p>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ind w:left="520" w:right="20" w:hanging="515"/>
        <w:spacing w:after="0" w:line="262"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Singh received only $82,813 in cash compensation in our fiscal year ended March 31, 2015 and the remaining balance has been accrued for future payment and remains unpaid at the date of this report.</w:t>
      </w:r>
    </w:p>
    <w:p>
      <w:pPr>
        <w:spacing w:after="0" w:line="180" w:lineRule="exact"/>
        <w:rPr>
          <w:rFonts w:ascii="Arial" w:cs="Arial" w:eastAsia="Arial" w:hAnsi="Arial"/>
          <w:sz w:val="18"/>
          <w:szCs w:val="18"/>
          <w:color w:val="auto"/>
        </w:rPr>
      </w:pPr>
    </w:p>
    <w:p>
      <w:pPr>
        <w:ind w:left="520" w:right="20" w:hanging="515"/>
        <w:spacing w:after="0" w:line="262"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Singh received only $125,000 in cash compensation in our fiscal year ended March 31, 2014. At March 31, 2014, the remaining balance was accrued for future payment and remained outstanding at March 31, 2015 and through the date of this report.</w:t>
      </w:r>
    </w:p>
    <w:p>
      <w:pPr>
        <w:spacing w:after="0" w:line="180" w:lineRule="exact"/>
        <w:rPr>
          <w:rFonts w:ascii="Arial" w:cs="Arial" w:eastAsia="Arial" w:hAnsi="Arial"/>
          <w:sz w:val="18"/>
          <w:szCs w:val="18"/>
          <w:color w:val="auto"/>
        </w:rPr>
      </w:pPr>
    </w:p>
    <w:p>
      <w:pPr>
        <w:ind w:left="520" w:right="20" w:hanging="515"/>
        <w:spacing w:after="0" w:line="251"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Dr. Snodgrass received only $157,292 in cash compensation in our fiscal year ended March 31, 2015 and the remaining balance has been accrued for future payment and remains unpaid at the date of this report.</w:t>
      </w:r>
    </w:p>
    <w:p>
      <w:pPr>
        <w:ind w:left="520" w:right="20" w:hanging="515"/>
        <w:spacing w:after="0" w:line="244"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Dr. Snodgrass received only $149,606 in cash compensation in our fiscal year ended March 31, 2014. At March 31, 2014, the remaining balance was accrued for future payment and remained outstanding at March 31, 2015 and through the date of this report.</w:t>
      </w:r>
    </w:p>
    <w:p>
      <w:pPr>
        <w:ind w:left="520" w:right="20" w:hanging="515"/>
        <w:spacing w:after="0" w:line="244"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Dotson received only $153,917 in cash compensation in our fiscal year ended March 31, 2015 and the remaining balance has been accrued for future payment and remains unpaid at the date of this report.</w:t>
      </w:r>
    </w:p>
    <w:p>
      <w:pPr>
        <w:ind w:left="520" w:right="20" w:hanging="515"/>
        <w:spacing w:after="0" w:line="244"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Dotson received only $143,333 in cash compensation in our fiscal year ended March 31, 2014. At March 31, 2014, the remaining balance was accrued for future payment and remained outstanding at March 31, 2015 and through the date of this report.</w:t>
      </w:r>
    </w:p>
    <w:p>
      <w:pPr>
        <w:jc w:val="both"/>
        <w:ind w:left="520" w:right="20" w:hanging="515"/>
        <w:spacing w:after="0" w:line="279" w:lineRule="auto"/>
        <w:tabs>
          <w:tab w:leader="none" w:pos="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amounts in the Option and Warrant Awards column represent the aggregate grant date fair value of options or warrants to purchase restricted shares of our common stock awarded to Mr. Singh, Dr. Snodgrass and Mr. Dotson, or the effect of modifications to prior grants of options or warrants occurring during the fiscal year presented,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payments actually received by Mr. Singh, Dr. Snodgrass or Mr. Dotson with respect to any of such options or warrants to purchase restricted shares of our common stock awarded to them or modified during the periods presented. To date, Mr. Singh, Dr. Snodgrass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173" w:lineRule="exact"/>
        <w:rPr>
          <w:rFonts w:ascii="Arial" w:cs="Arial" w:eastAsia="Arial" w:hAnsi="Arial"/>
          <w:sz w:val="16"/>
          <w:szCs w:val="16"/>
          <w:color w:val="auto"/>
        </w:rPr>
      </w:pPr>
    </w:p>
    <w:p>
      <w:pPr>
        <w:ind w:left="520" w:right="440" w:hanging="515"/>
        <w:spacing w:after="0" w:line="262"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used the Black Scholes Option Pricing Model and the following assumptions for determining the grant date fair value of the warrants to purchase shares of our common stock granted in January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1438275" cy="10706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38275" cy="107061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Market price per share</w:t>
            </w:r>
          </w:p>
        </w:tc>
        <w:tc>
          <w:tcPr>
            <w:tcW w:w="32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8.00</w:t>
            </w:r>
          </w:p>
        </w:tc>
      </w:tr>
      <w:tr>
        <w:trPr>
          <w:trHeight w:val="211"/>
        </w:trPr>
        <w:tc>
          <w:tcPr>
            <w:tcW w:w="7260" w:type="dxa"/>
            <w:vAlign w:val="bottom"/>
          </w:tcPr>
          <w:p>
            <w:pPr>
              <w:ind w:left="2280"/>
              <w:spacing w:after="0"/>
              <w:rPr>
                <w:sz w:val="20"/>
                <w:szCs w:val="20"/>
                <w:color w:val="auto"/>
              </w:rPr>
            </w:pPr>
            <w:r>
              <w:rPr>
                <w:rFonts w:ascii="Arial" w:cs="Arial" w:eastAsia="Arial" w:hAnsi="Arial"/>
                <w:sz w:val="18"/>
                <w:szCs w:val="18"/>
                <w:color w:val="auto"/>
              </w:rPr>
              <w:t>Exercise price per share</w:t>
            </w:r>
          </w:p>
        </w:tc>
        <w:tc>
          <w:tcPr>
            <w:tcW w:w="32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10.00</w:t>
            </w:r>
          </w:p>
        </w:tc>
      </w:tr>
      <w:tr>
        <w:trPr>
          <w:trHeight w:val="211"/>
        </w:trPr>
        <w:tc>
          <w:tcPr>
            <w:tcW w:w="7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Risk-free interest rate</w:t>
            </w:r>
          </w:p>
        </w:tc>
        <w:tc>
          <w:tcPr>
            <w:tcW w:w="3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1"/>
        </w:trPr>
        <w:tc>
          <w:tcPr>
            <w:tcW w:w="7260" w:type="dxa"/>
            <w:vAlign w:val="bottom"/>
          </w:tcPr>
          <w:p>
            <w:pPr>
              <w:ind w:left="2280"/>
              <w:spacing w:after="0"/>
              <w:rPr>
                <w:sz w:val="20"/>
                <w:szCs w:val="20"/>
                <w:color w:val="auto"/>
              </w:rPr>
            </w:pPr>
            <w:r>
              <w:rPr>
                <w:rFonts w:ascii="Arial" w:cs="Arial" w:eastAsia="Arial" w:hAnsi="Arial"/>
                <w:sz w:val="18"/>
                <w:szCs w:val="18"/>
                <w:color w:val="auto"/>
              </w:rPr>
              <w:t>Expected Term (years)</w:t>
            </w:r>
          </w:p>
        </w:tc>
        <w:tc>
          <w:tcPr>
            <w:tcW w:w="328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5.0</w:t>
            </w:r>
          </w:p>
        </w:tc>
      </w:tr>
      <w:tr>
        <w:trPr>
          <w:trHeight w:val="211"/>
        </w:trPr>
        <w:tc>
          <w:tcPr>
            <w:tcW w:w="7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Volatility</w:t>
            </w:r>
          </w:p>
        </w:tc>
        <w:tc>
          <w:tcPr>
            <w:tcW w:w="3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w:t>
            </w:r>
          </w:p>
        </w:tc>
      </w:tr>
      <w:tr>
        <w:trPr>
          <w:trHeight w:val="211"/>
        </w:trPr>
        <w:tc>
          <w:tcPr>
            <w:tcW w:w="7260" w:type="dxa"/>
            <w:vAlign w:val="bottom"/>
          </w:tcPr>
          <w:p>
            <w:pPr>
              <w:ind w:left="2280"/>
              <w:spacing w:after="0"/>
              <w:rPr>
                <w:sz w:val="20"/>
                <w:szCs w:val="20"/>
                <w:color w:val="auto"/>
              </w:rPr>
            </w:pPr>
            <w:r>
              <w:rPr>
                <w:rFonts w:ascii="Arial" w:cs="Arial" w:eastAsia="Arial" w:hAnsi="Arial"/>
                <w:sz w:val="18"/>
                <w:szCs w:val="18"/>
                <w:color w:val="auto"/>
              </w:rPr>
              <w:t>Dividend rate</w:t>
            </w:r>
          </w:p>
        </w:tc>
        <w:tc>
          <w:tcPr>
            <w:tcW w:w="3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1"/>
        </w:trPr>
        <w:tc>
          <w:tcPr>
            <w:tcW w:w="72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2"/>
        </w:trPr>
        <w:tc>
          <w:tcPr>
            <w:tcW w:w="7260" w:type="dxa"/>
            <w:vAlign w:val="bottom"/>
          </w:tcPr>
          <w:p>
            <w:pPr>
              <w:ind w:left="2280"/>
              <w:spacing w:after="0"/>
              <w:rPr>
                <w:sz w:val="20"/>
                <w:szCs w:val="20"/>
                <w:color w:val="auto"/>
              </w:rPr>
            </w:pPr>
            <w:r>
              <w:rPr>
                <w:rFonts w:ascii="Arial" w:cs="Arial" w:eastAsia="Arial" w:hAnsi="Arial"/>
                <w:sz w:val="18"/>
                <w:szCs w:val="18"/>
                <w:color w:val="auto"/>
              </w:rPr>
              <w:t>Grant date fair value per share</w:t>
            </w:r>
          </w:p>
        </w:tc>
        <w:tc>
          <w:tcPr>
            <w:tcW w:w="32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4.59</w:t>
            </w:r>
          </w:p>
        </w:tc>
      </w:tr>
    </w:tbl>
    <w:p>
      <w:pPr>
        <w:spacing w:after="0" w:line="213" w:lineRule="exact"/>
        <w:rPr>
          <w:sz w:val="20"/>
          <w:szCs w:val="20"/>
          <w:color w:val="auto"/>
        </w:rPr>
      </w:pPr>
    </w:p>
    <w:p>
      <w:pPr>
        <w:ind w:left="520" w:right="680"/>
        <w:spacing w:after="0" w:line="262" w:lineRule="auto"/>
        <w:rPr>
          <w:sz w:val="20"/>
          <w:szCs w:val="20"/>
          <w:color w:val="auto"/>
        </w:rPr>
      </w:pPr>
      <w:r>
        <w:rPr>
          <w:rFonts w:ascii="Arial" w:cs="Arial" w:eastAsia="Arial" w:hAnsi="Arial"/>
          <w:sz w:val="18"/>
          <w:szCs w:val="18"/>
          <w:color w:val="auto"/>
        </w:rPr>
        <w:t>Mr. Singh, Dr. Snodgrass and Mr. Dotson were granted warrants to purchase 150,000, 100,000 and 50,000 restricted shares of our common stock, respectively</w:t>
      </w:r>
    </w:p>
    <w:p>
      <w:pPr>
        <w:spacing w:after="0" w:line="180" w:lineRule="exact"/>
        <w:rPr>
          <w:sz w:val="20"/>
          <w:szCs w:val="20"/>
          <w:color w:val="auto"/>
        </w:rPr>
      </w:pPr>
    </w:p>
    <w:p>
      <w:pPr>
        <w:jc w:val="both"/>
        <w:ind w:left="520" w:right="20" w:hanging="515"/>
        <w:spacing w:after="0" w:line="253"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option and warrant awards and modifications we granted to Mr. Singh, Dr. Snodgrass and Mr. Dotson during fiscal 2014 and the assumptions used in the Black Scholes Option Pricing Model to determine the grant date fair values of the respective awards and modifications.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gridSpan w:val="7"/>
          </w:tcPr>
          <w:p>
            <w:pPr>
              <w:spacing w:after="0"/>
              <w:rPr>
                <w:sz w:val="20"/>
                <w:szCs w:val="20"/>
                <w:color w:val="auto"/>
              </w:rPr>
            </w:pPr>
            <w:r>
              <w:rPr>
                <w:rFonts w:ascii="Arial" w:cs="Arial" w:eastAsia="Arial" w:hAnsi="Arial"/>
                <w:sz w:val="18"/>
                <w:szCs w:val="18"/>
                <w:color w:val="auto"/>
              </w:rPr>
              <w:t>NEO and Board Stock Compensation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gridSpan w:val="7"/>
            <w:vMerge w:val="restart"/>
          </w:tcPr>
          <w:p>
            <w:pPr>
              <w:jc w:val="right"/>
              <w:ind w:right="232"/>
              <w:spacing w:after="0"/>
              <w:rPr>
                <w:sz w:val="20"/>
                <w:szCs w:val="20"/>
                <w:color w:val="auto"/>
              </w:rPr>
            </w:pPr>
            <w:r>
              <w:rPr>
                <w:rFonts w:ascii="Arial" w:cs="Arial" w:eastAsia="Arial" w:hAnsi="Arial"/>
                <w:sz w:val="18"/>
                <w:szCs w:val="18"/>
                <w:b w:val="1"/>
                <w:bCs w:val="1"/>
                <w:color w:val="auto"/>
                <w:w w:val="88"/>
              </w:rPr>
              <w:t>Restated for Reverse split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40" w:type="dxa"/>
            <w:vAlign w:val="bottom"/>
            <w:gridSpan w:val="4"/>
          </w:tcPr>
          <w:p>
            <w:pPr>
              <w:spacing w:after="0"/>
              <w:rPr>
                <w:sz w:val="20"/>
                <w:szCs w:val="20"/>
                <w:color w:val="auto"/>
              </w:rPr>
            </w:pPr>
            <w:r>
              <w:rPr>
                <w:rFonts w:ascii="Arial" w:cs="Arial" w:eastAsia="Arial" w:hAnsi="Arial"/>
                <w:sz w:val="18"/>
                <w:szCs w:val="18"/>
                <w:color w:val="auto"/>
              </w:rPr>
              <w:t>Summary for FY 2014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7"/>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Option</w:t>
            </w:r>
          </w:p>
        </w:tc>
        <w:tc>
          <w:tcPr>
            <w:tcW w:w="10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Warrant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Option/Warrant Exchange</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Grant</w:t>
            </w: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Grant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5"/>
          </w:tcPr>
          <w:p>
            <w:pPr>
              <w:jc w:val="center"/>
              <w:ind w:right="420"/>
              <w:spacing w:after="0"/>
              <w:rPr>
                <w:sz w:val="20"/>
                <w:szCs w:val="20"/>
                <w:color w:val="auto"/>
              </w:rPr>
            </w:pPr>
            <w:r>
              <w:rPr>
                <w:rFonts w:ascii="Arial" w:cs="Arial" w:eastAsia="Arial" w:hAnsi="Arial"/>
                <w:sz w:val="18"/>
                <w:szCs w:val="18"/>
                <w:color w:val="auto"/>
                <w:w w:val="94"/>
              </w:rPr>
              <w:t>Option Modification</w:t>
            </w:r>
          </w:p>
        </w:tc>
        <w:tc>
          <w:tcPr>
            <w:tcW w:w="120" w:type="dxa"/>
            <w:vAlign w:val="bottom"/>
          </w:tcPr>
          <w:p>
            <w:pPr>
              <w:spacing w:after="0"/>
              <w:rPr>
                <w:sz w:val="18"/>
                <w:szCs w:val="18"/>
                <w:color w:val="auto"/>
              </w:rPr>
            </w:pPr>
          </w:p>
        </w:tc>
        <w:tc>
          <w:tcPr>
            <w:tcW w:w="2120" w:type="dxa"/>
            <w:vAlign w:val="bottom"/>
            <w:gridSpan w:val="6"/>
          </w:tcPr>
          <w:p>
            <w:pPr>
              <w:jc w:val="right"/>
              <w:ind w:right="460"/>
              <w:spacing w:after="0"/>
              <w:rPr>
                <w:sz w:val="20"/>
                <w:szCs w:val="20"/>
                <w:color w:val="auto"/>
              </w:rPr>
            </w:pPr>
            <w:r>
              <w:rPr>
                <w:rFonts w:ascii="Arial" w:cs="Arial" w:eastAsia="Arial" w:hAnsi="Arial"/>
                <w:sz w:val="18"/>
                <w:szCs w:val="18"/>
                <w:color w:val="auto"/>
                <w:w w:val="99"/>
              </w:rPr>
              <w:t>Warrant Modification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10/27/2013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3/19/2014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4"/>
          </w:tcPr>
          <w:p>
            <w:pPr>
              <w:jc w:val="right"/>
              <w:ind w:right="532"/>
              <w:spacing w:after="0"/>
              <w:rPr>
                <w:sz w:val="20"/>
                <w:szCs w:val="20"/>
                <w:color w:val="auto"/>
              </w:rPr>
            </w:pPr>
            <w:r>
              <w:rPr>
                <w:rFonts w:ascii="Arial" w:cs="Arial" w:eastAsia="Arial" w:hAnsi="Arial"/>
                <w:sz w:val="18"/>
                <w:szCs w:val="18"/>
                <w:color w:val="auto"/>
              </w:rPr>
              <w:t>12/20/2013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5"/>
          </w:tcPr>
          <w:p>
            <w:pPr>
              <w:jc w:val="right"/>
              <w:ind w:right="532"/>
              <w:spacing w:after="0"/>
              <w:rPr>
                <w:sz w:val="20"/>
                <w:szCs w:val="20"/>
                <w:color w:val="auto"/>
              </w:rPr>
            </w:pPr>
            <w:r>
              <w:rPr>
                <w:rFonts w:ascii="Arial" w:cs="Arial" w:eastAsia="Arial" w:hAnsi="Arial"/>
                <w:sz w:val="18"/>
                <w:szCs w:val="18"/>
                <w:color w:val="auto"/>
              </w:rPr>
              <w:t>12/20/2013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center"/>
              <w:ind w:left="472"/>
              <w:spacing w:after="0"/>
              <w:rPr>
                <w:sz w:val="20"/>
                <w:szCs w:val="20"/>
                <w:color w:val="auto"/>
              </w:rPr>
            </w:pPr>
            <w:r>
              <w:rPr>
                <w:rFonts w:ascii="Arial" w:cs="Arial" w:eastAsia="Arial" w:hAnsi="Arial"/>
                <w:sz w:val="18"/>
                <w:szCs w:val="18"/>
                <w:color w:val="auto"/>
                <w:w w:val="89"/>
              </w:rPr>
              <w:t>3/19/2014</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134,436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159,802</w:t>
            </w:r>
          </w:p>
        </w:tc>
        <w:tc>
          <w:tcPr>
            <w:tcW w:w="0" w:type="dxa"/>
            <w:vAlign w:val="bottom"/>
          </w:tcPr>
          <w:p>
            <w:pPr>
              <w:spacing w:after="0"/>
              <w:rPr>
                <w:sz w:val="1"/>
                <w:szCs w:val="1"/>
                <w:color w:val="auto"/>
              </w:rPr>
            </w:pPr>
          </w:p>
        </w:tc>
      </w:tr>
      <w:tr>
        <w:trPr>
          <w:trHeight w:val="211"/>
        </w:trPr>
        <w:tc>
          <w:tcPr>
            <w:tcW w:w="1200" w:type="dxa"/>
            <w:vAlign w:val="bottom"/>
          </w:tcPr>
          <w:p>
            <w:pPr>
              <w:spacing w:after="0"/>
              <w:rPr>
                <w:sz w:val="20"/>
                <w:szCs w:val="20"/>
                <w:color w:val="auto"/>
              </w:rPr>
            </w:pPr>
            <w:r>
              <w:rPr>
                <w:rFonts w:ascii="Arial" w:cs="Arial" w:eastAsia="Arial" w:hAnsi="Arial"/>
                <w:sz w:val="18"/>
                <w:szCs w:val="18"/>
                <w:color w:val="auto"/>
              </w:rPr>
              <w:t>Snodgrass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14,560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56,835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30,958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102,353</w:t>
            </w:r>
          </w:p>
        </w:tc>
        <w:tc>
          <w:tcPr>
            <w:tcW w:w="0" w:type="dxa"/>
            <w:vAlign w:val="bottom"/>
          </w:tcPr>
          <w:p>
            <w:pPr>
              <w:spacing w:after="0"/>
              <w:rPr>
                <w:sz w:val="1"/>
                <w:szCs w:val="1"/>
                <w:color w:val="auto"/>
              </w:rPr>
            </w:pPr>
          </w:p>
        </w:tc>
      </w:tr>
      <w:tr>
        <w:trPr>
          <w:trHeight w:val="217"/>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Dotson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36,846</w:t>
            </w:r>
          </w:p>
        </w:tc>
        <w:tc>
          <w:tcPr>
            <w:tcW w:w="0" w:type="dxa"/>
            <w:vAlign w:val="bottom"/>
          </w:tcPr>
          <w:p>
            <w:pPr>
              <w:spacing w:after="0"/>
              <w:rPr>
                <w:sz w:val="1"/>
                <w:szCs w:val="1"/>
                <w:color w:val="auto"/>
              </w:rPr>
            </w:pPr>
          </w:p>
        </w:tc>
      </w:tr>
      <w:tr>
        <w:trPr>
          <w:trHeight w:val="211"/>
        </w:trPr>
        <w:tc>
          <w:tcPr>
            <w:tcW w:w="1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43,680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192,617</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25,366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30,958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299,001</w:t>
            </w:r>
          </w:p>
        </w:tc>
        <w:tc>
          <w:tcPr>
            <w:tcW w:w="0" w:type="dxa"/>
            <w:vAlign w:val="bottom"/>
          </w:tcPr>
          <w:p>
            <w:pPr>
              <w:spacing w:after="0"/>
              <w:rPr>
                <w:sz w:val="1"/>
                <w:szCs w:val="1"/>
                <w:color w:val="auto"/>
              </w:rPr>
            </w:pPr>
          </w:p>
        </w:tc>
      </w:tr>
      <w:tr>
        <w:trPr>
          <w:trHeight w:val="631"/>
        </w:trPr>
        <w:tc>
          <w:tcPr>
            <w:tcW w:w="1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gridSpan w:val="2"/>
          </w:tcPr>
          <w:p>
            <w:pPr>
              <w:jc w:val="right"/>
              <w:ind w:right="480"/>
              <w:spacing w:after="0"/>
              <w:rPr>
                <w:sz w:val="20"/>
                <w:szCs w:val="20"/>
                <w:color w:val="auto"/>
              </w:rPr>
            </w:pPr>
            <w:r>
              <w:rPr>
                <w:rFonts w:ascii="Arial" w:cs="Arial" w:eastAsia="Arial" w:hAnsi="Arial"/>
                <w:sz w:val="18"/>
                <w:szCs w:val="18"/>
                <w:color w:val="auto"/>
                <w:w w:val="94"/>
              </w:rPr>
              <w:t>Before</w:t>
            </w: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After</w:t>
            </w: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gridSpan w:val="2"/>
          </w:tcPr>
          <w:p>
            <w:pPr>
              <w:jc w:val="right"/>
              <w:ind w:right="400"/>
              <w:spacing w:after="0"/>
              <w:rPr>
                <w:sz w:val="20"/>
                <w:szCs w:val="20"/>
                <w:color w:val="auto"/>
              </w:rPr>
            </w:pPr>
            <w:r>
              <w:rPr>
                <w:rFonts w:ascii="Arial" w:cs="Arial" w:eastAsia="Arial" w:hAnsi="Arial"/>
                <w:sz w:val="18"/>
                <w:szCs w:val="18"/>
                <w:color w:val="auto"/>
              </w:rPr>
              <w:t>Before</w:t>
            </w: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After</w:t>
            </w: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gridSpan w:val="2"/>
          </w:tcPr>
          <w:p>
            <w:pPr>
              <w:jc w:val="right"/>
              <w:ind w:right="372"/>
              <w:spacing w:after="0"/>
              <w:rPr>
                <w:sz w:val="20"/>
                <w:szCs w:val="20"/>
                <w:color w:val="auto"/>
              </w:rPr>
            </w:pPr>
            <w:r>
              <w:rPr>
                <w:rFonts w:ascii="Arial" w:cs="Arial" w:eastAsia="Arial" w:hAnsi="Arial"/>
                <w:sz w:val="18"/>
                <w:szCs w:val="18"/>
                <w:color w:val="auto"/>
              </w:rPr>
              <w:t>Before</w:t>
            </w: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w w:val="99"/>
              </w:rPr>
              <w:t>After</w:t>
            </w: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Market price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9.20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line="198" w:lineRule="exact"/>
              <w:rPr>
                <w:sz w:val="20"/>
                <w:szCs w:val="20"/>
                <w:color w:val="auto"/>
              </w:rPr>
            </w:pPr>
            <w:r>
              <w:rPr>
                <w:rFonts w:ascii="Arial" w:cs="Arial" w:eastAsia="Arial" w:hAnsi="Arial"/>
                <w:sz w:val="18"/>
                <w:szCs w:val="18"/>
                <w:color w:val="auto"/>
              </w:rPr>
              <w:t>Exercise price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60"/>
              <w:spacing w:after="0" w:line="198" w:lineRule="exact"/>
              <w:rPr>
                <w:sz w:val="20"/>
                <w:szCs w:val="20"/>
                <w:color w:val="auto"/>
              </w:rPr>
            </w:pPr>
            <w:r>
              <w:rPr>
                <w:rFonts w:ascii="Arial" w:cs="Arial" w:eastAsia="Arial" w:hAnsi="Arial"/>
                <w:sz w:val="18"/>
                <w:szCs w:val="18"/>
                <w:color w:val="auto"/>
              </w:rPr>
              <w:t>15.00 to</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0"/>
              <w:spacing w:after="0" w:line="198" w:lineRule="exact"/>
              <w:rPr>
                <w:sz w:val="20"/>
                <w:szCs w:val="20"/>
                <w:color w:val="auto"/>
              </w:rPr>
            </w:pPr>
            <w:r>
              <w:rPr>
                <w:rFonts w:ascii="Arial" w:cs="Arial" w:eastAsia="Arial" w:hAnsi="Arial"/>
                <w:sz w:val="18"/>
                <w:szCs w:val="18"/>
                <w:color w:val="auto"/>
              </w:rPr>
              <w:t>30.00 to</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$42.00</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0.50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Risk-free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0.7% to</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w w:val="98"/>
              </w:rPr>
              <w:t>0.12% to</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0.07% to</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0.75% to</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interest rate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0.106%</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60"/>
              <w:spacing w:after="0" w:line="198" w:lineRule="exact"/>
              <w:rPr>
                <w:sz w:val="20"/>
                <w:szCs w:val="20"/>
                <w:color w:val="auto"/>
              </w:rPr>
            </w:pPr>
            <w:r>
              <w:rPr>
                <w:rFonts w:ascii="Arial" w:cs="Arial" w:eastAsia="Arial" w:hAnsi="Arial"/>
                <w:sz w:val="18"/>
                <w:szCs w:val="18"/>
                <w:color w:val="auto"/>
              </w:rPr>
              <w:t>68.8% to</w:t>
            </w:r>
          </w:p>
        </w:tc>
        <w:tc>
          <w:tcPr>
            <w:tcW w:w="160" w:type="dxa"/>
            <w:vAlign w:val="bottom"/>
          </w:tcPr>
          <w:p>
            <w:pPr>
              <w:spacing w:after="0"/>
              <w:rPr>
                <w:sz w:val="17"/>
                <w:szCs w:val="17"/>
                <w:color w:val="auto"/>
              </w:rPr>
            </w:pPr>
          </w:p>
        </w:tc>
        <w:tc>
          <w:tcPr>
            <w:tcW w:w="1000" w:type="dxa"/>
            <w:vAlign w:val="bottom"/>
            <w:gridSpan w:val="2"/>
          </w:tcPr>
          <w:p>
            <w:pPr>
              <w:jc w:val="right"/>
              <w:ind w:right="280"/>
              <w:spacing w:after="0" w:line="198" w:lineRule="exact"/>
              <w:rPr>
                <w:sz w:val="20"/>
                <w:szCs w:val="20"/>
                <w:color w:val="auto"/>
              </w:rPr>
            </w:pPr>
            <w:r>
              <w:rPr>
                <w:rFonts w:ascii="Arial" w:cs="Arial" w:eastAsia="Arial" w:hAnsi="Arial"/>
                <w:sz w:val="18"/>
                <w:szCs w:val="18"/>
                <w:color w:val="auto"/>
                <w:w w:val="98"/>
              </w:rPr>
              <w:t>68.8% to</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line="198" w:lineRule="exact"/>
              <w:rPr>
                <w:sz w:val="20"/>
                <w:szCs w:val="20"/>
                <w:color w:val="auto"/>
              </w:rPr>
            </w:pPr>
            <w:r>
              <w:rPr>
                <w:rFonts w:ascii="Arial" w:cs="Arial" w:eastAsia="Arial" w:hAnsi="Arial"/>
                <w:sz w:val="18"/>
                <w:szCs w:val="18"/>
                <w:color w:val="auto"/>
                <w:w w:val="91"/>
              </w:rPr>
              <w:t>68.76% to</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0"/>
              <w:spacing w:after="0" w:line="198" w:lineRule="exact"/>
              <w:rPr>
                <w:sz w:val="20"/>
                <w:szCs w:val="20"/>
                <w:color w:val="auto"/>
              </w:rPr>
            </w:pPr>
            <w:r>
              <w:rPr>
                <w:rFonts w:ascii="Arial" w:cs="Arial" w:eastAsia="Arial" w:hAnsi="Arial"/>
                <w:sz w:val="18"/>
                <w:szCs w:val="18"/>
                <w:color w:val="auto"/>
                <w:w w:val="93"/>
              </w:rPr>
              <w:t>76.51% to</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99.53%</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78.21%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78.21%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68.96%</w:t>
            </w:r>
          </w:p>
        </w:tc>
        <w:tc>
          <w:tcPr>
            <w:tcW w:w="2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80.57%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Expected term</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(years)</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2"/>
              </w:rPr>
              <w:t>0.25 to 8.86</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0"/>
              </w:rPr>
              <w:t>0.87 to 8.86</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0"/>
              </w:rPr>
              <w:t>0.03 to 3.96</w:t>
            </w:r>
          </w:p>
        </w:tc>
        <w:tc>
          <w:tcPr>
            <w:tcW w:w="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3.03 to 3.96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0.63</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line="198" w:lineRule="exact"/>
              <w:rPr>
                <w:sz w:val="20"/>
                <w:szCs w:val="20"/>
                <w:color w:val="auto"/>
              </w:rPr>
            </w:pPr>
            <w:r>
              <w:rPr>
                <w:rFonts w:ascii="Arial" w:cs="Arial" w:eastAsia="Arial" w:hAnsi="Arial"/>
                <w:sz w:val="18"/>
                <w:szCs w:val="18"/>
                <w:color w:val="auto"/>
              </w:rPr>
              <w:t>Fair value per</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60"/>
              <w:spacing w:after="0" w:line="198" w:lineRule="exact"/>
              <w:rPr>
                <w:sz w:val="20"/>
                <w:szCs w:val="20"/>
                <w:color w:val="auto"/>
              </w:rPr>
            </w:pPr>
            <w:r>
              <w:rPr>
                <w:rFonts w:ascii="Arial" w:cs="Arial" w:eastAsia="Arial" w:hAnsi="Arial"/>
                <w:sz w:val="18"/>
                <w:szCs w:val="18"/>
                <w:color w:val="auto"/>
              </w:rPr>
              <w:t>0.00 to</w:t>
            </w:r>
          </w:p>
        </w:tc>
        <w:tc>
          <w:tcPr>
            <w:tcW w:w="160" w:type="dxa"/>
            <w:vAlign w:val="bottom"/>
          </w:tcPr>
          <w:p>
            <w:pPr>
              <w:spacing w:after="0"/>
              <w:rPr>
                <w:sz w:val="17"/>
                <w:szCs w:val="17"/>
                <w:color w:val="auto"/>
              </w:rPr>
            </w:pPr>
          </w:p>
        </w:tc>
        <w:tc>
          <w:tcPr>
            <w:tcW w:w="1000" w:type="dxa"/>
            <w:vAlign w:val="bottom"/>
            <w:gridSpan w:val="2"/>
          </w:tcPr>
          <w:p>
            <w:pPr>
              <w:jc w:val="right"/>
              <w:ind w:right="280"/>
              <w:spacing w:after="0" w:line="198" w:lineRule="exact"/>
              <w:rPr>
                <w:sz w:val="20"/>
                <w:szCs w:val="20"/>
                <w:color w:val="auto"/>
              </w:rPr>
            </w:pPr>
            <w:r>
              <w:rPr>
                <w:rFonts w:ascii="Arial" w:cs="Arial" w:eastAsia="Arial" w:hAnsi="Arial"/>
                <w:sz w:val="18"/>
                <w:szCs w:val="18"/>
                <w:color w:val="auto"/>
              </w:rPr>
              <w:t>1.40 to</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line="198" w:lineRule="exact"/>
              <w:rPr>
                <w:sz w:val="20"/>
                <w:szCs w:val="20"/>
                <w:color w:val="auto"/>
              </w:rPr>
            </w:pPr>
            <w:r>
              <w:rPr>
                <w:rFonts w:ascii="Arial" w:cs="Arial" w:eastAsia="Arial" w:hAnsi="Arial"/>
                <w:sz w:val="18"/>
                <w:szCs w:val="18"/>
                <w:color w:val="auto"/>
              </w:rPr>
              <w:t>0.00 to</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0"/>
              <w:spacing w:after="0" w:line="198" w:lineRule="exact"/>
              <w:rPr>
                <w:sz w:val="20"/>
                <w:szCs w:val="20"/>
                <w:color w:val="auto"/>
              </w:rPr>
            </w:pPr>
            <w:r>
              <w:rPr>
                <w:rFonts w:ascii="Arial" w:cs="Arial" w:eastAsia="Arial" w:hAnsi="Arial"/>
                <w:sz w:val="18"/>
                <w:szCs w:val="18"/>
                <w:color w:val="auto"/>
              </w:rPr>
              <w:t>3.55 to</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$6.49</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$4.20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72"/>
              <w:spacing w:after="0"/>
              <w:rPr>
                <w:sz w:val="20"/>
                <w:szCs w:val="20"/>
                <w:color w:val="auto"/>
              </w:rPr>
            </w:pPr>
            <w:r>
              <w:rPr>
                <w:rFonts w:ascii="Arial" w:cs="Arial" w:eastAsia="Arial" w:hAnsi="Arial"/>
                <w:sz w:val="18"/>
                <w:szCs w:val="18"/>
                <w:color w:val="auto"/>
              </w:rPr>
              <w:t>1.70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116,125</w:t>
            </w:r>
          </w:p>
        </w:tc>
        <w:tc>
          <w:tcPr>
            <w:tcW w:w="16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116,125</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8,303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8,303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52" w:orient="portrait"/>
          <w:cols w:equalWidth="0" w:num="1">
            <w:col w:w="11420"/>
          </w:cols>
          <w:pgMar w:left="240" w:top="130" w:right="239" w:bottom="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68580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0" cy="1651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5"/>
        <w:spacing w:after="0" w:line="273" w:lineRule="auto"/>
        <w:tabs>
          <w:tab w:leader="none" w:pos="296"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On March 19, 2014, the Board and Dr. Snodgrass agreed to cancel a fully-vested option to purchase 7,500 shares of our restricted common stock at a price of $10.00 per share </w:t>
      </w:r>
      <w:r>
        <w:rPr>
          <w:rFonts w:ascii="Arial" w:cs="Arial" w:eastAsia="Arial" w:hAnsi="Arial"/>
          <w:sz w:val="15"/>
          <w:szCs w:val="15"/>
          <w:color w:val="auto"/>
        </w:rPr>
        <w:t>and expiring on November 4, 2014 in exchange for the grant of a five-year warrant to purchase 7,500 shares</w:t>
      </w:r>
    </w:p>
    <w:p>
      <w:pPr>
        <w:jc w:val="both"/>
        <w:spacing w:after="0" w:line="244" w:lineRule="auto"/>
        <w:rPr>
          <w:sz w:val="20"/>
          <w:szCs w:val="20"/>
          <w:color w:val="auto"/>
        </w:rPr>
      </w:pPr>
      <w:r>
        <w:rPr>
          <w:rFonts w:ascii="Arial" w:cs="Arial" w:eastAsia="Arial" w:hAnsi="Arial"/>
          <w:sz w:val="18"/>
          <w:szCs w:val="18"/>
          <w:color w:val="auto"/>
        </w:rPr>
        <w:t>of our restricted common stock at a price of $10.00 per share. Shares subject to the cancelled option grant were returned to the 2008 Stock Incentive Plan for potential future grants. The cancellation of the option and grant of the warrant was accounted for as a modification of an award under ASC 718 and, accordingly, the difference in the fair value of the two instruments at the modification date was recorded in stock compensation expense and is the amount reported in the table above.</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 of the NEOs is entitled to perquisites or other personal benefits which, in the aggregate, are worth over $50,000 or over 10% of their base salary.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7" w:name="page158"/>
    <w:bookmarkEnd w:id="15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Warrants Granted to NEOs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restricted shares of our common stock held by each of the named executive officers as of March 31,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85"/>
              </w:rPr>
              <w:t>Stock Options</w:t>
            </w:r>
          </w:p>
        </w:tc>
        <w:tc>
          <w:tcPr>
            <w:tcW w:w="2960" w:type="dxa"/>
            <w:vAlign w:val="bottom"/>
            <w:tcBorders>
              <w:bottom w:val="single" w:sz="8" w:color="auto"/>
            </w:tcBorders>
          </w:tcPr>
          <w:p>
            <w:pPr>
              <w:spacing w:after="0"/>
              <w:rPr>
                <w:sz w:val="20"/>
                <w:szCs w:val="20"/>
                <w:color w:val="auto"/>
              </w:rPr>
            </w:pPr>
          </w:p>
        </w:tc>
      </w:tr>
      <w:tr>
        <w:trPr>
          <w:trHeight w:val="192"/>
        </w:trPr>
        <w:tc>
          <w:tcPr>
            <w:tcW w:w="4440" w:type="dxa"/>
            <w:vAlign w:val="bottom"/>
          </w:tcPr>
          <w:p>
            <w:pPr>
              <w:spacing w:after="0"/>
              <w:rPr>
                <w:sz w:val="16"/>
                <w:szCs w:val="16"/>
                <w:color w:val="auto"/>
              </w:rPr>
            </w:pPr>
          </w:p>
        </w:tc>
        <w:tc>
          <w:tcPr>
            <w:tcW w:w="1340" w:type="dxa"/>
            <w:vAlign w:val="bottom"/>
            <w:gridSpan w:val="2"/>
          </w:tcPr>
          <w:p>
            <w:pPr>
              <w:jc w:val="center"/>
              <w:ind w:right="260"/>
              <w:spacing w:after="0" w:line="192" w:lineRule="exact"/>
              <w:rPr>
                <w:sz w:val="20"/>
                <w:szCs w:val="20"/>
                <w:color w:val="auto"/>
              </w:rPr>
            </w:pPr>
            <w:r>
              <w:rPr>
                <w:rFonts w:ascii="Arial" w:cs="Arial" w:eastAsia="Arial" w:hAnsi="Arial"/>
                <w:sz w:val="18"/>
                <w:szCs w:val="18"/>
                <w:b w:val="1"/>
                <w:bCs w:val="1"/>
                <w:color w:val="auto"/>
                <w:w w:val="88"/>
              </w:rPr>
              <w:t>Number of</w:t>
            </w:r>
          </w:p>
        </w:tc>
        <w:tc>
          <w:tcPr>
            <w:tcW w:w="1440" w:type="dxa"/>
            <w:vAlign w:val="bottom"/>
            <w:gridSpan w:val="2"/>
          </w:tcPr>
          <w:p>
            <w:pPr>
              <w:jc w:val="center"/>
              <w:ind w:right="340"/>
              <w:spacing w:after="0" w:line="192" w:lineRule="exact"/>
              <w:rPr>
                <w:sz w:val="20"/>
                <w:szCs w:val="20"/>
                <w:color w:val="auto"/>
              </w:rPr>
            </w:pPr>
            <w:r>
              <w:rPr>
                <w:rFonts w:ascii="Arial" w:cs="Arial" w:eastAsia="Arial" w:hAnsi="Arial"/>
                <w:sz w:val="18"/>
                <w:szCs w:val="18"/>
                <w:b w:val="1"/>
                <w:bCs w:val="1"/>
                <w:color w:val="auto"/>
                <w:w w:val="91"/>
              </w:rPr>
              <w:t>Number of</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211"/>
        </w:trPr>
        <w:tc>
          <w:tcPr>
            <w:tcW w:w="44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Securities</w:t>
            </w: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Securities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1"/>
        </w:trPr>
        <w:tc>
          <w:tcPr>
            <w:tcW w:w="44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Underlying</w:t>
            </w: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Underlying</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Option</w:t>
            </w:r>
          </w:p>
        </w:tc>
        <w:tc>
          <w:tcPr>
            <w:tcW w:w="2960" w:type="dxa"/>
            <w:vAlign w:val="bottom"/>
          </w:tcPr>
          <w:p>
            <w:pPr>
              <w:spacing w:after="0"/>
              <w:rPr>
                <w:sz w:val="18"/>
                <w:szCs w:val="18"/>
                <w:color w:val="auto"/>
              </w:rPr>
            </w:pPr>
          </w:p>
        </w:tc>
      </w:tr>
      <w:tr>
        <w:trPr>
          <w:trHeight w:val="211"/>
        </w:trPr>
        <w:tc>
          <w:tcPr>
            <w:tcW w:w="44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Unexercised</w:t>
            </w: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Unexercised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Exercise</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r>
      <w:tr>
        <w:trPr>
          <w:trHeight w:val="211"/>
        </w:trPr>
        <w:tc>
          <w:tcPr>
            <w:tcW w:w="44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Options (#)</w:t>
            </w: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Options (#)</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Price</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35"/>
        </w:trPr>
        <w:tc>
          <w:tcPr>
            <w:tcW w:w="44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Exercisable</w:t>
            </w: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Unexercisable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r>
      <w:tr>
        <w:trPr>
          <w:trHeight w:val="211"/>
        </w:trPr>
        <w:tc>
          <w:tcPr>
            <w:tcW w:w="44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r>
      <w:tr>
        <w:trPr>
          <w:trHeight w:val="211"/>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12/21/2016</w:t>
            </w:r>
          </w:p>
        </w:tc>
      </w:tr>
      <w:tr>
        <w:trPr>
          <w:trHeight w:val="211"/>
        </w:trPr>
        <w:tc>
          <w:tcPr>
            <w:tcW w:w="4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5/17/2017</w:t>
            </w:r>
          </w:p>
        </w:tc>
      </w:tr>
      <w:tr>
        <w:trPr>
          <w:trHeight w:val="211"/>
        </w:trPr>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1/17/2018</w:t>
            </w:r>
          </w:p>
        </w:tc>
      </w:tr>
      <w:tr>
        <w:trPr>
          <w:trHeight w:val="211"/>
        </w:trPr>
        <w:tc>
          <w:tcPr>
            <w:tcW w:w="4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1/17/2018</w:t>
            </w:r>
          </w:p>
        </w:tc>
      </w:tr>
      <w:tr>
        <w:trPr>
          <w:trHeight w:val="211"/>
        </w:trPr>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3/24/2019</w:t>
            </w:r>
          </w:p>
        </w:tc>
      </w:tr>
      <w:tr>
        <w:trPr>
          <w:trHeight w:val="211"/>
        </w:trPr>
        <w:tc>
          <w:tcPr>
            <w:tcW w:w="4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1,125</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6/17/2019</w:t>
            </w:r>
          </w:p>
        </w:tc>
      </w:tr>
      <w:tr>
        <w:trPr>
          <w:trHeight w:val="211"/>
        </w:trPr>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11/4/2019</w:t>
            </w:r>
          </w:p>
        </w:tc>
      </w:tr>
      <w:tr>
        <w:trPr>
          <w:trHeight w:val="211"/>
        </w:trPr>
        <w:tc>
          <w:tcPr>
            <w:tcW w:w="4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21,250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12/30/2019</w:t>
            </w:r>
          </w:p>
        </w:tc>
      </w:tr>
      <w:tr>
        <w:trPr>
          <w:trHeight w:val="211"/>
        </w:trPr>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4,896</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4/26/2021</w:t>
            </w:r>
          </w:p>
        </w:tc>
      </w:tr>
      <w:tr>
        <w:trPr>
          <w:trHeight w:val="211"/>
        </w:trPr>
        <w:tc>
          <w:tcPr>
            <w:tcW w:w="4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4,017</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12/31/2016</w:t>
            </w:r>
          </w:p>
        </w:tc>
      </w:tr>
      <w:tr>
        <w:trPr>
          <w:trHeight w:val="211"/>
        </w:trPr>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1,786</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12/31/2016</w:t>
            </w:r>
          </w:p>
        </w:tc>
      </w:tr>
      <w:tr>
        <w:trPr>
          <w:trHeight w:val="211"/>
        </w:trPr>
        <w:tc>
          <w:tcPr>
            <w:tcW w:w="4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12/6/2017</w:t>
            </w:r>
          </w:p>
        </w:tc>
      </w:tr>
      <w:tr>
        <w:trPr>
          <w:trHeight w:val="211"/>
        </w:trPr>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7/30/2016</w:t>
            </w:r>
          </w:p>
        </w:tc>
      </w:tr>
      <w:tr>
        <w:trPr>
          <w:trHeight w:val="211"/>
        </w:trPr>
        <w:tc>
          <w:tcPr>
            <w:tcW w:w="4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53,250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18,750(1)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3/3/2023</w:t>
            </w:r>
          </w:p>
        </w:tc>
      </w:tr>
      <w:tr>
        <w:trPr>
          <w:trHeight w:val="211"/>
        </w:trPr>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1/11/2020</w:t>
            </w:r>
          </w:p>
        </w:tc>
      </w:tr>
      <w:tr>
        <w:trPr>
          <w:trHeight w:val="26"/>
        </w:trPr>
        <w:tc>
          <w:tcPr>
            <w:tcW w:w="44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r>
      <w:tr>
        <w:trPr>
          <w:trHeight w:val="211"/>
        </w:trPr>
        <w:tc>
          <w:tcPr>
            <w:tcW w:w="444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301,824</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18,854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1"/>
        </w:trPr>
        <w:tc>
          <w:tcPr>
            <w:tcW w:w="4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1"/>
        </w:trPr>
        <w:tc>
          <w:tcPr>
            <w:tcW w:w="4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1"/>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3/24/2019</w:t>
            </w:r>
          </w:p>
        </w:tc>
      </w:tr>
      <w:tr>
        <w:trPr>
          <w:trHeight w:val="211"/>
        </w:trPr>
        <w:tc>
          <w:tcPr>
            <w:tcW w:w="4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6/17/2014</w:t>
            </w:r>
          </w:p>
        </w:tc>
      </w:tr>
      <w:tr>
        <w:trPr>
          <w:trHeight w:val="211"/>
        </w:trPr>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12/20/2016</w:t>
            </w:r>
          </w:p>
        </w:tc>
      </w:tr>
      <w:tr>
        <w:trPr>
          <w:trHeight w:val="211"/>
        </w:trPr>
        <w:tc>
          <w:tcPr>
            <w:tcW w:w="4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12/30/2019</w:t>
            </w:r>
          </w:p>
        </w:tc>
      </w:tr>
      <w:tr>
        <w:trPr>
          <w:trHeight w:val="211"/>
        </w:trPr>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4,896</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4/25/2021</w:t>
            </w:r>
          </w:p>
        </w:tc>
      </w:tr>
      <w:tr>
        <w:trPr>
          <w:trHeight w:val="211"/>
        </w:trPr>
        <w:tc>
          <w:tcPr>
            <w:tcW w:w="4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37,500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12,500(1)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3/3/2023</w:t>
            </w:r>
          </w:p>
        </w:tc>
      </w:tr>
      <w:tr>
        <w:trPr>
          <w:trHeight w:val="211"/>
        </w:trPr>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3/19/2024</w:t>
            </w:r>
          </w:p>
        </w:tc>
      </w:tr>
      <w:tr>
        <w:trPr>
          <w:trHeight w:val="211"/>
        </w:trPr>
        <w:tc>
          <w:tcPr>
            <w:tcW w:w="4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3,750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3,750(2)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3/19/2024</w:t>
            </w:r>
          </w:p>
        </w:tc>
      </w:tr>
      <w:tr>
        <w:trPr>
          <w:trHeight w:val="211"/>
        </w:trPr>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1/11/2020</w:t>
            </w:r>
          </w:p>
        </w:tc>
      </w:tr>
      <w:tr>
        <w:trPr>
          <w:trHeight w:val="26"/>
        </w:trPr>
        <w:tc>
          <w:tcPr>
            <w:tcW w:w="44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r>
      <w:tr>
        <w:trPr>
          <w:trHeight w:val="211"/>
        </w:trPr>
        <w:tc>
          <w:tcPr>
            <w:tcW w:w="444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163,965</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17,604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1"/>
        </w:trPr>
        <w:tc>
          <w:tcPr>
            <w:tcW w:w="4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1"/>
        </w:trPr>
        <w:tc>
          <w:tcPr>
            <w:tcW w:w="4440" w:type="dxa"/>
            <w:vAlign w:val="bottom"/>
          </w:tcPr>
          <w:p>
            <w:pPr>
              <w:spacing w:after="0"/>
              <w:rPr>
                <w:sz w:val="20"/>
                <w:szCs w:val="20"/>
                <w:color w:val="auto"/>
              </w:rPr>
            </w:pPr>
            <w:r>
              <w:rPr>
                <w:rFonts w:ascii="Arial" w:cs="Arial" w:eastAsia="Arial" w:hAnsi="Arial"/>
                <w:sz w:val="18"/>
                <w:szCs w:val="18"/>
                <w:color w:val="auto"/>
              </w:rPr>
              <w:t>Jerrold D. Dotson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5,001</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10/30/2022</w:t>
            </w:r>
          </w:p>
        </w:tc>
      </w:tr>
      <w:tr>
        <w:trPr>
          <w:trHeight w:val="211"/>
        </w:trPr>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10/27/2023</w:t>
            </w:r>
          </w:p>
        </w:tc>
      </w:tr>
      <w:tr>
        <w:trPr>
          <w:trHeight w:val="211"/>
        </w:trPr>
        <w:tc>
          <w:tcPr>
            <w:tcW w:w="4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2,500(1)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3/3/2023</w:t>
            </w:r>
          </w:p>
        </w:tc>
      </w:tr>
      <w:tr>
        <w:trPr>
          <w:trHeight w:val="211"/>
        </w:trPr>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3/19/2024</w:t>
            </w:r>
          </w:p>
        </w:tc>
      </w:tr>
      <w:tr>
        <w:trPr>
          <w:trHeight w:val="211"/>
        </w:trPr>
        <w:tc>
          <w:tcPr>
            <w:tcW w:w="4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1/11/2020</w:t>
            </w:r>
          </w:p>
        </w:tc>
      </w:tr>
      <w:tr>
        <w:trPr>
          <w:trHeight w:val="26"/>
        </w:trPr>
        <w:tc>
          <w:tcPr>
            <w:tcW w:w="44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11"/>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65,709</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5,292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420" w:right="20" w:hanging="415"/>
        <w:spacing w:after="0" w:line="324" w:lineRule="auto"/>
        <w:tabs>
          <w:tab w:leader="none" w:pos="4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warrant to purchase restricted shares of our common stock granted on March 3, 2013 at the market price of our common stock on the grant date. At March 31, 2015, the warrant is exercisable for 75% of the shares and became exercisable for the remaining 25% of the shares on April 1, 2015.</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58" w:name="page159"/>
    <w:bookmarkEnd w:id="15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ind w:left="420" w:hanging="371"/>
        <w:spacing w:after="0" w:line="248" w:lineRule="auto"/>
        <w:tabs>
          <w:tab w:leader="none" w:pos="4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Represents warrant to purchase restricted shares of our common stock granted on March 19, 2014 when the market price of our common stock was $9.20 per share. The warrant became exercisable for 50% of the shares on April 1, 2014, and became exercisable for an additional 25% of the shares on April 1, 2015. It becomes exercisable for the remaining 25% of the shares on April 1, 2016, provided that the warrant will become fully vested upon a change in control of the Company, as defined, or upon the consummation by the Company and a third party of a license or sale transaction involving at least one new Drug Rescue Variant.</w:t>
      </w:r>
    </w:p>
    <w:p>
      <w:pPr>
        <w:spacing w:after="0" w:line="194" w:lineRule="exact"/>
        <w:rPr>
          <w:rFonts w:ascii="Arial" w:cs="Arial" w:eastAsia="Arial" w:hAnsi="Arial"/>
          <w:sz w:val="18"/>
          <w:szCs w:val="18"/>
          <w:color w:val="auto"/>
        </w:rPr>
      </w:pPr>
    </w:p>
    <w:p>
      <w:pPr>
        <w:ind w:left="420" w:hanging="415"/>
        <w:spacing w:after="0" w:line="262"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warrant to purchase restricted shares of our common stock granted as fully-exercisable on January 11, 2015 when the market price of our common stock was $8.00 per share.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have employment agreements with Mr. Singh and Dr. Snodgrass.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entered into an employment agreement with Mr. Singh on April 28, 2010. Under the agreement, as amended on May 9, 2011, Mr. Singh’s base salary is $347,500 per year. However, to conserve cash for our operations, Mr. Singh has not received his full base salary in any fiscal year since he entered into his agreement in 2010. In our fiscal year ended March 31, 2015, Mr. Singh received only $82,813 in cash. In our fiscal year ended March 31, 2014, Mr. Singh voluntarily reduced his base salary to $250,000, but only received $125,000 in cash. Although, under his agreement, Mr. Singh is eligible to receive an annual incentive cash bonus of up to 50% of his base salary, he has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94" w:lineRule="exact"/>
        <w:rPr>
          <w:sz w:val="20"/>
          <w:szCs w:val="20"/>
          <w:color w:val="auto"/>
        </w:rPr>
      </w:pPr>
    </w:p>
    <w:p>
      <w:pPr>
        <w:ind w:left="1420" w:hanging="704"/>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14" w:lineRule="exact"/>
        <w:rPr>
          <w:rFonts w:ascii="Arial" w:cs="Arial" w:eastAsia="Arial" w:hAnsi="Arial"/>
          <w:sz w:val="18"/>
          <w:szCs w:val="18"/>
          <w:color w:val="auto"/>
        </w:rPr>
      </w:pPr>
    </w:p>
    <w:p>
      <w:pPr>
        <w:ind w:left="1420" w:right="20" w:hanging="704"/>
        <w:spacing w:after="0" w:line="262"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pro-rated portion of the incentive cash bonus that the Board of Directors determines in good faith that Mr. Singh earned prior to his termination; and</w:t>
      </w:r>
    </w:p>
    <w:p>
      <w:pPr>
        <w:spacing w:after="0" w:line="180" w:lineRule="exact"/>
        <w:rPr>
          <w:rFonts w:ascii="Arial" w:cs="Arial" w:eastAsia="Arial" w:hAnsi="Arial"/>
          <w:sz w:val="18"/>
          <w:szCs w:val="18"/>
          <w:color w:val="auto"/>
        </w:rPr>
      </w:pPr>
    </w:p>
    <w:p>
      <w:pPr>
        <w:ind w:left="1420" w:right="20" w:hanging="704"/>
        <w:spacing w:after="0" w:line="262"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amounts required to reimburse him for Consolidated Omnibus Budget Reconciliation Act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he is entitled to twelve months of his then-current base salary payable in the form of salary continuation.</w:t>
      </w:r>
    </w:p>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December 2006, we accepted a full-recourse promissory note in the amount of $103,411 from Mr. Singh in payment of the exercise price for options and warrants to purchase an aggregate of 6,320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2015 and 2014, we had accrued $101,936 as an estimate of the gross-up amount. However, as a result of Mr. Singh’s forbearance, we have not yet paid such amount to Mr. Singh to conserve capital for our operations. See Note 14 to our audited consolidated financial statements which are included in Item 8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entered into an employment agreement with Dr. Snodgrass on April 28, 2010. Under the agreement, as amended on May 9, 2011, Dr. Snodgrass’s base salary is $305,000 per year. However, to conserve cash for our operations, Dr. Snodgrass has not received his full base salary in any year since he entered into his agreement in 2010. In our fiscal year ended March 31, 2015, Dr. Snodgrass received only $157,292 in cash. In our fiscal year ended March 31, 2014, Dr. Snodgrass voluntarily reduced his annual salary to $250,000, but received only $149,606 in cash. Dr. Snodgrass is eligible to receive an annual incentive cash bonus of up to 50% of his base salary, but he has foregone any such cash bonus payment to conserve cash for our operations. Payment of his annual incentive bonus is at the discretion of the Board of Directors. In the event we terminate Dr. Snodgrass’s employment without cause, he is entitled to receive severance in an amount equal to</w:t>
      </w:r>
    </w:p>
    <w:p>
      <w:pPr>
        <w:spacing w:after="0" w:line="221" w:lineRule="exact"/>
        <w:rPr>
          <w:sz w:val="20"/>
          <w:szCs w:val="20"/>
          <w:color w:val="auto"/>
        </w:rPr>
      </w:pPr>
    </w:p>
    <w:p>
      <w:pPr>
        <w:ind w:left="1420" w:hanging="704"/>
        <w:spacing w:after="0"/>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14" w:lineRule="exact"/>
        <w:rPr>
          <w:rFonts w:ascii="Arial" w:cs="Arial" w:eastAsia="Arial" w:hAnsi="Arial"/>
          <w:sz w:val="18"/>
          <w:szCs w:val="18"/>
          <w:color w:val="auto"/>
        </w:rPr>
      </w:pPr>
    </w:p>
    <w:p>
      <w:pPr>
        <w:ind w:left="1420" w:right="20" w:hanging="704"/>
        <w:spacing w:after="0" w:line="262"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pro-rated portion of the incentive bonus that the Board of Directors determines in good faith that Dr. Snodgrass earned prior to his termination; and</w:t>
      </w:r>
    </w:p>
    <w:p>
      <w:pPr>
        <w:spacing w:after="0" w:line="180" w:lineRule="exact"/>
        <w:rPr>
          <w:rFonts w:ascii="Arial" w:cs="Arial" w:eastAsia="Arial" w:hAnsi="Arial"/>
          <w:sz w:val="18"/>
          <w:szCs w:val="18"/>
          <w:color w:val="auto"/>
        </w:rPr>
      </w:pPr>
    </w:p>
    <w:p>
      <w:pPr>
        <w:ind w:left="1420" w:hanging="704"/>
        <w:spacing w:after="0"/>
        <w:tabs>
          <w:tab w:leader="none" w:pos="14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9" w:name="page160"/>
    <w:bookmarkEnd w:id="15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in the event Dr. Snodgrass terminates his employment with good reason, he is entitled to twelve months of his then-current base salary payable in the form of salary continuation.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14"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effected by us without the executive’s consent (subject to our right to cure):</w:t>
      </w:r>
    </w:p>
    <w:p>
      <w:pPr>
        <w:spacing w:after="0" w:line="138" w:lineRule="exact"/>
        <w:rPr>
          <w:sz w:val="20"/>
          <w:szCs w:val="20"/>
          <w:color w:val="auto"/>
        </w:rPr>
      </w:pPr>
    </w:p>
    <w:p>
      <w:pPr>
        <w:ind w:left="1460" w:hanging="730"/>
        <w:spacing w:after="0"/>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40" w:lineRule="exact"/>
        <w:rPr>
          <w:rFonts w:ascii="Arial" w:cs="Arial" w:eastAsia="Arial" w:hAnsi="Arial"/>
          <w:sz w:val="18"/>
          <w:szCs w:val="18"/>
          <w:color w:val="auto"/>
        </w:rPr>
      </w:pPr>
    </w:p>
    <w:p>
      <w:pPr>
        <w:ind w:left="1460" w:right="20" w:hanging="730"/>
        <w:spacing w:after="0" w:line="262" w:lineRule="auto"/>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2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4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do not have a formal compensation plan for our non-employee directors. 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cash retainer.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We did not pay our independent directors any cash compensation during our fiscal year ended March 31, 2015.</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our director compensation policy, each independent director will also receive an annual grant of an option or warrant to purchase a minimum of 1,250 shares of our common stock, which will vest monthly over a one-year period from the date of grant. In January 2015, we granted fully-vested warrants to purchase 20,000 shares of our restricted stock at an exercise price of $10.00 per share to each of our independent directors. We expect to make future grants on the same date as our annual meeting. Prorated grants will be made for partial years of service.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0" w:name="page161"/>
    <w:bookmarkEnd w:id="16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compensation earned by our non-employee directors in our fiscal year ended March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12"/>
              <w:spacing w:after="0"/>
              <w:rPr>
                <w:sz w:val="20"/>
                <w:szCs w:val="20"/>
                <w:color w:val="auto"/>
              </w:rPr>
            </w:pPr>
            <w:r>
              <w:rPr>
                <w:rFonts w:ascii="Arial" w:cs="Arial" w:eastAsia="Arial" w:hAnsi="Arial"/>
                <w:sz w:val="18"/>
                <w:szCs w:val="18"/>
                <w:b w:val="1"/>
                <w:bCs w:val="1"/>
                <w:color w:val="auto"/>
                <w:w w:val="94"/>
              </w:rPr>
              <w:t>Option and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Fees Earned 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12"/>
              <w:spacing w:after="0"/>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8"/>
                <w:szCs w:val="18"/>
                <w:color w:val="auto"/>
              </w:rPr>
            </w:pPr>
          </w:p>
        </w:tc>
        <w:tc>
          <w:tcPr>
            <w:tcW w:w="1240" w:type="dxa"/>
            <w:vAlign w:val="bottom"/>
          </w:tcPr>
          <w:p>
            <w:pPr>
              <w:jc w:val="right"/>
              <w:ind w:right="352"/>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Paid in Cash (1)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Awards(2)</w:t>
            </w:r>
          </w:p>
        </w:tc>
        <w:tc>
          <w:tcPr>
            <w:tcW w:w="1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w w:val="89"/>
              </w:rPr>
              <w:t>Compensation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Total</w:t>
            </w:r>
          </w:p>
        </w:tc>
      </w:tr>
      <w:tr>
        <w:trPr>
          <w:trHeight w:val="235"/>
        </w:trPr>
        <w:tc>
          <w:tcPr>
            <w:tcW w:w="58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49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r>
      <w:tr>
        <w:trPr>
          <w:trHeight w:val="211"/>
        </w:trPr>
        <w:tc>
          <w:tcPr>
            <w:tcW w:w="5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11"/>
        </w:trPr>
        <w:tc>
          <w:tcPr>
            <w:tcW w:w="5880" w:type="dxa"/>
            <w:vAlign w:val="bottom"/>
            <w:shd w:val="clear" w:color="auto" w:fill="CCEEFF"/>
          </w:tcPr>
          <w:p>
            <w:pPr>
              <w:spacing w:after="0" w:line="211"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(3)</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91,734(5)</w:t>
            </w:r>
          </w:p>
        </w:tc>
        <w:tc>
          <w:tcPr>
            <w:tcW w:w="1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146,734</w:t>
            </w:r>
          </w:p>
        </w:tc>
      </w:tr>
      <w:tr>
        <w:trPr>
          <w:trHeight w:val="320"/>
        </w:trPr>
        <w:tc>
          <w:tcPr>
            <w:tcW w:w="5880" w:type="dxa"/>
            <w:vAlign w:val="bottom"/>
          </w:tcPr>
          <w:p>
            <w:pPr>
              <w:spacing w:after="0"/>
              <w:rPr>
                <w:sz w:val="20"/>
                <w:szCs w:val="20"/>
                <w:color w:val="auto"/>
              </w:rPr>
            </w:pPr>
            <w:r>
              <w:rPr>
                <w:rFonts w:ascii="Arial" w:cs="Arial" w:eastAsia="Arial" w:hAnsi="Arial"/>
                <w:sz w:val="18"/>
                <w:szCs w:val="18"/>
                <w:color w:val="auto"/>
              </w:rPr>
              <w:t>Brian J. Underdown, Ph.D</w:t>
            </w:r>
            <w:r>
              <w:rPr>
                <w:rFonts w:ascii="Arial" w:cs="Arial" w:eastAsia="Arial" w:hAnsi="Arial"/>
                <w:sz w:val="24"/>
                <w:szCs w:val="24"/>
                <w:color w:val="auto"/>
                <w:vertAlign w:val="superscript"/>
              </w:rPr>
              <w:t>. (4)</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57,500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91,734(5)</w:t>
            </w:r>
          </w:p>
        </w:tc>
        <w:tc>
          <w:tcPr>
            <w:tcW w:w="1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149,234</w:t>
            </w:r>
          </w:p>
        </w:tc>
      </w:tr>
    </w:tbl>
    <w:p>
      <w:pPr>
        <w:spacing w:after="0" w:line="116" w:lineRule="exact"/>
        <w:rPr>
          <w:sz w:val="20"/>
          <w:szCs w:val="20"/>
          <w:color w:val="auto"/>
        </w:rPr>
      </w:pPr>
    </w:p>
    <w:p>
      <w:pPr>
        <w:jc w:val="both"/>
        <w:ind w:left="560" w:right="20" w:hanging="352"/>
        <w:spacing w:after="0" w:line="253" w:lineRule="auto"/>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amounts shown represent fees earned for service on our Board of Directors, and Audit Committee, Compensation Committee and Corporate Governance and Nominating Committee during the fiscal year ended March 31, 2015 which we have accrued but have not paid to the director during that period or through the date of this report.</w:t>
      </w:r>
    </w:p>
    <w:p>
      <w:pPr>
        <w:spacing w:after="0" w:line="188" w:lineRule="exact"/>
        <w:rPr>
          <w:rFonts w:ascii="Arial" w:cs="Arial" w:eastAsia="Arial" w:hAnsi="Arial"/>
          <w:sz w:val="18"/>
          <w:szCs w:val="18"/>
          <w:color w:val="auto"/>
        </w:rPr>
      </w:pPr>
    </w:p>
    <w:p>
      <w:pPr>
        <w:jc w:val="both"/>
        <w:ind w:left="560" w:right="20" w:hanging="352"/>
        <w:spacing w:after="0" w:line="283" w:lineRule="auto"/>
        <w:tabs>
          <w:tab w:leader="none" w:pos="5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of warrants to purchase restricted shares of our common stock awarded to Mr. Saxe and Dr. Underdown occurring during the fiscal year ended March 31, 2015,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 actually received by Mr. Saxe or Dr. Underdown with respect to any of such warrants to purchase restricted shares of our common stock awarded to them during the fiscal year ended March 31, 2015. To date, Mr. Saxe and Dr. Underdown have not exercised such warrants to purchase common stock, and there can be no assurance that either of them will ever realize any of the ASC 718 grant date fair value amounts presented in the Option and Warrant Awards column.</w:t>
      </w:r>
    </w:p>
    <w:p>
      <w:pPr>
        <w:spacing w:after="0" w:line="166" w:lineRule="exact"/>
        <w:rPr>
          <w:rFonts w:ascii="Arial" w:cs="Arial" w:eastAsia="Arial" w:hAnsi="Arial"/>
          <w:sz w:val="16"/>
          <w:szCs w:val="16"/>
          <w:color w:val="auto"/>
        </w:rPr>
      </w:pPr>
    </w:p>
    <w:p>
      <w:pPr>
        <w:jc w:val="both"/>
        <w:ind w:left="560" w:right="20" w:hanging="352"/>
        <w:spacing w:after="0" w:line="248" w:lineRule="auto"/>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Saxe has served as the Chairman of our Board of Directors, the Chairman of our Audit Committee and a member of our Compensation Committee and Corporate Governance and Nominating Committee throughout our fiscal year ended March 31, 2015. At March 31, 2015, Mr. Saxe holds: (i) 1,875 restricted shares of our common stock; (ii) options to purchase 12,500 restricted shares of our common stock, of which options to purchase 12,448 restricted shares are vested; and (iii) warrants to purchase 33,250 restricted shares of our common stock, of which 29,750 are exercisable and of which an additional 2,687 shares became exercisable on April 1, 2015.</w:t>
      </w:r>
    </w:p>
    <w:p>
      <w:pPr>
        <w:spacing w:after="0" w:line="194" w:lineRule="exact"/>
        <w:rPr>
          <w:rFonts w:ascii="Arial" w:cs="Arial" w:eastAsia="Arial" w:hAnsi="Arial"/>
          <w:sz w:val="18"/>
          <w:szCs w:val="18"/>
          <w:color w:val="auto"/>
        </w:rPr>
      </w:pPr>
    </w:p>
    <w:p>
      <w:pPr>
        <w:jc w:val="both"/>
        <w:ind w:left="560" w:right="20" w:hanging="352"/>
        <w:spacing w:after="0" w:line="248" w:lineRule="auto"/>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Dr. Underdown has served as a member of our Board of Directors, as the Chairman of our Compensation Committee and Corporate Governance and Nominating Committee and as a member of our Audit Committee throughout our fiscal year ended March 31, 2015. At March 31, 2015, Dr. Underdown holds: (i) options to purchase 9,250 restricted shares of our common stock, of which options to purchase 9,198 restricted shares are vested; and (ii) warrants to purchase 32,500 restricted shares of our common stock, of which 29,375 are exercisable and of which an additional 2,500 shares became exercisable on April 1, 2015.</w:t>
      </w:r>
    </w:p>
    <w:p>
      <w:pPr>
        <w:spacing w:after="0" w:line="194" w:lineRule="exact"/>
        <w:rPr>
          <w:rFonts w:ascii="Arial" w:cs="Arial" w:eastAsia="Arial" w:hAnsi="Arial"/>
          <w:sz w:val="18"/>
          <w:szCs w:val="18"/>
          <w:color w:val="auto"/>
        </w:rPr>
      </w:pPr>
    </w:p>
    <w:p>
      <w:pPr>
        <w:ind w:left="560" w:right="20" w:hanging="352"/>
        <w:spacing w:after="0" w:line="324" w:lineRule="auto"/>
        <w:tabs>
          <w:tab w:leader="none" w:pos="5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warrant awards we granted to Mr. Saxe and Dr. Underdown during fiscal 2015 and the assumptions used in the Black Scholes Option Pricing Model to determine the grant date fair values of the awards as reported in the table above.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8.00</w:t>
            </w:r>
          </w:p>
        </w:tc>
      </w:tr>
      <w:tr>
        <w:trPr>
          <w:trHeight w:val="211"/>
        </w:trPr>
        <w:tc>
          <w:tcPr>
            <w:tcW w:w="54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0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10.00</w:t>
            </w:r>
          </w:p>
        </w:tc>
      </w:t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11"/>
        </w:trPr>
        <w:tc>
          <w:tcPr>
            <w:tcW w:w="5400" w:type="dxa"/>
            <w:vAlign w:val="bottom"/>
          </w:tcPr>
          <w:p>
            <w:pPr>
              <w:spacing w:after="0"/>
              <w:rPr>
                <w:sz w:val="20"/>
                <w:szCs w:val="20"/>
                <w:color w:val="auto"/>
              </w:rPr>
            </w:pPr>
            <w:r>
              <w:rPr>
                <w:rFonts w:ascii="Arial" w:cs="Arial" w:eastAsia="Arial" w:hAnsi="Arial"/>
                <w:sz w:val="18"/>
                <w:szCs w:val="18"/>
                <w:color w:val="auto"/>
              </w:rPr>
              <w:t>Volatility</w:t>
            </w:r>
          </w:p>
        </w:tc>
        <w:tc>
          <w:tcPr>
            <w:tcW w:w="40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75.86%</w:t>
            </w:r>
          </w:p>
        </w:tc>
      </w:t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4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5.00</w:t>
            </w:r>
          </w:p>
        </w:tc>
      </w:tr>
      <w:tr>
        <w:trPr>
          <w:trHeight w:val="211"/>
        </w:trPr>
        <w:tc>
          <w:tcPr>
            <w:tcW w:w="5400" w:type="dxa"/>
            <w:vAlign w:val="bottom"/>
          </w:tcPr>
          <w:p>
            <w:pPr>
              <w:spacing w:after="0"/>
              <w:rPr>
                <w:sz w:val="20"/>
                <w:szCs w:val="20"/>
                <w:color w:val="auto"/>
              </w:rPr>
            </w:pPr>
            <w:r>
              <w:rPr>
                <w:rFonts w:ascii="Arial" w:cs="Arial" w:eastAsia="Arial" w:hAnsi="Arial"/>
                <w:sz w:val="18"/>
                <w:szCs w:val="18"/>
                <w:color w:val="auto"/>
              </w:rPr>
              <w:t>Dividend rate</w:t>
            </w:r>
          </w:p>
        </w:tc>
        <w:tc>
          <w:tcPr>
            <w:tcW w:w="40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1"/>
        </w:trPr>
        <w:tc>
          <w:tcPr>
            <w:tcW w:w="54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1"/>
        </w:trPr>
        <w:tc>
          <w:tcPr>
            <w:tcW w:w="5400" w:type="dxa"/>
            <w:vAlign w:val="bottom"/>
          </w:tcPr>
          <w:p>
            <w:pPr>
              <w:spacing w:after="0"/>
              <w:rPr>
                <w:sz w:val="20"/>
                <w:szCs w:val="20"/>
                <w:color w:val="auto"/>
              </w:rPr>
            </w:pPr>
            <w:r>
              <w:rPr>
                <w:rFonts w:ascii="Arial" w:cs="Arial" w:eastAsia="Arial" w:hAnsi="Arial"/>
                <w:sz w:val="18"/>
                <w:szCs w:val="18"/>
                <w:color w:val="auto"/>
              </w:rPr>
              <w:t>Fair value per share</w:t>
            </w:r>
          </w:p>
        </w:tc>
        <w:tc>
          <w:tcPr>
            <w:tcW w:w="40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4.59</w:t>
            </w:r>
          </w:p>
        </w:tc>
      </w:tr>
      <w:tr>
        <w:trPr>
          <w:trHeight w:val="211"/>
        </w:trPr>
        <w:tc>
          <w:tcPr>
            <w:tcW w:w="54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Aggregate shares</w:t>
            </w:r>
          </w:p>
        </w:tc>
        <w:tc>
          <w:tcPr>
            <w:tcW w:w="402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40,000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securities are not currently listed on a national securities exchange or on any inter-dealer quotation system that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Stock Market.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1" w:name="page162"/>
    <w:bookmarkEnd w:id="16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and Dr. Underdown are “independent” as that term is defined under the applicable rules and regulations of the SEC. Our Board of Directors has also determined that Mr. Saxe and Dr. Underdown, who comprise our audit committee, compensation committee, corporate governance and nominating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26, 2015 for:</w:t>
      </w:r>
    </w:p>
    <w:p>
      <w:pPr>
        <w:spacing w:after="0" w:line="241" w:lineRule="exact"/>
        <w:rPr>
          <w:sz w:val="20"/>
          <w:szCs w:val="20"/>
          <w:color w:val="auto"/>
        </w:rPr>
      </w:pPr>
    </w:p>
    <w:p>
      <w:pPr>
        <w:ind w:left="640" w:hanging="372"/>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15" w:lineRule="exact"/>
        <w:rPr>
          <w:rFonts w:ascii="Arial" w:cs="Arial" w:eastAsia="Arial" w:hAnsi="Arial"/>
          <w:sz w:val="18"/>
          <w:szCs w:val="18"/>
          <w:color w:val="auto"/>
        </w:rPr>
      </w:pPr>
    </w:p>
    <w:p>
      <w:pPr>
        <w:ind w:left="640" w:hanging="372"/>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3" w:lineRule="exact"/>
        <w:rPr>
          <w:rFonts w:ascii="Arial" w:cs="Arial" w:eastAsia="Arial" w:hAnsi="Arial"/>
          <w:sz w:val="18"/>
          <w:szCs w:val="18"/>
          <w:color w:val="auto"/>
        </w:rPr>
      </w:pPr>
    </w:p>
    <w:p>
      <w:pPr>
        <w:ind w:left="640" w:hanging="372"/>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3" w:lineRule="exact"/>
        <w:rPr>
          <w:rFonts w:ascii="Arial" w:cs="Arial" w:eastAsia="Arial" w:hAnsi="Arial"/>
          <w:sz w:val="18"/>
          <w:szCs w:val="18"/>
          <w:color w:val="auto"/>
        </w:rPr>
      </w:pPr>
    </w:p>
    <w:p>
      <w:pPr>
        <w:ind w:left="640" w:hanging="372"/>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Applicable percentage ownership is based on 1,594,461 shares of capital stock outstanding at June 26, 2015. In computing the number of shares of common stock beneficially owned by a person, we deemed to be outstanding all shares of common stock subject to options or warrants held by that person or entity that are currently exercisable or that will become exercisable within 60 days of June 26, 2015 and all shares of common stock issuable pursuant to promissory notes and related accrued interest convertible into shares of common stock at June 26, 2015. In computing the percentage of shares beneficially owned, we deemed to be outstanding all shares of common stock subject to options or warrants held by that person or entity that are currently exercisable or that will become exercisable within 60 days of June 26, 2015 and all shares of common stock issuable pursuant to promissory notes and related accrued interest convertible into shares of common stock at June 26, 2015. Unless otherwise noted below, the address of each beneficial owner listed in the table is c/o VistaGen Therapeutics, Inc., 343 Allerton Avenue, South San Francisco, California 94080.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Number of</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Percent of</w:t>
            </w:r>
          </w:p>
        </w:tc>
      </w:tr>
      <w:tr>
        <w:trPr>
          <w:trHeight w:val="211"/>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79"/>
              </w:rPr>
              <w:t>shares</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shares</w:t>
            </w:r>
          </w:p>
        </w:tc>
      </w:tr>
      <w:tr>
        <w:trPr>
          <w:trHeight w:val="211"/>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beneficially</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beneficially</w:t>
            </w:r>
          </w:p>
        </w:tc>
      </w:tr>
      <w:tr>
        <w:trPr>
          <w:trHeight w:val="235"/>
        </w:trPr>
        <w:tc>
          <w:tcPr>
            <w:tcW w:w="8900" w:type="dxa"/>
            <w:vAlign w:val="bottom"/>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00" w:type="dxa"/>
            <w:vAlign w:val="bottom"/>
          </w:tcPr>
          <w:p>
            <w:pPr>
              <w:spacing w:after="0"/>
              <w:rPr>
                <w:sz w:val="20"/>
                <w:szCs w:val="20"/>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owned</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 xml:space="preserve">owned </w:t>
            </w:r>
            <w:r>
              <w:rPr>
                <w:rFonts w:ascii="Arial" w:cs="Arial" w:eastAsia="Arial" w:hAnsi="Arial"/>
                <w:sz w:val="12"/>
                <w:szCs w:val="12"/>
                <w:b w:val="1"/>
                <w:bCs w:val="1"/>
                <w:color w:val="auto"/>
                <w:w w:val="88"/>
              </w:rPr>
              <w:t>(1)</w:t>
            </w:r>
          </w:p>
        </w:tc>
      </w:tr>
      <w:tr>
        <w:trPr>
          <w:trHeight w:val="211"/>
        </w:trPr>
        <w:tc>
          <w:tcPr>
            <w:tcW w:w="8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8900" w:type="dxa"/>
            <w:vAlign w:val="bottom"/>
          </w:tcPr>
          <w:p>
            <w:pPr>
              <w:spacing w:after="0"/>
              <w:rPr>
                <w:sz w:val="20"/>
                <w:szCs w:val="20"/>
                <w:color w:val="auto"/>
              </w:rPr>
            </w:pPr>
            <w:r>
              <w:rPr>
                <w:rFonts w:ascii="Arial" w:cs="Arial" w:eastAsia="Arial" w:hAnsi="Arial"/>
                <w:sz w:val="18"/>
                <w:szCs w:val="18"/>
                <w:color w:val="auto"/>
              </w:rPr>
              <w:t>Shawn K. Singh, JD (2)</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341,287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17.82%</w:t>
            </w:r>
          </w:p>
        </w:tc>
      </w:tr>
      <w:tr>
        <w:trPr>
          <w:trHeight w:val="211"/>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 PhD (3)</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239,293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11"/>
        </w:trPr>
        <w:tc>
          <w:tcPr>
            <w:tcW w:w="8900" w:type="dxa"/>
            <w:vAlign w:val="bottom"/>
          </w:tcPr>
          <w:p>
            <w:pPr>
              <w:spacing w:after="0"/>
              <w:rPr>
                <w:sz w:val="20"/>
                <w:szCs w:val="20"/>
                <w:color w:val="auto"/>
              </w:rPr>
            </w:pPr>
            <w:r>
              <w:rPr>
                <w:rFonts w:ascii="Arial" w:cs="Arial" w:eastAsia="Arial" w:hAnsi="Arial"/>
                <w:sz w:val="18"/>
                <w:szCs w:val="18"/>
                <w:color w:val="auto"/>
              </w:rPr>
              <w:t>Jerrold D. Dotson (4)</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70,302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4.22%</w:t>
            </w:r>
          </w:p>
        </w:tc>
      </w:tr>
      <w:tr>
        <w:trPr>
          <w:trHeight w:val="211"/>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Jon S. Saxe (5)</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46,563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11"/>
        </w:trPr>
        <w:tc>
          <w:tcPr>
            <w:tcW w:w="8900" w:type="dxa"/>
            <w:vAlign w:val="bottom"/>
          </w:tcPr>
          <w:p>
            <w:pPr>
              <w:spacing w:after="0"/>
              <w:rPr>
                <w:sz w:val="20"/>
                <w:szCs w:val="20"/>
                <w:color w:val="auto"/>
              </w:rPr>
            </w:pPr>
            <w:r>
              <w:rPr>
                <w:rFonts w:ascii="Arial" w:cs="Arial" w:eastAsia="Arial" w:hAnsi="Arial"/>
                <w:sz w:val="18"/>
                <w:szCs w:val="18"/>
                <w:color w:val="auto"/>
              </w:rPr>
              <w:t>Brian J. Underdown, PhD (6)</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41,125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2.51%</w:t>
            </w:r>
          </w:p>
        </w:tc>
      </w:tr>
      <w:tr>
        <w:trPr>
          <w:trHeight w:val="211"/>
        </w:trPr>
        <w:tc>
          <w:tcPr>
            <w:tcW w:w="8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8900" w:type="dxa"/>
            <w:vAlign w:val="bottom"/>
          </w:tcPr>
          <w:p>
            <w:pPr>
              <w:spacing w:after="0"/>
              <w:rPr>
                <w:sz w:val="20"/>
                <w:szCs w:val="20"/>
                <w:color w:val="auto"/>
              </w:rPr>
            </w:pPr>
            <w:r>
              <w:rPr>
                <w:rFonts w:ascii="Arial" w:cs="Arial" w:eastAsia="Arial" w:hAnsi="Arial"/>
                <w:sz w:val="18"/>
                <w:szCs w:val="18"/>
                <w:i w:val="1"/>
                <w:iCs w:val="1"/>
                <w:color w:val="auto"/>
              </w:rPr>
              <w:t>5% Stockholders: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Cato BioVentures (7)</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238,734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211"/>
        </w:trPr>
        <w:tc>
          <w:tcPr>
            <w:tcW w:w="8900" w:type="dxa"/>
            <w:vAlign w:val="bottom"/>
          </w:tcPr>
          <w:p>
            <w:pPr>
              <w:spacing w:after="0"/>
              <w:rPr>
                <w:sz w:val="20"/>
                <w:szCs w:val="20"/>
                <w:color w:val="auto"/>
              </w:rPr>
            </w:pPr>
            <w:r>
              <w:rPr>
                <w:rFonts w:ascii="Arial" w:cs="Arial" w:eastAsia="Arial" w:hAnsi="Arial"/>
                <w:sz w:val="18"/>
                <w:szCs w:val="18"/>
                <w:color w:val="auto"/>
              </w:rPr>
              <w:t>Platinum Long Term Growth Fund VII/Montsant Partners, LLC (8)</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120,250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7.54%</w:t>
            </w:r>
          </w:p>
        </w:tc>
      </w:tr>
      <w:tr>
        <w:trPr>
          <w:trHeight w:val="211"/>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University Health Network (9)</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150,678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11"/>
        </w:trPr>
        <w:tc>
          <w:tcPr>
            <w:tcW w:w="8900" w:type="dxa"/>
            <w:vAlign w:val="bottom"/>
          </w:tcPr>
          <w:p>
            <w:pPr>
              <w:spacing w:after="0"/>
              <w:rPr>
                <w:sz w:val="20"/>
                <w:szCs w:val="20"/>
                <w:color w:val="auto"/>
              </w:rPr>
            </w:pPr>
            <w:r>
              <w:rPr>
                <w:rFonts w:ascii="Arial" w:cs="Arial" w:eastAsia="Arial" w:hAnsi="Arial"/>
                <w:sz w:val="18"/>
                <w:szCs w:val="18"/>
                <w:color w:val="auto"/>
              </w:rPr>
              <w:t>Brio Capital Master Fund Ltd. (10)</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128,594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7.64%</w:t>
            </w:r>
          </w:p>
        </w:tc>
      </w:tr>
      <w:tr>
        <w:trPr>
          <w:trHeight w:val="211"/>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Lincoln Park Capital Fund LLC (11)</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153,053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11"/>
        </w:trPr>
        <w:tc>
          <w:tcPr>
            <w:tcW w:w="8900" w:type="dxa"/>
            <w:vAlign w:val="bottom"/>
          </w:tcPr>
          <w:p>
            <w:pPr>
              <w:spacing w:after="0"/>
              <w:rPr>
                <w:sz w:val="20"/>
                <w:szCs w:val="20"/>
                <w:color w:val="auto"/>
              </w:rPr>
            </w:pPr>
            <w:r>
              <w:rPr>
                <w:rFonts w:ascii="Arial" w:cs="Arial" w:eastAsia="Arial" w:hAnsi="Arial"/>
                <w:sz w:val="18"/>
                <w:szCs w:val="18"/>
                <w:color w:val="auto"/>
              </w:rPr>
              <w:t>Morrison &amp; Foerster LLP (12)</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120,448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7.06%</w:t>
            </w:r>
          </w:p>
        </w:tc>
      </w:tr>
      <w:tr>
        <w:trPr>
          <w:trHeight w:val="211"/>
        </w:trPr>
        <w:tc>
          <w:tcPr>
            <w:tcW w:w="8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All executive officers and directors as a group (5 persons) (13)</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738,570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32.82%</w:t>
            </w:r>
          </w:p>
        </w:tc>
      </w:tr>
    </w:tbl>
    <w:p>
      <w:pPr>
        <w:spacing w:after="0" w:line="213" w:lineRule="exact"/>
        <w:rPr>
          <w:sz w:val="20"/>
          <w:szCs w:val="20"/>
          <w:color w:val="auto"/>
        </w:rPr>
      </w:pPr>
    </w:p>
    <w:p>
      <w:pPr>
        <w:ind w:left="600" w:hanging="595"/>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Assumes 1,594,461 shares of common stock are issued and outstanding as of June 26, 2015.</w:t>
      </w:r>
    </w:p>
    <w:p>
      <w:pPr>
        <w:sectPr>
          <w:pgSz w:w="11900" w:h="16838" w:orient="portrait"/>
          <w:cols w:equalWidth="0" w:num="1">
            <w:col w:w="11420"/>
          </w:cols>
          <w:pgMar w:left="240" w:top="129" w:right="2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162" w:name="page163"/>
    <w:bookmarkEnd w:id="16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ind w:left="600" w:right="20" w:hanging="595"/>
        <w:spacing w:after="0" w:line="262"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options to purchase 85,375 restricted shares of common stock exercisable within 60 days of June 26, 2015 and warrants to purchase 235,303 restricted shares of common stock exercisable within 60 days of June 26, 2015.</w:t>
      </w:r>
    </w:p>
    <w:p>
      <w:pPr>
        <w:spacing w:after="0" w:line="180" w:lineRule="exact"/>
        <w:rPr>
          <w:rFonts w:ascii="Arial" w:cs="Arial" w:eastAsia="Arial" w:hAnsi="Arial"/>
          <w:sz w:val="18"/>
          <w:szCs w:val="18"/>
          <w:color w:val="auto"/>
        </w:rPr>
      </w:pPr>
    </w:p>
    <w:p>
      <w:pPr>
        <w:ind w:left="600" w:right="20" w:hanging="595"/>
        <w:spacing w:after="0" w:line="262"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options to purchase 21,569 restricted shares of common stock exercisable within 60 days of June 26, 2015 and warrants to purchase 157,500 restricted shares of common stock exercisable within 60 days of June 26, 2015.</w:t>
      </w:r>
    </w:p>
    <w:p>
      <w:pPr>
        <w:spacing w:after="0" w:line="180" w:lineRule="exact"/>
        <w:rPr>
          <w:rFonts w:ascii="Arial" w:cs="Arial" w:eastAsia="Arial" w:hAnsi="Arial"/>
          <w:sz w:val="18"/>
          <w:szCs w:val="18"/>
          <w:color w:val="auto"/>
        </w:rPr>
      </w:pPr>
    </w:p>
    <w:p>
      <w:pPr>
        <w:jc w:val="both"/>
        <w:ind w:left="600" w:right="20" w:hanging="595"/>
        <w:spacing w:after="0" w:line="253"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options to purchase 6,552 restricted shares of common stock exercisable within 60 days of June 26, 2015, including options to purchase 676 shares of common stock held by Mr. Dotson’s wife, and warrants to purchase 63,750 restricted shares of common stock exercisable within 60 days of June 26, 2015.</w:t>
      </w:r>
    </w:p>
    <w:p>
      <w:pPr>
        <w:spacing w:after="0" w:line="188" w:lineRule="exact"/>
        <w:rPr>
          <w:rFonts w:ascii="Arial" w:cs="Arial" w:eastAsia="Arial" w:hAnsi="Arial"/>
          <w:sz w:val="18"/>
          <w:szCs w:val="18"/>
          <w:color w:val="auto"/>
        </w:rPr>
      </w:pPr>
    </w:p>
    <w:p>
      <w:pPr>
        <w:ind w:left="600" w:right="20" w:hanging="595"/>
        <w:spacing w:after="0" w:line="262"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options to purchase 12,250 restricted shares of common stock exercisable within 60 days of June 26, 2015 and warrants to purchase 32,438 restricted shares of common stock exercisable within 60 days of June 26, 2015.</w:t>
      </w:r>
    </w:p>
    <w:p>
      <w:pPr>
        <w:spacing w:after="0" w:line="180" w:lineRule="exact"/>
        <w:rPr>
          <w:rFonts w:ascii="Arial" w:cs="Arial" w:eastAsia="Arial" w:hAnsi="Arial"/>
          <w:sz w:val="18"/>
          <w:szCs w:val="18"/>
          <w:color w:val="auto"/>
        </w:rPr>
      </w:pPr>
    </w:p>
    <w:p>
      <w:pPr>
        <w:ind w:left="600" w:right="20" w:hanging="595"/>
        <w:spacing w:after="0" w:line="262"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options to purchase 9,250 restricted shares of common stock exercisable within 60 days of June 26, 2015 and warrants to purchase 31,875 restricted shares of common stock exercisable within 60 days of June 26, 2015.</w:t>
      </w:r>
    </w:p>
    <w:p>
      <w:pPr>
        <w:spacing w:after="0" w:line="180" w:lineRule="exact"/>
        <w:rPr>
          <w:rFonts w:ascii="Arial" w:cs="Arial" w:eastAsia="Arial" w:hAnsi="Arial"/>
          <w:sz w:val="18"/>
          <w:szCs w:val="18"/>
          <w:color w:val="auto"/>
        </w:rPr>
      </w:pPr>
    </w:p>
    <w:p>
      <w:pPr>
        <w:jc w:val="both"/>
        <w:ind w:left="600" w:hanging="595"/>
        <w:spacing w:after="0" w:line="280" w:lineRule="auto"/>
        <w:tabs>
          <w:tab w:leader="none" w:pos="6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upon information contained in Form 4 filed on January 9, 2012, as updated to give effect to transactions through June 26, 2015 as recorded on our books. Includes currently exercisable warrants to purchase 73,191 shares of restricted common stock. The reported number of shares beneficially owned excludes 328,571 restricted shares of our Series B Preferred stock currently exchangeable for 328,571 restricted shares of our common stock. Pursuant to the terms of the Certificate of Designation of Rights and Preferences of the Series B Preferred, there is a limitation on conversion of the Series B Preferred such that the number of shares of common stock that Cato may beneficially acquire upon such conversion is limited to the extent necessary to ensure that, following such conversion, the total number of shares of common stock then beneficially owned by Cato does not exceed 9.99% of the total number of issued and outstanding shares of our common stock without providing us with 61 days’ prior notice thereof. Including the shares otherwise excluded due to the beneficial ownership restrictions noted above, Cato beneficially owns 567,305 shares or 28.42% of our common stock. Dr. Allen E. Cato, Ph.D., M.D. is deemed to have voting and investment authority over the shares held by Cato Holding Company. The primary business address of Cato BioVentures is 4364 South Alston Avenue, Durham, North Carolina 27713.</w:t>
      </w:r>
    </w:p>
    <w:p>
      <w:pPr>
        <w:spacing w:after="0" w:line="197" w:lineRule="exact"/>
        <w:rPr>
          <w:rFonts w:ascii="Arial" w:cs="Arial" w:eastAsia="Arial" w:hAnsi="Arial"/>
          <w:sz w:val="16"/>
          <w:szCs w:val="16"/>
          <w:color w:val="auto"/>
        </w:rPr>
      </w:pPr>
    </w:p>
    <w:p>
      <w:pPr>
        <w:jc w:val="both"/>
        <w:ind w:left="600" w:hanging="595"/>
        <w:spacing w:after="0" w:line="248"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upon information contained in Schedule 13G/A filed on February 18, 2015 by Platinum Long Term Growth Fund VII (</w:t>
      </w:r>
      <w:r>
        <w:rPr>
          <w:rFonts w:ascii="Arial" w:cs="Arial" w:eastAsia="Arial" w:hAnsi="Arial"/>
          <w:sz w:val="18"/>
          <w:szCs w:val="18"/>
          <w:i w:val="1"/>
          <w:iCs w:val="1"/>
          <w:color w:val="auto"/>
        </w:rPr>
        <w:t>Platinum</w:t>
      </w:r>
      <w:r>
        <w:rPr>
          <w:rFonts w:ascii="Arial" w:cs="Arial" w:eastAsia="Arial" w:hAnsi="Arial"/>
          <w:sz w:val="18"/>
          <w:szCs w:val="18"/>
          <w:color w:val="auto"/>
        </w:rPr>
        <w:t>) and adjusted to give effect to the transactions consummated between Platinum, Montsant Partners, LLC (</w:t>
      </w:r>
      <w:r>
        <w:rPr>
          <w:rFonts w:ascii="Arial" w:cs="Arial" w:eastAsia="Arial" w:hAnsi="Arial"/>
          <w:sz w:val="18"/>
          <w:szCs w:val="18"/>
          <w:i w:val="1"/>
          <w:iCs w:val="1"/>
          <w:color w:val="auto"/>
        </w:rPr>
        <w:t>Montsant</w:t>
      </w:r>
      <w:r>
        <w:rPr>
          <w:rFonts w:ascii="Arial" w:cs="Arial" w:eastAsia="Arial" w:hAnsi="Arial"/>
          <w:sz w:val="18"/>
          <w:szCs w:val="18"/>
          <w:color w:val="auto"/>
        </w:rPr>
        <w:t>), a Platinum affiliate, and us pursuant to the Agreement between the Company and Platinum effective May 12, 2015 (</w:t>
      </w:r>
      <w:r>
        <w:rPr>
          <w:rFonts w:ascii="Arial" w:cs="Arial" w:eastAsia="Arial" w:hAnsi="Arial"/>
          <w:sz w:val="18"/>
          <w:szCs w:val="18"/>
          <w:i w:val="1"/>
          <w:iCs w:val="1"/>
          <w:color w:val="auto"/>
        </w:rPr>
        <w:t>Agreement</w:t>
      </w:r>
      <w:r>
        <w:rPr>
          <w:rFonts w:ascii="Arial" w:cs="Arial" w:eastAsia="Arial" w:hAnsi="Arial"/>
          <w:sz w:val="18"/>
          <w:szCs w:val="18"/>
          <w:color w:val="auto"/>
        </w:rPr>
        <w:t>) including Montsant’s investment of $100,000 in our Series B Preferred Unit offering pursuant to the Agreement on June 19, 2015. The number of beneficially owned shares reported includes 134,536 restricted shares of common stock owned by Montsant.</w:t>
      </w:r>
    </w:p>
    <w:p>
      <w:pPr>
        <w:spacing w:after="0" w:line="194" w:lineRule="exact"/>
        <w:rPr>
          <w:rFonts w:ascii="Arial" w:cs="Arial" w:eastAsia="Arial" w:hAnsi="Arial"/>
          <w:sz w:val="18"/>
          <w:szCs w:val="18"/>
          <w:color w:val="auto"/>
        </w:rPr>
      </w:pPr>
    </w:p>
    <w:p>
      <w:pPr>
        <w:jc w:val="both"/>
        <w:ind w:left="600"/>
        <w:spacing w:after="0" w:line="247" w:lineRule="auto"/>
        <w:rPr>
          <w:rFonts w:ascii="Arial" w:cs="Arial" w:eastAsia="Arial" w:hAnsi="Arial"/>
          <w:sz w:val="18"/>
          <w:szCs w:val="18"/>
          <w:color w:val="auto"/>
        </w:rPr>
      </w:pPr>
      <w:r>
        <w:rPr>
          <w:rFonts w:ascii="Arial" w:cs="Arial" w:eastAsia="Arial" w:hAnsi="Arial"/>
          <w:sz w:val="18"/>
          <w:szCs w:val="18"/>
          <w:color w:val="auto"/>
        </w:rPr>
        <w:t>The reported number of shares beneficially owned excludes 637,500 restricted shares of common stock and a warrant to purchase 455,357 restricted shares of common stock that may currently be acquired by Montsant upon exchange of 425,000 restricted shares of our Series A Preferred Stock (</w:t>
      </w:r>
      <w:r>
        <w:rPr>
          <w:rFonts w:ascii="Arial" w:cs="Arial" w:eastAsia="Arial" w:hAnsi="Arial"/>
          <w:sz w:val="18"/>
          <w:szCs w:val="18"/>
          <w:i w:val="1"/>
          <w:iCs w:val="1"/>
          <w:color w:val="auto"/>
        </w:rPr>
        <w:t>Series</w:t>
      </w:r>
      <w:r>
        <w:rPr>
          <w:rFonts w:ascii="Arial" w:cs="Arial" w:eastAsia="Arial" w:hAnsi="Arial"/>
          <w:sz w:val="18"/>
          <w:szCs w:val="18"/>
          <w:color w:val="auto"/>
        </w:rPr>
        <w:t xml:space="preserve"> </w:t>
      </w:r>
      <w:r>
        <w:rPr>
          <w:rFonts w:ascii="Arial" w:cs="Arial" w:eastAsia="Arial" w:hAnsi="Arial"/>
          <w:sz w:val="18"/>
          <w:szCs w:val="18"/>
          <w:i w:val="1"/>
          <w:iCs w:val="1"/>
          <w:color w:val="auto"/>
        </w:rPr>
        <w:t>A Preferred</w:t>
      </w:r>
      <w:r>
        <w:rPr>
          <w:rFonts w:ascii="Arial" w:cs="Arial" w:eastAsia="Arial" w:hAnsi="Arial"/>
          <w:sz w:val="18"/>
          <w:szCs w:val="18"/>
          <w:color w:val="auto"/>
        </w:rPr>
        <w:t>). Pursuant to the October 11, 2012 Note Exchange and Purchase Agreement by and between us and Platinum, there is a limitation on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issued and outstanding shares of common stock without providing us with 61 days’ prior notice thereof.</w:t>
      </w:r>
    </w:p>
    <w:p>
      <w:pPr>
        <w:spacing w:after="0" w:line="194" w:lineRule="exact"/>
        <w:rPr>
          <w:rFonts w:ascii="Arial" w:cs="Arial" w:eastAsia="Arial" w:hAnsi="Arial"/>
          <w:sz w:val="18"/>
          <w:szCs w:val="18"/>
          <w:color w:val="auto"/>
        </w:rPr>
      </w:pPr>
    </w:p>
    <w:p>
      <w:pPr>
        <w:jc w:val="both"/>
        <w:ind w:left="600"/>
        <w:spacing w:after="0" w:line="282" w:lineRule="auto"/>
        <w:rPr>
          <w:rFonts w:ascii="Arial" w:cs="Arial" w:eastAsia="Arial" w:hAnsi="Arial"/>
          <w:sz w:val="18"/>
          <w:szCs w:val="18"/>
          <w:color w:val="auto"/>
        </w:rPr>
      </w:pPr>
      <w:r>
        <w:rPr>
          <w:rFonts w:ascii="Arial" w:cs="Arial" w:eastAsia="Arial" w:hAnsi="Arial"/>
          <w:sz w:val="16"/>
          <w:szCs w:val="16"/>
          <w:color w:val="auto"/>
        </w:rPr>
        <w:t>Further, the reported number of shares beneficially owned also excludes 1,454,878 shares of our Series B 10% Convertible Preferred Stock (</w:t>
      </w:r>
      <w:r>
        <w:rPr>
          <w:rFonts w:ascii="Arial" w:cs="Arial" w:eastAsia="Arial" w:hAnsi="Arial"/>
          <w:sz w:val="16"/>
          <w:szCs w:val="16"/>
          <w:i w:val="1"/>
          <w:iCs w:val="1"/>
          <w:color w:val="auto"/>
        </w:rPr>
        <w:t>Series B</w:t>
      </w:r>
      <w:r>
        <w:rPr>
          <w:rFonts w:ascii="Arial" w:cs="Arial" w:eastAsia="Arial" w:hAnsi="Arial"/>
          <w:sz w:val="16"/>
          <w:szCs w:val="16"/>
          <w:color w:val="auto"/>
        </w:rPr>
        <w:t xml:space="preserve"> </w:t>
      </w:r>
      <w:r>
        <w:rPr>
          <w:rFonts w:ascii="Arial" w:cs="Arial" w:eastAsia="Arial" w:hAnsi="Arial"/>
          <w:sz w:val="16"/>
          <w:szCs w:val="16"/>
          <w:i w:val="1"/>
          <w:iCs w:val="1"/>
          <w:color w:val="auto"/>
        </w:rPr>
        <w:t>Preferred</w:t>
      </w:r>
      <w:r>
        <w:rPr>
          <w:rFonts w:ascii="Arial" w:cs="Arial" w:eastAsia="Arial" w:hAnsi="Arial"/>
          <w:sz w:val="16"/>
          <w:szCs w:val="16"/>
          <w:color w:val="auto"/>
        </w:rPr>
        <w:t>), immediately convertible into a like number of shares of our restricted common stock, and currently exercisable warrants to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2,459,723 shares of our restricted common stock owned by Montsant. Pursuant to the terms of the Certificate of Designation of Rights and Preferences of the Series B Preferred and of the respective common stock purchase warrant agreements, there is a limitation on conversion of the Series B Preferred and exercise of the warrants such that the number of shares of common stock that Platinum or Montsant may beneficially acquire upon such conversion or exercise is limited to the extent necessary to ensure that, following such conversion or exercise, the total number of shares of common stock then beneficially owned by Platinum or Montsant does not exceed 9.99% of the total number of issued and outstanding shares of our common stock without providing us with 61 days’ prior notice thereof.</w:t>
      </w:r>
    </w:p>
    <w:p>
      <w:pPr>
        <w:spacing w:after="0" w:line="166" w:lineRule="exact"/>
        <w:rPr>
          <w:rFonts w:ascii="Arial" w:cs="Arial" w:eastAsia="Arial" w:hAnsi="Arial"/>
          <w:sz w:val="18"/>
          <w:szCs w:val="18"/>
          <w:color w:val="auto"/>
        </w:rPr>
      </w:pPr>
    </w:p>
    <w:p>
      <w:pPr>
        <w:jc w:val="both"/>
        <w:ind w:left="600"/>
        <w:spacing w:after="0" w:line="250" w:lineRule="auto"/>
        <w:rPr>
          <w:rFonts w:ascii="Arial" w:cs="Arial" w:eastAsia="Arial" w:hAnsi="Arial"/>
          <w:sz w:val="18"/>
          <w:szCs w:val="18"/>
          <w:color w:val="auto"/>
        </w:rPr>
      </w:pPr>
      <w:r>
        <w:rPr>
          <w:rFonts w:ascii="Arial" w:cs="Arial" w:eastAsia="Arial" w:hAnsi="Arial"/>
          <w:sz w:val="18"/>
          <w:szCs w:val="18"/>
          <w:color w:val="auto"/>
        </w:rPr>
        <w:t>Including the shares otherwise excluded due to the beneficial ownership restrictions noted above, Platinum and Montsant beneficially own 4,672,351 shares or 76.02% of our common stock. The primary business address of Platinum Long Term Growth Fund VII and Montsant Partners, LLC is c/o Platinum Partners, 250 West 55th Street, 14th Floor, New York, NY 10019. Mark Nordlicht has voting and investment control over the shares held by Platinum and Montsant.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3" w:name="page164"/>
    <w:bookmarkEnd w:id="16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ind w:left="600" w:hanging="595"/>
        <w:spacing w:after="0" w:line="262" w:lineRule="auto"/>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93,775 restricted shares of our Series B Preferred currently exchangeable for 93,775 restricted shares of our common stock. The primary business address of University Health Network is 101 College Street, Suite 150, Toronto, Ontario Canada M5G 1L7..</w:t>
      </w:r>
    </w:p>
    <w:p>
      <w:pPr>
        <w:spacing w:after="0" w:line="180" w:lineRule="exact"/>
        <w:rPr>
          <w:rFonts w:ascii="Arial" w:cs="Arial" w:eastAsia="Arial" w:hAnsi="Arial"/>
          <w:sz w:val="18"/>
          <w:szCs w:val="18"/>
          <w:color w:val="auto"/>
        </w:rPr>
      </w:pPr>
    </w:p>
    <w:p>
      <w:pPr>
        <w:jc w:val="both"/>
        <w:ind w:left="600" w:hanging="595"/>
        <w:spacing w:after="0" w:line="299" w:lineRule="auto"/>
        <w:tabs>
          <w:tab w:leader="none" w:pos="6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currently exercisable warrants to purchase 61,378 restricted shares of common stock and 27,107 restricted shares of our Series B Preferred currently exchangeable for 27,107 restricted shares of our common stock. The primary business address of Brio Capital Master Fund Ltd. is 100 Merrick Road, Suite 401W, Rockville Centre, NY 11570. Shaye Hirsch has voting and investment control over the shares held by Brio Capital Master Fund Ltd.</w:t>
      </w:r>
    </w:p>
    <w:p>
      <w:pPr>
        <w:spacing w:after="0" w:line="155" w:lineRule="exact"/>
        <w:rPr>
          <w:rFonts w:ascii="Arial" w:cs="Arial" w:eastAsia="Arial" w:hAnsi="Arial"/>
          <w:sz w:val="16"/>
          <w:szCs w:val="16"/>
          <w:color w:val="auto"/>
        </w:rPr>
      </w:pPr>
    </w:p>
    <w:p>
      <w:pPr>
        <w:jc w:val="both"/>
        <w:ind w:left="600" w:hanging="595"/>
        <w:spacing w:after="0" w:line="299" w:lineRule="auto"/>
        <w:tabs>
          <w:tab w:leader="none" w:pos="6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currently exercisable warrants to purchase 72,740 restricted shares of common stock and 38,347 restricted shares of our Series B Preferred currently exchangeable for 38,347 restricted shares of our common stock. The primary business address of Lincoln Park Capital Fund LLC is 440 N. Wells Street, Chicago, IL 60654. Joshua Scheinfeld has voting and investment control over the shares held by Lincoln Park Capital Fund LLC.</w:t>
      </w:r>
    </w:p>
    <w:p>
      <w:pPr>
        <w:spacing w:after="0" w:line="155" w:lineRule="exact"/>
        <w:rPr>
          <w:rFonts w:ascii="Arial" w:cs="Arial" w:eastAsia="Arial" w:hAnsi="Arial"/>
          <w:sz w:val="16"/>
          <w:szCs w:val="16"/>
          <w:color w:val="auto"/>
        </w:rPr>
      </w:pPr>
    </w:p>
    <w:p>
      <w:pPr>
        <w:jc w:val="both"/>
        <w:ind w:left="600" w:hanging="595"/>
        <w:spacing w:after="0" w:line="280" w:lineRule="auto"/>
        <w:tabs>
          <w:tab w:leader="none" w:pos="6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currently exercisable warrants to purchase 110,448 restricted shares of common stock. The reported number of shares beneficially owned excludes 257,143 restricted shares of our Series B Preferred stock currently exchangeable for 257,143 restricted shares of our common stock. Pursuant to the terms of the Certificate of Designation of Rights and Preferences of the Series B Preferred, there is a limitation on conversion of the Series B Preferred such that the number of shares of common stock that Morrison &amp; Foerster may beneficially acquire upon such conversion is limited to the extent necessary to ensure that, following such conversion, the total number of shares of common stock then beneficially owned by Morrison &amp; Foerster does not exceed 9.99% of the total number of issued and outstanding shares of our common stock without providing us with 61 days’ prior notice thereof. Effective on June 12, 2015, Morison &amp; Foerster provided us with such 61 day advance notice. Including the shares otherwise excluded due to the beneficial ownership restrictions noted above, Morrison &amp; Foerster beneficially owns 377,591 shares or 19.24% of our common stock. The primary business address of Morrison &amp; Foerster is 555 Market Street, San Francisco, California 94105. Mark Blumenthal has voting and investment control over the shares held by Morrison &amp; Foerster.</w:t>
      </w:r>
    </w:p>
    <w:p>
      <w:pPr>
        <w:spacing w:after="0" w:line="171" w:lineRule="exact"/>
        <w:rPr>
          <w:rFonts w:ascii="Arial" w:cs="Arial" w:eastAsia="Arial" w:hAnsi="Arial"/>
          <w:sz w:val="16"/>
          <w:szCs w:val="16"/>
          <w:color w:val="auto"/>
        </w:rPr>
      </w:pPr>
    </w:p>
    <w:p>
      <w:pPr>
        <w:ind w:left="600" w:hanging="595"/>
        <w:spacing w:after="0" w:line="262" w:lineRule="auto"/>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options to purchase an aggregate of 134,996 restricted shares of common stock exercisable within 60 days of June 26, 2015 and warrants to purchase an aggregate of 520,866 restricted shares of common stock exercisable within 60 days of June 26, 2015.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March 31, 2015, options to purchase a total of 207,638 restricted shares of our common stock are outstanding at a weighted average exercise price of $10.09 per share, of which 199,013 options are vested and exercisable at a weighted average exercise price of $10.09 per share and 8,625 are unvested and not exercisable at a weighted average exercise price of $10.22 per share. These options were issued under our 2008 Plan and our 1999 Plan, each as described below. At March 31, 2015, an additional 40,491 shares remain available for future equity grants under our 2008 Plan.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Number of securities</w:t>
            </w:r>
          </w:p>
        </w:tc>
      </w:tr>
      <w:tr>
        <w:trPr>
          <w:trHeight w:val="211"/>
        </w:trPr>
        <w:tc>
          <w:tcPr>
            <w:tcW w:w="2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remaining available for</w:t>
            </w:r>
          </w:p>
        </w:tc>
      </w:tr>
      <w:tr>
        <w:trPr>
          <w:trHeight w:val="211"/>
        </w:trPr>
        <w:tc>
          <w:tcPr>
            <w:tcW w:w="2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Weighted-average</w:t>
            </w:r>
          </w:p>
        </w:tc>
        <w:tc>
          <w:tcPr>
            <w:tcW w:w="22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future issuance under</w:t>
            </w:r>
          </w:p>
        </w:tc>
      </w:tr>
      <w:tr>
        <w:trPr>
          <w:trHeight w:val="211"/>
        </w:trPr>
        <w:tc>
          <w:tcPr>
            <w:tcW w:w="2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4"/>
              </w:rPr>
              <w:t>to be issued upon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exercise price of</w:t>
            </w:r>
          </w:p>
        </w:tc>
        <w:tc>
          <w:tcPr>
            <w:tcW w:w="22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equity compensation</w:t>
            </w:r>
          </w:p>
        </w:tc>
      </w:tr>
      <w:tr>
        <w:trPr>
          <w:trHeight w:val="211"/>
        </w:trPr>
        <w:tc>
          <w:tcPr>
            <w:tcW w:w="2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2"/>
              </w:rPr>
              <w:t>exercise of</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ind w:right="92"/>
              <w:spacing w:after="0"/>
              <w:rPr>
                <w:sz w:val="20"/>
                <w:szCs w:val="20"/>
                <w:color w:val="auto"/>
              </w:rPr>
            </w:pPr>
            <w:r>
              <w:rPr>
                <w:rFonts w:ascii="Arial" w:cs="Arial" w:eastAsia="Arial" w:hAnsi="Arial"/>
                <w:sz w:val="18"/>
                <w:szCs w:val="18"/>
                <w:b w:val="1"/>
                <w:bCs w:val="1"/>
                <w:color w:val="auto"/>
                <w:w w:val="85"/>
              </w:rPr>
              <w:t>outstanding</w:t>
            </w:r>
          </w:p>
        </w:tc>
        <w:tc>
          <w:tcPr>
            <w:tcW w:w="2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plans</w:t>
            </w:r>
          </w:p>
        </w:tc>
      </w:tr>
      <w:tr>
        <w:trPr>
          <w:trHeight w:val="211"/>
        </w:trPr>
        <w:tc>
          <w:tcPr>
            <w:tcW w:w="2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5"/>
              </w:rPr>
              <w:t>outstanding options,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options, warrants</w:t>
            </w:r>
          </w:p>
        </w:tc>
        <w:tc>
          <w:tcPr>
            <w:tcW w:w="2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(excluding securities</w:t>
            </w:r>
          </w:p>
        </w:tc>
      </w:tr>
      <w:tr>
        <w:trPr>
          <w:trHeight w:val="211"/>
        </w:trPr>
        <w:tc>
          <w:tcPr>
            <w:tcW w:w="2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warrants and rights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and rights</w:t>
            </w:r>
          </w:p>
        </w:tc>
        <w:tc>
          <w:tcPr>
            <w:tcW w:w="22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reflected in column (a))</w:t>
            </w:r>
          </w:p>
        </w:tc>
      </w:tr>
      <w:tr>
        <w:trPr>
          <w:trHeight w:val="235"/>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category</w:t>
            </w:r>
          </w:p>
        </w:tc>
        <w:tc>
          <w:tcPr>
            <w:tcW w:w="2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6"/>
              </w:rPr>
              <w:t>(b)</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20"/>
                <w:szCs w:val="20"/>
                <w:color w:val="auto"/>
              </w:rPr>
            </w:pPr>
          </w:p>
        </w:tc>
      </w:tr>
      <w:tr>
        <w:trPr>
          <w:trHeight w:val="211"/>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0"/>
              </w:rPr>
              <w:t>Equity compensation plans approved by</w:t>
            </w: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holders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194,509</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40,491</w:t>
            </w:r>
          </w:p>
        </w:tc>
        <w:tc>
          <w:tcPr>
            <w:tcW w:w="100" w:type="dxa"/>
            <w:vAlign w:val="bottom"/>
            <w:shd w:val="clear" w:color="auto" w:fill="CCEEFF"/>
          </w:tcPr>
          <w:p>
            <w:pPr>
              <w:spacing w:after="0"/>
              <w:rPr>
                <w:sz w:val="18"/>
                <w:szCs w:val="18"/>
                <w:color w:val="auto"/>
              </w:rPr>
            </w:pPr>
          </w:p>
        </w:tc>
      </w:tr>
      <w:tr>
        <w:trPr>
          <w:trHeight w:val="217"/>
        </w:trPr>
        <w:tc>
          <w:tcPr>
            <w:tcW w:w="2900" w:type="dxa"/>
            <w:vAlign w:val="bottom"/>
          </w:tcPr>
          <w:p>
            <w:pPr>
              <w:spacing w:after="0"/>
              <w:rPr>
                <w:sz w:val="20"/>
                <w:szCs w:val="20"/>
                <w:color w:val="auto"/>
              </w:rPr>
            </w:pPr>
            <w:r>
              <w:rPr>
                <w:rFonts w:ascii="Arial" w:cs="Arial" w:eastAsia="Arial" w:hAnsi="Arial"/>
                <w:sz w:val="18"/>
                <w:szCs w:val="18"/>
                <w:color w:val="auto"/>
                <w:w w:val="88"/>
              </w:rPr>
              <w:t>Equity compensation plans not approved</w:t>
            </w:r>
          </w:p>
        </w:tc>
        <w:tc>
          <w:tcPr>
            <w:tcW w:w="2360" w:type="dxa"/>
            <w:vAlign w:val="bottom"/>
          </w:tcPr>
          <w:p>
            <w:pPr>
              <w:ind w:left="60"/>
              <w:spacing w:after="0"/>
              <w:rPr>
                <w:sz w:val="20"/>
                <w:szCs w:val="20"/>
                <w:color w:val="auto"/>
              </w:rPr>
            </w:pPr>
            <w:r>
              <w:rPr>
                <w:rFonts w:ascii="Arial" w:cs="Arial" w:eastAsia="Arial" w:hAnsi="Arial"/>
                <w:sz w:val="18"/>
                <w:szCs w:val="18"/>
                <w:color w:val="auto"/>
              </w:rPr>
              <w:t>by security holders</w:t>
            </w: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11.67</w:t>
            </w:r>
          </w:p>
        </w:tc>
        <w:tc>
          <w:tcPr>
            <w:tcW w:w="22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1"/>
        </w:trPr>
        <w:tc>
          <w:tcPr>
            <w:tcW w:w="2900" w:type="dxa"/>
            <w:vAlign w:val="bottom"/>
            <w:tcBorders>
              <w:bottom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Total</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207,638</w:t>
            </w:r>
          </w:p>
        </w:tc>
        <w:tc>
          <w:tcPr>
            <w:tcW w:w="400" w:type="dxa"/>
            <w:vAlign w:val="bottom"/>
            <w:tcBorders>
              <w:bottom w:val="single" w:sz="8" w:color="CCEEFF"/>
            </w:tcBorders>
            <w:gridSpan w:val="2"/>
            <w:shd w:val="clear" w:color="auto" w:fill="CCEEFF"/>
          </w:tcPr>
          <w:p>
            <w:pPr>
              <w:jc w:val="right"/>
              <w:ind w:right="80"/>
              <w:spacing w:after="0" w:line="191"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10.09</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40,491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85"/>
        </w:trPr>
        <w:tc>
          <w:tcPr>
            <w:tcW w:w="2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960" w:type="dxa"/>
            <w:vAlign w:val="bottom"/>
            <w:gridSpan w:val="2"/>
          </w:tcPr>
          <w:p>
            <w:pPr>
              <w:jc w:val="right"/>
              <w:ind w:right="1232"/>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6"/>
        </w:trPr>
        <w:tc>
          <w:tcPr>
            <w:tcW w:w="290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64" w:name="page165"/>
    <w:bookmarkEnd w:id="16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Stock Incentive Plan</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Shareholders of VistaGen California adopted our 2008 Plan on December 19, 2008 and we assumed the plan in connection with the Merger. The maximum number of shares of common stock that may be granted pursuant to the 2008 Plan is 250,000.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6"/>
          <w:szCs w:val="16"/>
          <w:i w:val="1"/>
          <w:iCs w:val="1"/>
          <w:color w:val="auto"/>
        </w:rPr>
        <w:t>Code</w:t>
      </w:r>
      <w:r>
        <w:rPr>
          <w:rFonts w:ascii="Arial" w:cs="Arial" w:eastAsia="Arial" w:hAnsi="Arial"/>
          <w:sz w:val="16"/>
          <w:szCs w:val="16"/>
          <w:color w:val="auto"/>
        </w:rPr>
        <w:t>), is 250,000.</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employees of VistaGen or any parent or subsidiary of VistaGen. Awards other than incentive stock options may be granted to employees, directors and consultants.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or the Compensation Committee of the Board of Directors, referred to as the “Administrator”, administers our 2008 Plan, including selecting the award recipients, determining the number of shares to be subject to each award, the exercise or purchase price of each award and the vesting and exercise periods of each award.</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exercise price of all incentive stock options granted under our 2008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ten years. The Administrator determines the term and exercise or purchase price of all other awards granted under our 2008 Plan.</w:t>
      </w:r>
    </w:p>
    <w:p>
      <w:pPr>
        <w:spacing w:after="0" w:line="19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35" w:lineRule="exact"/>
        <w:rPr>
          <w:sz w:val="20"/>
          <w:szCs w:val="20"/>
          <w:color w:val="auto"/>
        </w:rPr>
      </w:pPr>
    </w:p>
    <w:p>
      <w:pPr>
        <w:ind w:left="420" w:hanging="138"/>
        <w:spacing w:after="0"/>
        <w:tabs>
          <w:tab w:leader="none" w:pos="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40" w:lineRule="exact"/>
        <w:rPr>
          <w:rFonts w:ascii="Arial" w:cs="Arial" w:eastAsia="Arial" w:hAnsi="Arial"/>
          <w:sz w:val="18"/>
          <w:szCs w:val="18"/>
          <w:color w:val="auto"/>
        </w:rPr>
      </w:pPr>
    </w:p>
    <w:p>
      <w:pPr>
        <w:ind w:left="420" w:right="20" w:hanging="138"/>
        <w:spacing w:after="0" w:line="262" w:lineRule="auto"/>
        <w:tabs>
          <w:tab w:leader="none" w:pos="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Administrator by gift or pursuant to a domestic relations order to members of the participant’s immediate family.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2008 Plan permits the designation of beneficiaries by holders of awards, including incentive stock options.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the event of termination of a participant’s service for any reason other than disability or death, such participant may, but only during the period specified in the award agreement of not less than 30 days (generally 90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125,000 shares of common stock. In connection with a participant’s commencement of service with us, a participant may be granted options and stock appreciation rights for up to an additional 25,000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125,000 shares of common stock. The limits described in this paragraph are subject to adjustment in the event of any change in our capital structure as described below.</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65" w:name="page166"/>
    <w:bookmarkEnd w:id="16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terms and conditions of awards are determined by the Administrator, including the vesting schedule and any forfeiture provisions. Awards under the plan may vest upon the passage of time or upon the attainment of certain performance criteria. Although we do not currently have any awards outstanding that vest upon the attainment of performance criteria, the Administrator may establish criteria based on any one of, or combination of, the following:</w:t>
      </w:r>
    </w:p>
    <w:p>
      <w:pPr>
        <w:spacing w:after="0" w:line="155" w:lineRule="exact"/>
        <w:rPr>
          <w:sz w:val="20"/>
          <w:szCs w:val="20"/>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increase in share price;</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pre-tax profit;</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cash flow;</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revenue;</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earnings before interest, taxes and depreciation;</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economic value added; and</w:t>
      </w:r>
    </w:p>
    <w:p>
      <w:pPr>
        <w:spacing w:after="0" w:line="214" w:lineRule="exact"/>
        <w:rPr>
          <w:rFonts w:ascii="Arial" w:cs="Arial" w:eastAsia="Arial" w:hAnsi="Arial"/>
          <w:sz w:val="18"/>
          <w:szCs w:val="18"/>
          <w:color w:val="auto"/>
        </w:rPr>
      </w:pPr>
    </w:p>
    <w:p>
      <w:pPr>
        <w:ind w:left="1420" w:hanging="704"/>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41"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6" w:name="page167"/>
    <w:bookmarkEnd w:id="16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Under our 2008 Plan, a Corporate Transaction is generally defined as:</w:t>
      </w:r>
    </w:p>
    <w:p>
      <w:pPr>
        <w:spacing w:after="0" w:line="214" w:lineRule="exact"/>
        <w:rPr>
          <w:sz w:val="20"/>
          <w:szCs w:val="20"/>
          <w:color w:val="auto"/>
        </w:rPr>
      </w:pPr>
    </w:p>
    <w:p>
      <w:pPr>
        <w:ind w:left="620" w:right="20" w:hanging="312"/>
        <w:spacing w:after="0" w:line="324" w:lineRule="auto"/>
        <w:tabs>
          <w:tab w:leader="none" w:pos="6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35" w:lineRule="exact"/>
        <w:rPr>
          <w:rFonts w:ascii="Arial" w:cs="Arial" w:eastAsia="Arial" w:hAnsi="Arial"/>
          <w:sz w:val="16"/>
          <w:szCs w:val="16"/>
          <w:color w:val="auto"/>
        </w:rPr>
      </w:pPr>
    </w:p>
    <w:p>
      <w:pPr>
        <w:jc w:val="both"/>
        <w:ind w:left="620" w:right="20" w:hanging="312"/>
        <w:spacing w:after="0" w:line="250" w:lineRule="auto"/>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217" w:lineRule="exact"/>
        <w:rPr>
          <w:rFonts w:ascii="Arial" w:cs="Arial" w:eastAsia="Arial" w:hAnsi="Arial"/>
          <w:sz w:val="18"/>
          <w:szCs w:val="18"/>
          <w:color w:val="auto"/>
        </w:rPr>
      </w:pPr>
    </w:p>
    <w:p>
      <w:pPr>
        <w:ind w:left="620" w:hanging="312"/>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our Corporation;</w:t>
      </w:r>
    </w:p>
    <w:p>
      <w:pPr>
        <w:spacing w:after="0" w:line="240" w:lineRule="exact"/>
        <w:rPr>
          <w:rFonts w:ascii="Arial" w:cs="Arial" w:eastAsia="Arial" w:hAnsi="Arial"/>
          <w:sz w:val="18"/>
          <w:szCs w:val="18"/>
          <w:color w:val="auto"/>
        </w:rPr>
      </w:pPr>
    </w:p>
    <w:p>
      <w:pPr>
        <w:ind w:left="620" w:hanging="312"/>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merger or consolidation in which our Corporation is not the surviving entity; or</w:t>
      </w:r>
    </w:p>
    <w:p>
      <w:pPr>
        <w:spacing w:after="0" w:line="240" w:lineRule="exact"/>
        <w:rPr>
          <w:rFonts w:ascii="Arial" w:cs="Arial" w:eastAsia="Arial" w:hAnsi="Arial"/>
          <w:sz w:val="18"/>
          <w:szCs w:val="18"/>
          <w:color w:val="auto"/>
        </w:rPr>
      </w:pPr>
    </w:p>
    <w:p>
      <w:pPr>
        <w:ind w:left="620" w:hanging="312"/>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shareholders accept; (ii) or a change in the composition of our Board of Directors over a period of 12 months or less.</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Internal Revenue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2015, we have options to purchase an aggregate of 194,509 restricted shares of our common stock outstanding under our 2008 Plan.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Incentive Plan</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VistaGen California’s Board of Directors adopted the 1999 Plan on December 6, 1999.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1999 Plan permitted VistaGen California to make grants of incentive stock options, non-qualified stock options and restricted stock awards. VistaGen California initially reserved 22,500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shareholder)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67" w:name="page168"/>
    <w:bookmarkEnd w:id="16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2015, we have options outstanding under the 1999 Plan to purchase an aggregate of 13,129 restricted shares of our common stock.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Securities to Cato Holding Company</w:t>
      </w:r>
    </w:p>
    <w:p>
      <w:pPr>
        <w:spacing w:after="0" w:line="24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xml:space="preserve">,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$310,443 (the </w:t>
      </w:r>
      <w:r>
        <w:rPr>
          <w:rFonts w:ascii="Arial" w:cs="Arial" w:eastAsia="Arial" w:hAnsi="Arial"/>
          <w:sz w:val="16"/>
          <w:szCs w:val="16"/>
          <w:i w:val="1"/>
          <w:iCs w:val="1"/>
          <w:color w:val="auto"/>
        </w:rPr>
        <w:t>2012 CHC Note</w:t>
      </w:r>
      <w:r>
        <w:rPr>
          <w:rFonts w:ascii="Arial" w:cs="Arial" w:eastAsia="Arial" w:hAnsi="Arial"/>
          <w:sz w:val="16"/>
          <w:szCs w:val="16"/>
          <w:color w:val="auto"/>
        </w:rPr>
        <w:t xml:space="preserve">) and a five-year warrant to purchase 12,500 restricted shares of the Company’s common stock at a price of $30.00 per share (the </w:t>
      </w:r>
      <w:r>
        <w:rPr>
          <w:rFonts w:ascii="Arial" w:cs="Arial" w:eastAsia="Arial" w:hAnsi="Arial"/>
          <w:sz w:val="16"/>
          <w:szCs w:val="16"/>
          <w:i w:val="1"/>
          <w:iCs w:val="1"/>
          <w:color w:val="auto"/>
        </w:rPr>
        <w:t>CHC Warrant</w:t>
      </w:r>
      <w:r>
        <w:rPr>
          <w:rFonts w:ascii="Arial" w:cs="Arial" w:eastAsia="Arial" w:hAnsi="Arial"/>
          <w:sz w:val="16"/>
          <w:szCs w:val="16"/>
          <w:color w:val="auto"/>
        </w:rPr>
        <w:t xml:space="preserve">). 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6"/>
          <w:szCs w:val="16"/>
          <w:i w:val="1"/>
          <w:iCs w:val="1"/>
          <w:color w:val="auto"/>
        </w:rPr>
        <w:t>CRL Note</w:t>
      </w:r>
      <w:r>
        <w:rPr>
          <w:rFonts w:ascii="Arial" w:cs="Arial" w:eastAsia="Arial" w:hAnsi="Arial"/>
          <w:sz w:val="16"/>
          <w:szCs w:val="16"/>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2012 CHC Note and the CRL Note mature on March 31, 2016. Total interest expense on notes payable to CHC and CRL was $174,800 and $167,900 for the fiscal years ended March 31, 2015 and 2014,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Development Agreement with Cato Research Ltd.</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fiscal year 2007, we entered into a contract research organization arrangement with CRL related to the development of AV-101, under which we incurred expenses of $38,100 and $52,500 for the fiscal years ended March 31, 2015 and 2014,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Receivable from Shawn K. Singh, JD and Advances to us by Mr. Singh</w:t>
      </w:r>
    </w:p>
    <w:p>
      <w:pPr>
        <w:spacing w:after="0" w:line="24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Upon the approval of its Board of Directors, in December 2006, VistaGen California accepted a full-recourse promissory note in the amount of $103,400 from Mr. Shawn Singh in payment of the exercise price for options and warrants to purchase an aggregate of 6,320 restricted shares of VistaGen California’s common stock. The note accrued interest at a rate of 4.90% per annum and was due and payable no later than the earlier of (i) December 1, 2016 or (ii) ten days prior to our becoming subject to the requirements of the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2015 and 2014, we had accrued $101,900 as an estimate of the gross-up amount, but we had not yet paid any of that amount to Mr. Singh. As a result of Mr. Singh’s forbearance, it remains unpaid through the date of this report.</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Between September 2013 and December 2013, Mr. Singh provided short-term cash advances aggregating $64,000 to meet our short-term working capital requirements. In lieu of cash repayment of the entire amount of the advances, in December 2013, Mr. Singh elected to invest $50,000 of the balance due him in the 2013 Unit Private Placement. At March 31, 2015, we have completely repaid the remaining balance of the advances and the $50,000 promissory note issued in connection with his investment in the 2013 Unit Private Placement to Mr. Singh.</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8" w:name="page169"/>
    <w:bookmarkEnd w:id="16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Services</w:t>
      </w:r>
    </w:p>
    <w:p>
      <w:pPr>
        <w:spacing w:after="0" w:line="24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OUM &amp; Co. LLP (</w:t>
      </w:r>
      <w:r>
        <w:rPr>
          <w:rFonts w:ascii="Arial" w:cs="Arial" w:eastAsia="Arial" w:hAnsi="Arial"/>
          <w:sz w:val="16"/>
          <w:szCs w:val="16"/>
          <w:i w:val="1"/>
          <w:iCs w:val="1"/>
          <w:color w:val="auto"/>
        </w:rPr>
        <w:t>OUM</w:t>
      </w:r>
      <w:r>
        <w:rPr>
          <w:rFonts w:ascii="Arial" w:cs="Arial" w:eastAsia="Arial" w:hAnsi="Arial"/>
          <w:sz w:val="16"/>
          <w:szCs w:val="16"/>
          <w:color w:val="auto"/>
        </w:rPr>
        <w:t>) served as our independent registered public accounting firm for the fiscal years ended March 31, 2015 and March 31, 2014. Information provided below includes fees for professional services provided to us by OUM for the fiscal years ended March 31, 2015 and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5"/>
          </w:tcPr>
          <w:p>
            <w:pPr>
              <w:ind w:left="60"/>
              <w:spacing w:after="0"/>
              <w:rPr>
                <w:sz w:val="20"/>
                <w:szCs w:val="20"/>
                <w:color w:val="auto"/>
              </w:rPr>
            </w:pPr>
            <w:r>
              <w:rPr>
                <w:rFonts w:ascii="Arial" w:cs="Arial" w:eastAsia="Arial" w:hAnsi="Arial"/>
                <w:sz w:val="18"/>
                <w:szCs w:val="18"/>
                <w:color w:val="auto"/>
                <w:w w:val="99"/>
              </w:rPr>
              <w:t>Fiscal Years Ended March 31,</w:t>
            </w:r>
          </w:p>
        </w:tc>
      </w:tr>
      <w:tr>
        <w:trPr>
          <w:trHeight w:val="217"/>
        </w:trPr>
        <w:tc>
          <w:tcPr>
            <w:tcW w:w="88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r>
      <w:tr>
        <w:trPr>
          <w:trHeight w:val="211"/>
        </w:trPr>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172,500</w:t>
            </w: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Audit-related fees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53,952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4,600</w:t>
            </w: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12,643</w:t>
            </w:r>
          </w:p>
        </w:tc>
      </w:tr>
      <w:tr>
        <w:trPr>
          <w:trHeight w:val="217"/>
        </w:trPr>
        <w:tc>
          <w:tcPr>
            <w:tcW w:w="8800" w:type="dxa"/>
            <w:vAlign w:val="bottom"/>
          </w:tcPr>
          <w:p>
            <w:pPr>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88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800" w:type="dxa"/>
            <w:vAlign w:val="bottom"/>
          </w:tcPr>
          <w:p>
            <w:pPr>
              <w:spacing w:after="0"/>
              <w:rPr>
                <w:sz w:val="20"/>
                <w:szCs w:val="20"/>
                <w:color w:val="auto"/>
              </w:rPr>
            </w:pPr>
            <w:r>
              <w:rPr>
                <w:rFonts w:ascii="Arial" w:cs="Arial" w:eastAsia="Arial" w:hAnsi="Arial"/>
                <w:sz w:val="18"/>
                <w:szCs w:val="18"/>
                <w:color w:val="auto"/>
              </w:rPr>
              <w:t>Total fees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247,412</w:t>
            </w:r>
          </w:p>
        </w:tc>
        <w:tc>
          <w:tcPr>
            <w:tcW w:w="2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189,743</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Audit fees include fees billed for the annual audit of the Company’s financial statements and quarterly reviews for the fiscal years ended March 31, 2015 and 2014, and for services normally provided by OUM in connection with routine statutory and regulatory filings or engagements.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Audit-related fees includes fees billed for assurance and related services that are reasonably related to the performance of the annual audit or reviews of the Company’s financial statements and are not reported under “Audit Fees.” During the fiscal year ended March 31, 2015, OUM billed the Company for services related to consents for the use of its audit opinion in the Company’s filings of Registration Statements on Form S-1 that included the Company’s audited financial statements for the fiscal year ended March 31, 2014. During the fiscal year ended March 31, 2014,such fees related to accounting research projects regarding certain prospective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Tax fees include fees for professional services for tax compliance, tax advice and tax planning for the tax years ended March 31, 2015 and 2014.</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other fees include fees for products and services other than those described above. During the fiscal years ended March 31, 2015 and 2014, no such fees were billed by OUM.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of Audit and Non-Audit Services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All auditing services and non-audit services provided to us by our independent registered public accounting firm are required to be pre-approved by the Audit Committee. OUM did not provide any audit-related or other services in fiscal 2015 and 2014. The pre-approval of non-audit services to be provided by OUM includes making a determination that the provision of the services is compatible with maintaining OUM’s independence as an independent registered public accounting firm and would be approved in accordance with SEC rules for maintaining auditor independence. None of the fees outlined above were approved using the “de minimis exception” under SEC rules.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4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Audit Committee has reviewed and discussed with management and OUM &amp; Co. LLP (</w:t>
      </w:r>
      <w:r>
        <w:rPr>
          <w:rFonts w:ascii="Arial" w:cs="Arial" w:eastAsia="Arial" w:hAnsi="Arial"/>
          <w:sz w:val="16"/>
          <w:szCs w:val="16"/>
          <w:i w:val="1"/>
          <w:iCs w:val="1"/>
          <w:color w:val="auto"/>
        </w:rPr>
        <w:t>OUM</w:t>
      </w:r>
      <w:r>
        <w:rPr>
          <w:rFonts w:ascii="Arial" w:cs="Arial" w:eastAsia="Arial" w:hAnsi="Arial"/>
          <w:sz w:val="16"/>
          <w:szCs w:val="16"/>
          <w:color w:val="auto"/>
        </w:rPr>
        <w:t>), our independent registered public accounting firm, the audited consolidated financial statements in the VistaGen Therapeutics, Inc. Annual Report on Form 10-K for the year ended March 31, 2015. The Audit Committee has also discussed with OUM those matters required to be discussed by Public Company Accounting Oversight Board Auditing Standard No. 16.</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9" w:name="page170"/>
    <w:bookmarkEnd w:id="16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2015.</w:t>
      </w:r>
    </w:p>
    <w:p>
      <w:pPr>
        <w:spacing w:after="0" w:line="21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Respectfully Submitted by:</w:t>
      </w: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MEMBERS OF THE AUDIT COMMITTEE</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Jon S. Saxe, Audit Committee Chairman</w:t>
      </w:r>
    </w:p>
    <w:p>
      <w:pPr>
        <w:spacing w:after="0" w:line="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Brian J. Underdown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Dated: June 29, 2015</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contained above under the caption “Report of the Audit Committee of the Board of Directors” shall not be deemed to be soliciting material or to be filed with the SEC, nor shall such information be incorporated by reference into any future filing under the Securities Act or the Exchange Act, except to the extent that we specifically incorporate it by reference into such filing.</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70" w:name="page171"/>
    <w:bookmarkEnd w:id="17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Index to Financial Statements under Item 8 on page 86.</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Consolidated Financial Statement Schedules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Consolidated financial statement schedules are omitted because they are not applicable or are not required or the information required to be set forth therein is included in the Consolidated Financial Statements or notes thereto.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Exhibit Index below are filed or incorporated by reference as part of this report.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2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2"/>
              </w:rPr>
              <w:t>Exhibit Index</w:t>
            </w:r>
          </w:p>
        </w:tc>
      </w:tr>
      <w:tr>
        <w:trPr>
          <w:trHeight w:val="238"/>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20" w:type="dxa"/>
            <w:vAlign w:val="bottom"/>
            <w:gridSpan w:val="2"/>
          </w:tcPr>
          <w:p>
            <w:pPr>
              <w:spacing w:after="0"/>
              <w:rPr>
                <w:sz w:val="20"/>
                <w:szCs w:val="20"/>
                <w:color w:val="auto"/>
              </w:rPr>
            </w:pPr>
          </w:p>
        </w:tc>
      </w:tr>
      <w:tr>
        <w:trPr>
          <w:trHeight w:val="210"/>
        </w:trPr>
        <w:tc>
          <w:tcPr>
            <w:tcW w:w="1300" w:type="dxa"/>
            <w:vAlign w:val="bottom"/>
            <w:tcBorders>
              <w:top w:val="single" w:sz="8" w:color="4F81BD"/>
              <w:bottom w:val="single" w:sz="8" w:color="auto"/>
            </w:tcBorders>
          </w:tcPr>
          <w:p>
            <w:pPr>
              <w:spacing w:after="0" w:line="204" w:lineRule="exact"/>
              <w:rPr>
                <w:sz w:val="20"/>
                <w:szCs w:val="20"/>
                <w:color w:val="auto"/>
              </w:rPr>
            </w:pPr>
            <w:r>
              <w:rPr>
                <w:rFonts w:ascii="Arial" w:cs="Arial" w:eastAsia="Arial" w:hAnsi="Arial"/>
                <w:sz w:val="18"/>
                <w:szCs w:val="18"/>
                <w:color w:val="auto"/>
              </w:rPr>
              <w:t>Exhibit No.</w:t>
            </w:r>
          </w:p>
        </w:tc>
        <w:tc>
          <w:tcPr>
            <w:tcW w:w="120" w:type="dxa"/>
            <w:vAlign w:val="bottom"/>
            <w:tcBorders>
              <w:top w:val="single" w:sz="8" w:color="4F81BD"/>
            </w:tcBorders>
          </w:tcPr>
          <w:p>
            <w:pPr>
              <w:spacing w:after="0"/>
              <w:rPr>
                <w:sz w:val="18"/>
                <w:szCs w:val="18"/>
                <w:color w:val="auto"/>
              </w:rPr>
            </w:pPr>
          </w:p>
        </w:tc>
        <w:tc>
          <w:tcPr>
            <w:tcW w:w="10000" w:type="dxa"/>
            <w:vAlign w:val="bottom"/>
            <w:tcBorders>
              <w:top w:val="single" w:sz="8" w:color="4F81BD"/>
              <w:bottom w:val="single" w:sz="8" w:color="auto"/>
            </w:tcBorders>
          </w:tcPr>
          <w:p>
            <w:pPr>
              <w:spacing w:after="0" w:line="204" w:lineRule="exact"/>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18"/>
                <w:szCs w:val="18"/>
                <w:color w:val="auto"/>
              </w:rPr>
            </w:pPr>
          </w:p>
        </w:tc>
      </w:tr>
      <w:tr>
        <w:trPr>
          <w:trHeight w:val="211"/>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w w:val="89"/>
              </w:rPr>
              <w:t>Agreement and Plan of Merger by and among Excaliber Enterprises, Ltd., VistaGen Therapeutics, Inc. and Excaliber Merger Subsidiary, Inc.</w:t>
            </w:r>
          </w:p>
        </w:tc>
        <w:tc>
          <w:tcPr>
            <w:tcW w:w="20" w:type="dxa"/>
            <w:vAlign w:val="bottom"/>
          </w:tcPr>
          <w:p>
            <w:pPr>
              <w:spacing w:after="0"/>
              <w:rPr>
                <w:sz w:val="18"/>
                <w:szCs w:val="18"/>
                <w:color w:val="auto"/>
              </w:rPr>
            </w:pPr>
          </w:p>
        </w:tc>
      </w:tr>
      <w:tr>
        <w:trPr>
          <w:trHeight w:val="211"/>
        </w:trPr>
        <w:tc>
          <w:tcPr>
            <w:tcW w:w="1300" w:type="dxa"/>
            <w:vAlign w:val="bottom"/>
          </w:tcPr>
          <w:p>
            <w:pPr>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Articles of Incorporation, dated October 6, 2005.</w:t>
            </w:r>
          </w:p>
        </w:tc>
        <w:tc>
          <w:tcPr>
            <w:tcW w:w="20" w:type="dxa"/>
            <w:vAlign w:val="bottom"/>
          </w:tcPr>
          <w:p>
            <w:pPr>
              <w:spacing w:after="0"/>
              <w:rPr>
                <w:sz w:val="18"/>
                <w:szCs w:val="18"/>
                <w:color w:val="auto"/>
              </w:rPr>
            </w:pPr>
          </w:p>
        </w:tc>
      </w:tr>
      <w:tr>
        <w:trPr>
          <w:trHeight w:val="198"/>
        </w:trPr>
        <w:tc>
          <w:tcPr>
            <w:tcW w:w="13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7"/>
                <w:szCs w:val="17"/>
                <w:color w:val="auto"/>
              </w:rPr>
            </w:pPr>
          </w:p>
        </w:tc>
        <w:tc>
          <w:tcPr>
            <w:tcW w:w="100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0"/>
              </w:rPr>
              <w:t>Certificate of Amendment filed with the Nevada Secretary of State on December 6, 2011, incorporated by reference from Exhibit 3.3 to the</w:t>
            </w:r>
          </w:p>
        </w:tc>
        <w:tc>
          <w:tcPr>
            <w:tcW w:w="20" w:type="dxa"/>
            <w:vAlign w:val="bottom"/>
          </w:tcPr>
          <w:p>
            <w:pPr>
              <w:spacing w:after="0"/>
              <w:rPr>
                <w:sz w:val="17"/>
                <w:szCs w:val="17"/>
                <w:color w:val="auto"/>
              </w:rPr>
            </w:pPr>
          </w:p>
        </w:tc>
      </w:tr>
      <w:tr>
        <w:trPr>
          <w:trHeight w:val="223"/>
        </w:trPr>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Company's Annual Report on Form 10-K, filed July 2, 2012.</w:t>
            </w:r>
          </w:p>
        </w:tc>
        <w:tc>
          <w:tcPr>
            <w:tcW w:w="20" w:type="dxa"/>
            <w:vAlign w:val="bottom"/>
          </w:tcPr>
          <w:p>
            <w:pPr>
              <w:spacing w:after="0"/>
              <w:rPr>
                <w:sz w:val="19"/>
                <w:szCs w:val="19"/>
                <w:color w:val="auto"/>
              </w:rPr>
            </w:pPr>
          </w:p>
        </w:tc>
      </w:tr>
      <w:tr>
        <w:trPr>
          <w:trHeight w:val="198"/>
        </w:trPr>
        <w:tc>
          <w:tcPr>
            <w:tcW w:w="1300" w:type="dxa"/>
            <w:vAlign w:val="bottom"/>
          </w:tcPr>
          <w:p>
            <w:pPr>
              <w:spacing w:after="0" w:line="198"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10000" w:type="dxa"/>
            <w:vAlign w:val="bottom"/>
          </w:tcPr>
          <w:p>
            <w:pPr>
              <w:spacing w:after="0" w:line="198" w:lineRule="exact"/>
              <w:rPr>
                <w:sz w:val="20"/>
                <w:szCs w:val="20"/>
                <w:color w:val="auto"/>
              </w:rPr>
            </w:pPr>
            <w:r>
              <w:rPr>
                <w:rFonts w:ascii="Arial" w:cs="Arial" w:eastAsia="Arial" w:hAnsi="Arial"/>
                <w:sz w:val="18"/>
                <w:szCs w:val="18"/>
                <w:color w:val="auto"/>
                <w:w w:val="88"/>
              </w:rPr>
              <w:t>Amended and Restated Bylaws as of February 5, 2014, incorporated by reference from the Company’s Report on Form 8-K filed on February</w:t>
            </w:r>
          </w:p>
        </w:tc>
        <w:tc>
          <w:tcPr>
            <w:tcW w:w="20" w:type="dxa"/>
            <w:vAlign w:val="bottom"/>
          </w:tcPr>
          <w:p>
            <w:pPr>
              <w:spacing w:after="0"/>
              <w:rPr>
                <w:sz w:val="17"/>
                <w:szCs w:val="17"/>
                <w:color w:val="auto"/>
              </w:rPr>
            </w:pPr>
          </w:p>
        </w:tc>
      </w:tr>
      <w:tr>
        <w:trPr>
          <w:trHeight w:val="222"/>
        </w:trPr>
        <w:tc>
          <w:tcPr>
            <w:tcW w:w="1300" w:type="dxa"/>
            <w:vAlign w:val="bottom"/>
          </w:tcPr>
          <w:p>
            <w:pPr>
              <w:spacing w:after="0"/>
              <w:rPr>
                <w:sz w:val="19"/>
                <w:szCs w:val="19"/>
                <w:color w:val="auto"/>
              </w:rPr>
            </w:pPr>
          </w:p>
        </w:tc>
        <w:tc>
          <w:tcPr>
            <w:tcW w:w="10120" w:type="dxa"/>
            <w:vAlign w:val="bottom"/>
            <w:gridSpan w:val="2"/>
          </w:tcPr>
          <w:p>
            <w:pPr>
              <w:ind w:left="120"/>
              <w:spacing w:after="0"/>
              <w:rPr>
                <w:sz w:val="20"/>
                <w:szCs w:val="20"/>
                <w:color w:val="auto"/>
              </w:rPr>
            </w:pPr>
            <w:r>
              <w:rPr>
                <w:rFonts w:ascii="Arial" w:cs="Arial" w:eastAsia="Arial" w:hAnsi="Arial"/>
                <w:sz w:val="18"/>
                <w:szCs w:val="18"/>
                <w:color w:val="auto"/>
              </w:rPr>
              <w:t>7, 2014.</w:t>
            </w:r>
          </w:p>
        </w:tc>
        <w:tc>
          <w:tcPr>
            <w:tcW w:w="20" w:type="dxa"/>
            <w:vAlign w:val="bottom"/>
          </w:tcPr>
          <w:p>
            <w:pPr>
              <w:spacing w:after="0"/>
              <w:rPr>
                <w:sz w:val="19"/>
                <w:szCs w:val="19"/>
                <w:color w:val="auto"/>
              </w:rPr>
            </w:pPr>
          </w:p>
        </w:tc>
      </w:tr>
      <w:tr>
        <w:trPr>
          <w:trHeight w:val="199"/>
        </w:trPr>
        <w:tc>
          <w:tcPr>
            <w:tcW w:w="13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7"/>
                <w:szCs w:val="17"/>
                <w:color w:val="auto"/>
              </w:rPr>
            </w:pPr>
          </w:p>
        </w:tc>
        <w:tc>
          <w:tcPr>
            <w:tcW w:w="100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1"/>
              </w:rPr>
              <w:t>Articles of Merger filed with the Nevada Secretary of State on May 24, 2011, incorporated by reference from Exhibit 3.1 to the Company's</w:t>
            </w:r>
          </w:p>
        </w:tc>
        <w:tc>
          <w:tcPr>
            <w:tcW w:w="20" w:type="dxa"/>
            <w:vAlign w:val="bottom"/>
          </w:tcPr>
          <w:p>
            <w:pPr>
              <w:spacing w:after="0"/>
              <w:rPr>
                <w:sz w:val="17"/>
                <w:szCs w:val="17"/>
                <w:color w:val="auto"/>
              </w:rPr>
            </w:pPr>
          </w:p>
        </w:tc>
      </w:tr>
      <w:tr>
        <w:trPr>
          <w:trHeight w:val="223"/>
        </w:trPr>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Current Report on Form 8-K filed on May 31, 2011.</w:t>
            </w:r>
          </w:p>
        </w:tc>
        <w:tc>
          <w:tcPr>
            <w:tcW w:w="20" w:type="dxa"/>
            <w:vAlign w:val="bottom"/>
          </w:tcPr>
          <w:p>
            <w:pPr>
              <w:spacing w:after="0"/>
              <w:rPr>
                <w:sz w:val="19"/>
                <w:szCs w:val="19"/>
                <w:color w:val="auto"/>
              </w:rPr>
            </w:pPr>
          </w:p>
        </w:tc>
      </w:tr>
      <w:tr>
        <w:trPr>
          <w:trHeight w:val="198"/>
        </w:trPr>
        <w:tc>
          <w:tcPr>
            <w:tcW w:w="1300" w:type="dxa"/>
            <w:vAlign w:val="bottom"/>
          </w:tcPr>
          <w:p>
            <w:pPr>
              <w:spacing w:after="0" w:line="198"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c>
          <w:tcPr>
            <w:tcW w:w="10000" w:type="dxa"/>
            <w:vAlign w:val="bottom"/>
          </w:tcPr>
          <w:p>
            <w:pPr>
              <w:spacing w:after="0" w:line="198" w:lineRule="exact"/>
              <w:rPr>
                <w:sz w:val="20"/>
                <w:szCs w:val="20"/>
                <w:color w:val="auto"/>
              </w:rPr>
            </w:pPr>
            <w:r>
              <w:rPr>
                <w:rFonts w:ascii="Arial" w:cs="Arial" w:eastAsia="Arial" w:hAnsi="Arial"/>
                <w:sz w:val="18"/>
                <w:szCs w:val="18"/>
                <w:color w:val="auto"/>
                <w:w w:val="92"/>
              </w:rPr>
              <w:t>Certificate of Designations Series A Preferred, incorporated by reference from Exhibit 3.1 to the Company’s Current Report on Form 8-K</w:t>
            </w:r>
          </w:p>
        </w:tc>
        <w:tc>
          <w:tcPr>
            <w:tcW w:w="20" w:type="dxa"/>
            <w:vAlign w:val="bottom"/>
          </w:tcPr>
          <w:p>
            <w:pPr>
              <w:spacing w:after="0"/>
              <w:rPr>
                <w:sz w:val="17"/>
                <w:szCs w:val="17"/>
                <w:color w:val="auto"/>
              </w:rPr>
            </w:pPr>
          </w:p>
        </w:tc>
      </w:tr>
      <w:tr>
        <w:trPr>
          <w:trHeight w:val="222"/>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filed on December 23, 2011.</w:t>
            </w:r>
          </w:p>
        </w:tc>
      </w:tr>
      <w:tr>
        <w:trPr>
          <w:trHeight w:val="199"/>
        </w:trPr>
        <w:tc>
          <w:tcPr>
            <w:tcW w:w="13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7"/>
                <w:szCs w:val="17"/>
                <w:color w:val="auto"/>
              </w:rPr>
            </w:pPr>
          </w:p>
        </w:tc>
        <w:tc>
          <w:tcPr>
            <w:tcW w:w="100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5"/>
              </w:rPr>
              <w:t>Certificate of Change filed with the Nevada Secretary of State on August 11, 2014 incorporated by reference from Exhibit 3.1 to the</w:t>
            </w:r>
          </w:p>
        </w:tc>
        <w:tc>
          <w:tcPr>
            <w:tcW w:w="20" w:type="dxa"/>
            <w:vAlign w:val="bottom"/>
          </w:tcPr>
          <w:p>
            <w:pPr>
              <w:spacing w:after="0"/>
              <w:rPr>
                <w:sz w:val="17"/>
                <w:szCs w:val="17"/>
                <w:color w:val="auto"/>
              </w:rPr>
            </w:pPr>
          </w:p>
        </w:tc>
      </w:tr>
      <w:tr>
        <w:trPr>
          <w:trHeight w:val="223"/>
        </w:trPr>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Company’s Current Report on Form 8-K filed on August 14, 2014.</w:t>
            </w:r>
          </w:p>
        </w:tc>
        <w:tc>
          <w:tcPr>
            <w:tcW w:w="20" w:type="dxa"/>
            <w:vAlign w:val="bottom"/>
          </w:tcPr>
          <w:p>
            <w:pPr>
              <w:spacing w:after="0"/>
              <w:rPr>
                <w:sz w:val="19"/>
                <w:szCs w:val="19"/>
                <w:color w:val="auto"/>
              </w:rPr>
            </w:pPr>
          </w:p>
        </w:tc>
      </w:tr>
      <w:tr>
        <w:trPr>
          <w:trHeight w:val="198"/>
        </w:trPr>
        <w:tc>
          <w:tcPr>
            <w:tcW w:w="1300" w:type="dxa"/>
            <w:vAlign w:val="bottom"/>
          </w:tcPr>
          <w:p>
            <w:pPr>
              <w:spacing w:after="0" w:line="198"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10000" w:type="dxa"/>
            <w:vAlign w:val="bottom"/>
          </w:tcPr>
          <w:p>
            <w:pPr>
              <w:spacing w:after="0" w:line="198" w:lineRule="exact"/>
              <w:rPr>
                <w:sz w:val="20"/>
                <w:szCs w:val="20"/>
                <w:color w:val="auto"/>
              </w:rPr>
            </w:pPr>
            <w:r>
              <w:rPr>
                <w:rFonts w:ascii="Arial" w:cs="Arial" w:eastAsia="Arial" w:hAnsi="Arial"/>
                <w:sz w:val="18"/>
                <w:szCs w:val="18"/>
                <w:color w:val="auto"/>
                <w:w w:val="89"/>
              </w:rPr>
              <w:t>Certificate of Designation of the Relative Rights and Preferences of the Series B 10% Convertible Preferred Stock of VistaGen Therapeutics,</w:t>
            </w:r>
          </w:p>
        </w:tc>
        <w:tc>
          <w:tcPr>
            <w:tcW w:w="20" w:type="dxa"/>
            <w:vAlign w:val="bottom"/>
          </w:tcPr>
          <w:p>
            <w:pPr>
              <w:spacing w:after="0"/>
              <w:rPr>
                <w:sz w:val="17"/>
                <w:szCs w:val="17"/>
                <w:color w:val="auto"/>
              </w:rPr>
            </w:pPr>
          </w:p>
        </w:tc>
      </w:tr>
      <w:tr>
        <w:trPr>
          <w:trHeight w:val="211"/>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1"/>
              </w:rPr>
              <w:t>Inc., filed with the Nevada Secretary of State on May 7, 2015, incorporated by reference from Exhibit 3.1 to the Company’s Current Report</w:t>
            </w:r>
          </w:p>
        </w:tc>
      </w:tr>
      <w:tr>
        <w:trPr>
          <w:trHeight w:val="222"/>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on Form 8-K filed on May 13, 2015.</w:t>
            </w:r>
          </w:p>
        </w:tc>
      </w:tr>
      <w:tr>
        <w:trPr>
          <w:trHeight w:val="211"/>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10.1 *</w:t>
            </w:r>
          </w:p>
        </w:tc>
        <w:tc>
          <w:tcPr>
            <w:tcW w:w="12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VistaGen’s 1999 Stock Incentive Plan.</w:t>
            </w:r>
          </w:p>
        </w:tc>
        <w:tc>
          <w:tcPr>
            <w:tcW w:w="20" w:type="dxa"/>
            <w:vAlign w:val="bottom"/>
          </w:tcPr>
          <w:p>
            <w:pPr>
              <w:spacing w:after="0"/>
              <w:rPr>
                <w:sz w:val="18"/>
                <w:szCs w:val="18"/>
                <w:color w:val="auto"/>
              </w:rPr>
            </w:pPr>
          </w:p>
        </w:tc>
      </w:tr>
      <w:tr>
        <w:trPr>
          <w:trHeight w:val="211"/>
        </w:trPr>
        <w:tc>
          <w:tcPr>
            <w:tcW w:w="1300" w:type="dxa"/>
            <w:vAlign w:val="bottom"/>
          </w:tcPr>
          <w:p>
            <w:pPr>
              <w:spacing w:after="0"/>
              <w:rPr>
                <w:sz w:val="20"/>
                <w:szCs w:val="20"/>
                <w:color w:val="auto"/>
              </w:rPr>
            </w:pPr>
            <w:r>
              <w:rPr>
                <w:rFonts w:ascii="Arial" w:cs="Arial" w:eastAsia="Arial" w:hAnsi="Arial"/>
                <w:sz w:val="18"/>
                <w:szCs w:val="18"/>
                <w:color w:val="auto"/>
              </w:rPr>
              <w:t>10.2 *</w:t>
            </w:r>
          </w:p>
        </w:tc>
        <w:tc>
          <w:tcPr>
            <w:tcW w:w="1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Form of Option Agreement under VistaGen’s 1999 Stock Incentive Plan.</w:t>
            </w:r>
          </w:p>
        </w:tc>
        <w:tc>
          <w:tcPr>
            <w:tcW w:w="20" w:type="dxa"/>
            <w:vAlign w:val="bottom"/>
          </w:tcPr>
          <w:p>
            <w:pPr>
              <w:spacing w:after="0"/>
              <w:rPr>
                <w:sz w:val="18"/>
                <w:szCs w:val="18"/>
                <w:color w:val="auto"/>
              </w:rPr>
            </w:pPr>
          </w:p>
        </w:tc>
      </w:tr>
      <w:tr>
        <w:trPr>
          <w:trHeight w:val="211"/>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10.5 *</w:t>
            </w:r>
          </w:p>
        </w:tc>
        <w:tc>
          <w:tcPr>
            <w:tcW w:w="12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VistaGen’s 2008 Stock Incentive Plan.</w:t>
            </w:r>
          </w:p>
        </w:tc>
        <w:tc>
          <w:tcPr>
            <w:tcW w:w="20" w:type="dxa"/>
            <w:vAlign w:val="bottom"/>
          </w:tcPr>
          <w:p>
            <w:pPr>
              <w:spacing w:after="0"/>
              <w:rPr>
                <w:sz w:val="18"/>
                <w:szCs w:val="18"/>
                <w:color w:val="auto"/>
              </w:rPr>
            </w:pPr>
          </w:p>
        </w:tc>
      </w:tr>
      <w:tr>
        <w:trPr>
          <w:trHeight w:val="211"/>
        </w:trPr>
        <w:tc>
          <w:tcPr>
            <w:tcW w:w="1300" w:type="dxa"/>
            <w:vAlign w:val="bottom"/>
          </w:tcPr>
          <w:p>
            <w:pPr>
              <w:spacing w:after="0"/>
              <w:rPr>
                <w:sz w:val="20"/>
                <w:szCs w:val="20"/>
                <w:color w:val="auto"/>
              </w:rPr>
            </w:pPr>
            <w:r>
              <w:rPr>
                <w:rFonts w:ascii="Arial" w:cs="Arial" w:eastAsia="Arial" w:hAnsi="Arial"/>
                <w:sz w:val="18"/>
                <w:szCs w:val="18"/>
                <w:color w:val="auto"/>
              </w:rPr>
              <w:t>10.6 *</w:t>
            </w:r>
          </w:p>
        </w:tc>
        <w:tc>
          <w:tcPr>
            <w:tcW w:w="1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Form of Option Agreement under VistaGen’s 2008 Stock Incentive Plan.</w:t>
            </w:r>
          </w:p>
        </w:tc>
        <w:tc>
          <w:tcPr>
            <w:tcW w:w="20" w:type="dxa"/>
            <w:vAlign w:val="bottom"/>
          </w:tcPr>
          <w:p>
            <w:pPr>
              <w:spacing w:after="0"/>
              <w:rPr>
                <w:sz w:val="18"/>
                <w:szCs w:val="18"/>
                <w:color w:val="auto"/>
              </w:rPr>
            </w:pPr>
          </w:p>
        </w:tc>
      </w:tr>
      <w:tr>
        <w:trPr>
          <w:trHeight w:val="211"/>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10.20 *</w:t>
            </w:r>
          </w:p>
        </w:tc>
        <w:tc>
          <w:tcPr>
            <w:tcW w:w="12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Strategic Development Services Agreement, dated February 26, 2007, by and between VistaGen and Cato Research Ltd.</w:t>
            </w:r>
          </w:p>
        </w:tc>
        <w:tc>
          <w:tcPr>
            <w:tcW w:w="20" w:type="dxa"/>
            <w:vAlign w:val="bottom"/>
          </w:tcPr>
          <w:p>
            <w:pPr>
              <w:spacing w:after="0"/>
              <w:rPr>
                <w:sz w:val="18"/>
                <w:szCs w:val="18"/>
                <w:color w:val="auto"/>
              </w:rPr>
            </w:pPr>
          </w:p>
        </w:tc>
      </w:tr>
      <w:tr>
        <w:trPr>
          <w:trHeight w:val="198"/>
        </w:trPr>
        <w:tc>
          <w:tcPr>
            <w:tcW w:w="1300" w:type="dxa"/>
            <w:vAlign w:val="bottom"/>
          </w:tcPr>
          <w:p>
            <w:pPr>
              <w:spacing w:after="0" w:line="198" w:lineRule="exact"/>
              <w:rPr>
                <w:sz w:val="20"/>
                <w:szCs w:val="20"/>
                <w:color w:val="auto"/>
              </w:rPr>
            </w:pPr>
            <w:r>
              <w:rPr>
                <w:rFonts w:ascii="Arial" w:cs="Arial" w:eastAsia="Arial" w:hAnsi="Arial"/>
                <w:sz w:val="18"/>
                <w:szCs w:val="18"/>
                <w:color w:val="auto"/>
              </w:rPr>
              <w:t>10.21 *</w:t>
            </w:r>
          </w:p>
        </w:tc>
        <w:tc>
          <w:tcPr>
            <w:tcW w:w="120" w:type="dxa"/>
            <w:vAlign w:val="bottom"/>
          </w:tcPr>
          <w:p>
            <w:pPr>
              <w:spacing w:after="0"/>
              <w:rPr>
                <w:sz w:val="17"/>
                <w:szCs w:val="17"/>
                <w:color w:val="auto"/>
              </w:rPr>
            </w:pPr>
          </w:p>
        </w:tc>
        <w:tc>
          <w:tcPr>
            <w:tcW w:w="10000" w:type="dxa"/>
            <w:vAlign w:val="bottom"/>
          </w:tcPr>
          <w:p>
            <w:pPr>
              <w:spacing w:after="0" w:line="198" w:lineRule="exact"/>
              <w:rPr>
                <w:sz w:val="20"/>
                <w:szCs w:val="20"/>
                <w:color w:val="auto"/>
              </w:rPr>
            </w:pPr>
            <w:r>
              <w:rPr>
                <w:rFonts w:ascii="Arial" w:cs="Arial" w:eastAsia="Arial" w:hAnsi="Arial"/>
                <w:sz w:val="18"/>
                <w:szCs w:val="18"/>
                <w:color w:val="auto"/>
                <w:w w:val="89"/>
              </w:rPr>
              <w:t>License Agreement by and between National Jewish Medical and Research Center and VistaGen, dated July 12, 1999, as amended by that</w:t>
            </w:r>
          </w:p>
        </w:tc>
        <w:tc>
          <w:tcPr>
            <w:tcW w:w="20" w:type="dxa"/>
            <w:vAlign w:val="bottom"/>
          </w:tcPr>
          <w:p>
            <w:pPr>
              <w:spacing w:after="0"/>
              <w:rPr>
                <w:sz w:val="17"/>
                <w:szCs w:val="17"/>
                <w:color w:val="auto"/>
              </w:rPr>
            </w:pPr>
          </w:p>
        </w:tc>
      </w:tr>
      <w:tr>
        <w:trPr>
          <w:trHeight w:val="211"/>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0"/>
              </w:rPr>
              <w:t>certain Amendment to License Agreement dated January 25, 2001, as amended by that certain Second Amendment to License Agreement</w:t>
            </w:r>
          </w:p>
        </w:tc>
      </w:tr>
      <w:tr>
        <w:trPr>
          <w:trHeight w:val="211"/>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88"/>
              </w:rPr>
              <w:t>dated November 6, 2002, as amended by that certain Third Amendment to License Agreement dated March 1, 2003, and as amended by that</w:t>
            </w:r>
          </w:p>
        </w:tc>
      </w:tr>
      <w:tr>
        <w:trPr>
          <w:trHeight w:val="222"/>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certain Fourth Amendment to License Agreement dated April 15, 2010.</w:t>
            </w:r>
          </w:p>
        </w:tc>
      </w:tr>
      <w:tr>
        <w:trPr>
          <w:trHeight w:val="211"/>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10.22 *</w:t>
            </w:r>
          </w:p>
        </w:tc>
        <w:tc>
          <w:tcPr>
            <w:tcW w:w="12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w w:val="93"/>
              </w:rPr>
              <w:t>License Agreement by and between Mount Sinai School of Medicine of New York University and the Company, dated October 1, 2004.</w:t>
            </w:r>
          </w:p>
        </w:tc>
        <w:tc>
          <w:tcPr>
            <w:tcW w:w="20" w:type="dxa"/>
            <w:vAlign w:val="bottom"/>
          </w:tcPr>
          <w:p>
            <w:pPr>
              <w:spacing w:after="0"/>
              <w:rPr>
                <w:sz w:val="18"/>
                <w:szCs w:val="18"/>
                <w:color w:val="auto"/>
              </w:rPr>
            </w:pPr>
          </w:p>
        </w:tc>
      </w:tr>
      <w:tr>
        <w:trPr>
          <w:trHeight w:val="198"/>
        </w:trPr>
        <w:tc>
          <w:tcPr>
            <w:tcW w:w="1300" w:type="dxa"/>
            <w:vAlign w:val="bottom"/>
          </w:tcPr>
          <w:p>
            <w:pPr>
              <w:spacing w:after="0" w:line="198" w:lineRule="exact"/>
              <w:rPr>
                <w:sz w:val="20"/>
                <w:szCs w:val="20"/>
                <w:color w:val="auto"/>
              </w:rPr>
            </w:pPr>
            <w:r>
              <w:rPr>
                <w:rFonts w:ascii="Arial" w:cs="Arial" w:eastAsia="Arial" w:hAnsi="Arial"/>
                <w:sz w:val="18"/>
                <w:szCs w:val="18"/>
                <w:color w:val="auto"/>
              </w:rPr>
              <w:t>10.23 *</w:t>
            </w:r>
          </w:p>
        </w:tc>
        <w:tc>
          <w:tcPr>
            <w:tcW w:w="120" w:type="dxa"/>
            <w:vAlign w:val="bottom"/>
          </w:tcPr>
          <w:p>
            <w:pPr>
              <w:spacing w:after="0"/>
              <w:rPr>
                <w:sz w:val="17"/>
                <w:szCs w:val="17"/>
                <w:color w:val="auto"/>
              </w:rPr>
            </w:pPr>
          </w:p>
        </w:tc>
        <w:tc>
          <w:tcPr>
            <w:tcW w:w="10000" w:type="dxa"/>
            <w:vAlign w:val="bottom"/>
          </w:tcPr>
          <w:p>
            <w:pPr>
              <w:spacing w:after="0" w:line="198" w:lineRule="exact"/>
              <w:rPr>
                <w:sz w:val="20"/>
                <w:szCs w:val="20"/>
                <w:color w:val="auto"/>
              </w:rPr>
            </w:pPr>
            <w:r>
              <w:rPr>
                <w:rFonts w:ascii="Arial" w:cs="Arial" w:eastAsia="Arial" w:hAnsi="Arial"/>
                <w:sz w:val="18"/>
                <w:szCs w:val="18"/>
                <w:color w:val="auto"/>
                <w:w w:val="91"/>
              </w:rPr>
              <w:t>Non-Exclusive License Agreement, dated December 5, 2008, by and between VistaGen and Wisconsin Alumni Research Foundation, as</w:t>
            </w:r>
          </w:p>
        </w:tc>
        <w:tc>
          <w:tcPr>
            <w:tcW w:w="20" w:type="dxa"/>
            <w:vAlign w:val="bottom"/>
          </w:tcPr>
          <w:p>
            <w:pPr>
              <w:spacing w:after="0"/>
              <w:rPr>
                <w:sz w:val="17"/>
                <w:szCs w:val="17"/>
                <w:color w:val="auto"/>
              </w:rPr>
            </w:pPr>
          </w:p>
        </w:tc>
      </w:tr>
      <w:tr>
        <w:trPr>
          <w:trHeight w:val="222"/>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amended by that certain Wisconsin Materials Addendum, dated February 2, 2009.</w:t>
            </w:r>
          </w:p>
        </w:tc>
      </w:tr>
      <w:tr>
        <w:trPr>
          <w:trHeight w:val="199"/>
        </w:trPr>
        <w:tc>
          <w:tcPr>
            <w:tcW w:w="13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10.24 *</w:t>
            </w:r>
          </w:p>
        </w:tc>
        <w:tc>
          <w:tcPr>
            <w:tcW w:w="120" w:type="dxa"/>
            <w:vAlign w:val="bottom"/>
            <w:shd w:val="clear" w:color="auto" w:fill="CCEEFF"/>
          </w:tcPr>
          <w:p>
            <w:pPr>
              <w:spacing w:after="0"/>
              <w:rPr>
                <w:sz w:val="17"/>
                <w:szCs w:val="17"/>
                <w:color w:val="auto"/>
              </w:rPr>
            </w:pPr>
          </w:p>
        </w:tc>
        <w:tc>
          <w:tcPr>
            <w:tcW w:w="100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88"/>
              </w:rPr>
              <w:t>Sponsored Research Collaboration Agreement, dated September 18, 2007, between VistaGen and University Health Network, as amended by</w:t>
            </w:r>
          </w:p>
        </w:tc>
        <w:tc>
          <w:tcPr>
            <w:tcW w:w="20" w:type="dxa"/>
            <w:vAlign w:val="bottom"/>
          </w:tcPr>
          <w:p>
            <w:pPr>
              <w:spacing w:after="0"/>
              <w:rPr>
                <w:sz w:val="17"/>
                <w:szCs w:val="17"/>
                <w:color w:val="auto"/>
              </w:rPr>
            </w:pPr>
          </w:p>
        </w:tc>
      </w:tr>
      <w:tr>
        <w:trPr>
          <w:trHeight w:val="223"/>
        </w:trPr>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that certain Amendment No. 1 and Amendment No. 2, dated April 19, 2010 and December 15, 2010, respectively.</w:t>
            </w:r>
          </w:p>
        </w:tc>
        <w:tc>
          <w:tcPr>
            <w:tcW w:w="20" w:type="dxa"/>
            <w:vAlign w:val="bottom"/>
          </w:tcPr>
          <w:p>
            <w:pPr>
              <w:spacing w:after="0"/>
              <w:rPr>
                <w:sz w:val="19"/>
                <w:szCs w:val="19"/>
                <w:color w:val="auto"/>
              </w:rPr>
            </w:pPr>
          </w:p>
        </w:tc>
      </w:tr>
      <w:tr>
        <w:trPr>
          <w:trHeight w:val="198"/>
        </w:trPr>
        <w:tc>
          <w:tcPr>
            <w:tcW w:w="1300" w:type="dxa"/>
            <w:vAlign w:val="bottom"/>
          </w:tcPr>
          <w:p>
            <w:pPr>
              <w:spacing w:after="0" w:line="198" w:lineRule="exact"/>
              <w:rPr>
                <w:sz w:val="20"/>
                <w:szCs w:val="20"/>
                <w:color w:val="auto"/>
              </w:rPr>
            </w:pPr>
            <w:r>
              <w:rPr>
                <w:rFonts w:ascii="Arial" w:cs="Arial" w:eastAsia="Arial" w:hAnsi="Arial"/>
                <w:sz w:val="18"/>
                <w:szCs w:val="18"/>
                <w:color w:val="auto"/>
              </w:rPr>
              <w:t>10.26 *</w:t>
            </w:r>
          </w:p>
        </w:tc>
        <w:tc>
          <w:tcPr>
            <w:tcW w:w="120" w:type="dxa"/>
            <w:vAlign w:val="bottom"/>
          </w:tcPr>
          <w:p>
            <w:pPr>
              <w:spacing w:after="0"/>
              <w:rPr>
                <w:sz w:val="17"/>
                <w:szCs w:val="17"/>
                <w:color w:val="auto"/>
              </w:rPr>
            </w:pPr>
          </w:p>
        </w:tc>
        <w:tc>
          <w:tcPr>
            <w:tcW w:w="10000" w:type="dxa"/>
            <w:vAlign w:val="bottom"/>
          </w:tcPr>
          <w:p>
            <w:pPr>
              <w:spacing w:after="0" w:line="198" w:lineRule="exact"/>
              <w:rPr>
                <w:sz w:val="20"/>
                <w:szCs w:val="20"/>
                <w:color w:val="auto"/>
              </w:rPr>
            </w:pPr>
            <w:r>
              <w:rPr>
                <w:rFonts w:ascii="Arial" w:cs="Arial" w:eastAsia="Arial" w:hAnsi="Arial"/>
                <w:sz w:val="18"/>
                <w:szCs w:val="18"/>
                <w:color w:val="auto"/>
                <w:w w:val="93"/>
              </w:rPr>
              <w:t>License Agreement, dated October 24, 2001, by and between the University of Maryland, Baltimore, Cornell Research Foundation and</w:t>
            </w:r>
          </w:p>
        </w:tc>
        <w:tc>
          <w:tcPr>
            <w:tcW w:w="20" w:type="dxa"/>
            <w:vAlign w:val="bottom"/>
          </w:tcPr>
          <w:p>
            <w:pPr>
              <w:spacing w:after="0"/>
              <w:rPr>
                <w:sz w:val="17"/>
                <w:szCs w:val="17"/>
                <w:color w:val="auto"/>
              </w:rPr>
            </w:pPr>
          </w:p>
        </w:tc>
      </w:tr>
      <w:tr>
        <w:trPr>
          <w:trHeight w:val="222"/>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Artemis Neuroscience, Inc.</w:t>
            </w:r>
          </w:p>
        </w:tc>
      </w:tr>
      <w:tr>
        <w:trPr>
          <w:trHeight w:val="211"/>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10.27 *</w:t>
            </w:r>
          </w:p>
        </w:tc>
        <w:tc>
          <w:tcPr>
            <w:tcW w:w="12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Non-exclusive License Agreement, dated September 1, 2010, by and between VistaGen and TET Systems GmbH &amp; Co. KG.</w:t>
            </w:r>
          </w:p>
        </w:tc>
        <w:tc>
          <w:tcPr>
            <w:tcW w:w="20" w:type="dxa"/>
            <w:vAlign w:val="bottom"/>
          </w:tcPr>
          <w:p>
            <w:pPr>
              <w:spacing w:after="0"/>
              <w:rPr>
                <w:sz w:val="18"/>
                <w:szCs w:val="18"/>
                <w:color w:val="auto"/>
              </w:rPr>
            </w:pPr>
          </w:p>
        </w:tc>
      </w:tr>
      <w:tr>
        <w:trPr>
          <w:trHeight w:val="211"/>
        </w:trPr>
        <w:tc>
          <w:tcPr>
            <w:tcW w:w="1300" w:type="dxa"/>
            <w:vAlign w:val="bottom"/>
          </w:tcPr>
          <w:p>
            <w:pPr>
              <w:spacing w:after="0"/>
              <w:rPr>
                <w:sz w:val="20"/>
                <w:szCs w:val="20"/>
                <w:color w:val="auto"/>
              </w:rPr>
            </w:pPr>
            <w:r>
              <w:rPr>
                <w:rFonts w:ascii="Arial" w:cs="Arial" w:eastAsia="Arial" w:hAnsi="Arial"/>
                <w:sz w:val="18"/>
                <w:szCs w:val="18"/>
                <w:color w:val="auto"/>
              </w:rPr>
              <w:t>10.31 *</w:t>
            </w:r>
          </w:p>
        </w:tc>
        <w:tc>
          <w:tcPr>
            <w:tcW w:w="1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Unsecured Promissory Note dated April 28, 2011 issued by VistaGen to Desjardins Securities.</w:t>
            </w:r>
          </w:p>
        </w:tc>
        <w:tc>
          <w:tcPr>
            <w:tcW w:w="20" w:type="dxa"/>
            <w:vAlign w:val="bottom"/>
          </w:tcPr>
          <w:p>
            <w:pPr>
              <w:spacing w:after="0"/>
              <w:rPr>
                <w:sz w:val="18"/>
                <w:szCs w:val="18"/>
                <w:color w:val="auto"/>
              </w:rPr>
            </w:pPr>
          </w:p>
        </w:tc>
      </w:tr>
      <w:tr>
        <w:trPr>
          <w:trHeight w:val="211"/>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10.32 *</w:t>
            </w:r>
          </w:p>
        </w:tc>
        <w:tc>
          <w:tcPr>
            <w:tcW w:w="12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Unsecured Promissory Note dated April 28, 2011 issued by VistaGen to McCarthy Tetrault LLP.</w:t>
            </w:r>
          </w:p>
        </w:tc>
        <w:tc>
          <w:tcPr>
            <w:tcW w:w="20" w:type="dxa"/>
            <w:vAlign w:val="bottom"/>
          </w:tcPr>
          <w:p>
            <w:pPr>
              <w:spacing w:after="0"/>
              <w:rPr>
                <w:sz w:val="18"/>
                <w:szCs w:val="18"/>
                <w:color w:val="auto"/>
              </w:rPr>
            </w:pP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10.34 *</w:t>
            </w:r>
          </w:p>
        </w:tc>
        <w:tc>
          <w:tcPr>
            <w:tcW w:w="1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Promissory Note dated February 25, 2010 issued by VistaGen to The Regents of the University of California.</w:t>
            </w:r>
          </w:p>
        </w:tc>
        <w:tc>
          <w:tcPr>
            <w:tcW w:w="20" w:type="dxa"/>
            <w:vAlign w:val="bottom"/>
          </w:tcPr>
          <w:p>
            <w:pPr>
              <w:spacing w:after="0"/>
              <w:rPr>
                <w:sz w:val="19"/>
                <w:szCs w:val="19"/>
                <w:color w:val="auto"/>
              </w:rPr>
            </w:pPr>
          </w:p>
        </w:tc>
      </w:tr>
      <w:tr>
        <w:trPr>
          <w:trHeight w:val="580"/>
        </w:trPr>
        <w:tc>
          <w:tcPr>
            <w:tcW w:w="1300" w:type="dxa"/>
            <w:vAlign w:val="bottom"/>
          </w:tcPr>
          <w:p>
            <w:pPr>
              <w:spacing w:after="0"/>
              <w:rPr>
                <w:sz w:val="24"/>
                <w:szCs w:val="24"/>
                <w:color w:val="auto"/>
              </w:rPr>
            </w:pPr>
          </w:p>
        </w:tc>
        <w:tc>
          <w:tcPr>
            <w:tcW w:w="10120" w:type="dxa"/>
            <w:vAlign w:val="bottom"/>
            <w:gridSpan w:val="2"/>
          </w:tcPr>
          <w:p>
            <w:pPr>
              <w:jc w:val="right"/>
              <w:ind w:right="5432"/>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4"/>
                <w:szCs w:val="24"/>
                <w:color w:val="auto"/>
              </w:rPr>
            </w:pPr>
          </w:p>
        </w:tc>
      </w:tr>
      <w:tr>
        <w:trPr>
          <w:trHeight w:val="116"/>
        </w:trPr>
        <w:tc>
          <w:tcPr>
            <w:tcW w:w="13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rFonts w:ascii="Arial" w:cs="Arial" w:eastAsia="Arial" w:hAnsi="Arial"/>
                <w:sz w:val="16"/>
                <w:szCs w:val="16"/>
                <w:i w:val="1"/>
                <w:iCs w:val="1"/>
                <w:color w:val="0000EE"/>
                <w:w w:val="99"/>
              </w:rPr>
            </w:pPr>
            <w:hyperlink w:anchor="page2">
              <w:r>
                <w:rPr>
                  <w:rFonts w:ascii="Arial" w:cs="Arial" w:eastAsia="Arial" w:hAnsi="Arial"/>
                  <w:sz w:val="16"/>
                  <w:szCs w:val="16"/>
                  <w:i w:val="1"/>
                  <w:iCs w:val="1"/>
                  <w:color w:val="0000EE"/>
                  <w:w w:val="99"/>
                </w:rPr>
                <w:t>Table of Contents</w:t>
              </w:r>
            </w:hyperlink>
          </w:p>
        </w:tc>
        <w:tc>
          <w:tcPr>
            <w:tcW w:w="10140" w:type="dxa"/>
            <w:vAlign w:val="bottom"/>
          </w:tcPr>
          <w:p>
            <w:pPr>
              <w:spacing w:after="0"/>
              <w:rPr>
                <w:sz w:val="16"/>
                <w:szCs w:val="16"/>
                <w:color w:val="auto"/>
              </w:rPr>
            </w:pPr>
          </w:p>
        </w:tc>
      </w:tr>
      <w:tr>
        <w:trPr>
          <w:trHeight w:val="230"/>
        </w:trPr>
        <w:tc>
          <w:tcPr>
            <w:tcW w:w="112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spacing w:after="0"/>
              <w:rPr>
                <w:sz w:val="20"/>
                <w:szCs w:val="20"/>
                <w:color w:val="auto"/>
              </w:rPr>
            </w:pPr>
          </w:p>
        </w:tc>
      </w:tr>
      <w:tr>
        <w:trPr>
          <w:trHeight w:val="211"/>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10.40 *</w:t>
            </w:r>
          </w:p>
        </w:tc>
        <w:tc>
          <w:tcPr>
            <w:tcW w:w="160" w:type="dxa"/>
            <w:vAlign w:val="bottom"/>
            <w:shd w:val="clear" w:color="auto" w:fill="CCEEFF"/>
          </w:tcPr>
          <w:p>
            <w:pPr>
              <w:spacing w:after="0"/>
              <w:rPr>
                <w:sz w:val="18"/>
                <w:szCs w:val="18"/>
                <w:color w:val="auto"/>
              </w:rPr>
            </w:pPr>
          </w:p>
        </w:tc>
        <w:tc>
          <w:tcPr>
            <w:tcW w:w="10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Employment Agreement, by and between, VistaGen and Shawn K. Singh, dated April 28, 2010, as amended May 9, 2011.</w:t>
            </w:r>
          </w:p>
        </w:tc>
      </w:tr>
      <w:tr>
        <w:trPr>
          <w:trHeight w:val="211"/>
        </w:trPr>
        <w:tc>
          <w:tcPr>
            <w:tcW w:w="1120" w:type="dxa"/>
            <w:vAlign w:val="bottom"/>
          </w:tcPr>
          <w:p>
            <w:pPr>
              <w:spacing w:after="0"/>
              <w:rPr>
                <w:sz w:val="20"/>
                <w:szCs w:val="20"/>
                <w:color w:val="auto"/>
              </w:rPr>
            </w:pPr>
            <w:r>
              <w:rPr>
                <w:rFonts w:ascii="Arial" w:cs="Arial" w:eastAsia="Arial" w:hAnsi="Arial"/>
                <w:sz w:val="18"/>
                <w:szCs w:val="18"/>
                <w:color w:val="auto"/>
              </w:rPr>
              <w:t>10.41 *</w:t>
            </w:r>
          </w:p>
        </w:tc>
        <w:tc>
          <w:tcPr>
            <w:tcW w:w="160" w:type="dxa"/>
            <w:vAlign w:val="bottom"/>
          </w:tcPr>
          <w:p>
            <w:pPr>
              <w:spacing w:after="0"/>
              <w:rPr>
                <w:sz w:val="18"/>
                <w:szCs w:val="18"/>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w w:val="95"/>
              </w:rPr>
              <w:t>Employment Agreement, by and between, VistaGen and H. Ralph Snodgrass, PhD, dated April 28, 2010, as amended May 9, 2011.</w:t>
            </w:r>
          </w:p>
        </w:tc>
      </w:tr>
      <w:tr>
        <w:trPr>
          <w:trHeight w:val="198"/>
        </w:trPr>
        <w:tc>
          <w:tcPr>
            <w:tcW w:w="11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10.46</w:t>
            </w:r>
          </w:p>
        </w:tc>
        <w:tc>
          <w:tcPr>
            <w:tcW w:w="160" w:type="dxa"/>
            <w:vAlign w:val="bottom"/>
            <w:shd w:val="clear" w:color="auto" w:fill="CCEEFF"/>
          </w:tcPr>
          <w:p>
            <w:pPr>
              <w:spacing w:after="0"/>
              <w:rPr>
                <w:sz w:val="17"/>
                <w:szCs w:val="17"/>
                <w:color w:val="auto"/>
              </w:rPr>
            </w:pPr>
          </w:p>
        </w:tc>
        <w:tc>
          <w:tcPr>
            <w:tcW w:w="1014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w w:val="91"/>
              </w:rPr>
              <w:t>Notice of Award by National Institutes of Health, Small Business Innovation Research Program, to VistaGen Therapeutics, Inc. for project,</w:t>
            </w:r>
          </w:p>
        </w:tc>
      </w:tr>
      <w:tr>
        <w:trPr>
          <w:trHeight w:val="211"/>
        </w:trPr>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Clinical Development of 4-CI-KYN to Treat Pain dated June 22, 2009, with revisions dated July 19, 2010 and August 9, 2011, incorporated</w:t>
            </w:r>
          </w:p>
        </w:tc>
      </w:tr>
      <w:tr>
        <w:trPr>
          <w:trHeight w:val="223"/>
        </w:trPr>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by reference from Exhibit 10.46 to the Company’s Current Report on Form 8-K/A filed on December 20, 2011.</w:t>
            </w: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10.47</w:t>
            </w:r>
          </w:p>
        </w:tc>
        <w:tc>
          <w:tcPr>
            <w:tcW w:w="160" w:type="dxa"/>
            <w:vAlign w:val="bottom"/>
          </w:tcPr>
          <w:p>
            <w:pPr>
              <w:spacing w:after="0"/>
              <w:rPr>
                <w:sz w:val="17"/>
                <w:szCs w:val="17"/>
                <w:color w:val="auto"/>
              </w:rPr>
            </w:pPr>
          </w:p>
        </w:tc>
        <w:tc>
          <w:tcPr>
            <w:tcW w:w="10140" w:type="dxa"/>
            <w:vAlign w:val="bottom"/>
          </w:tcPr>
          <w:p>
            <w:pPr>
              <w:ind w:left="140"/>
              <w:spacing w:after="0" w:line="198" w:lineRule="exact"/>
              <w:rPr>
                <w:sz w:val="20"/>
                <w:szCs w:val="20"/>
                <w:color w:val="auto"/>
              </w:rPr>
            </w:pPr>
            <w:r>
              <w:rPr>
                <w:rFonts w:ascii="Arial" w:cs="Arial" w:eastAsia="Arial" w:hAnsi="Arial"/>
                <w:sz w:val="18"/>
                <w:szCs w:val="18"/>
                <w:color w:val="auto"/>
                <w:w w:val="92"/>
              </w:rPr>
              <w:t>Notice of Grant Award by California Institute of Regenerative Medicine and VistaGen Therapeutics, Inc.  for Project:  Development of an</w:t>
            </w:r>
          </w:p>
        </w:tc>
      </w:tr>
      <w:tr>
        <w:trPr>
          <w:trHeight w:val="211"/>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w w:val="94"/>
              </w:rPr>
              <w:t>hES Cell-Based Assay System for Hepatocyte Differentiation Studies and Predictive Toxicology Drug Screening, dated April 1, 2009,</w:t>
            </w:r>
          </w:p>
        </w:tc>
      </w:tr>
      <w:tr>
        <w:trPr>
          <w:trHeight w:val="223"/>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rPr>
              <w:t>incorporated by reference from Exhibit 10.47 to the Company’s Current Report on Form 8-K/A filed on December 20, 2011.</w:t>
            </w:r>
          </w:p>
        </w:tc>
      </w:tr>
      <w:tr>
        <w:trPr>
          <w:trHeight w:val="199"/>
        </w:trPr>
        <w:tc>
          <w:tcPr>
            <w:tcW w:w="1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10.48</w:t>
            </w:r>
          </w:p>
        </w:tc>
        <w:tc>
          <w:tcPr>
            <w:tcW w:w="160" w:type="dxa"/>
            <w:vAlign w:val="bottom"/>
            <w:shd w:val="clear" w:color="auto" w:fill="CCEEFF"/>
          </w:tcPr>
          <w:p>
            <w:pPr>
              <w:spacing w:after="0"/>
              <w:rPr>
                <w:sz w:val="17"/>
                <w:szCs w:val="17"/>
                <w:color w:val="auto"/>
              </w:rPr>
            </w:pPr>
          </w:p>
        </w:tc>
        <w:tc>
          <w:tcPr>
            <w:tcW w:w="1014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w w:val="92"/>
              </w:rPr>
              <w:t>Amendment No. 4, dated October 24, 2011, to Sponsored Research Collaboration Agreement between VistaGen and University Health</w:t>
            </w:r>
          </w:p>
        </w:tc>
      </w:tr>
      <w:tr>
        <w:trPr>
          <w:trHeight w:val="223"/>
        </w:trPr>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Network, incorporated by reference from Exhibit 10.2 to the Company’s Current Report on Form 8-K filed on November 30, 2011.</w:t>
            </w: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10.49</w:t>
            </w:r>
          </w:p>
        </w:tc>
        <w:tc>
          <w:tcPr>
            <w:tcW w:w="160" w:type="dxa"/>
            <w:vAlign w:val="bottom"/>
          </w:tcPr>
          <w:p>
            <w:pPr>
              <w:spacing w:after="0"/>
              <w:rPr>
                <w:sz w:val="17"/>
                <w:szCs w:val="17"/>
                <w:color w:val="auto"/>
              </w:rPr>
            </w:pPr>
          </w:p>
        </w:tc>
        <w:tc>
          <w:tcPr>
            <w:tcW w:w="10140" w:type="dxa"/>
            <w:vAlign w:val="bottom"/>
          </w:tcPr>
          <w:p>
            <w:pPr>
              <w:ind w:left="140"/>
              <w:spacing w:after="0" w:line="198" w:lineRule="exact"/>
              <w:rPr>
                <w:sz w:val="20"/>
                <w:szCs w:val="20"/>
                <w:color w:val="auto"/>
              </w:rPr>
            </w:pPr>
            <w:r>
              <w:rPr>
                <w:rFonts w:ascii="Arial" w:cs="Arial" w:eastAsia="Arial" w:hAnsi="Arial"/>
                <w:sz w:val="18"/>
                <w:szCs w:val="18"/>
                <w:color w:val="auto"/>
                <w:w w:val="88"/>
              </w:rPr>
              <w:t>License Agreement No. 1, dated as of October 24, 2011 between University Health Network and VistaGen Therapeutics, Inc., incorporated by</w:t>
            </w:r>
          </w:p>
        </w:tc>
      </w:tr>
      <w:tr>
        <w:trPr>
          <w:trHeight w:val="223"/>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rPr>
              <w:t>reference from Exhibit 10.1 to the Company’s Current Report on Form 8-K filed on November 30, 2011.</w:t>
            </w:r>
          </w:p>
        </w:tc>
      </w:tr>
      <w:tr>
        <w:trPr>
          <w:trHeight w:val="199"/>
        </w:trPr>
        <w:tc>
          <w:tcPr>
            <w:tcW w:w="1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7"/>
                <w:szCs w:val="17"/>
                <w:color w:val="auto"/>
              </w:rPr>
            </w:pPr>
          </w:p>
        </w:tc>
        <w:tc>
          <w:tcPr>
            <w:tcW w:w="1014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w w:val="89"/>
              </w:rPr>
              <w:t>Strategic Medicinal Chemistry Services Agreement, dated as of December 6, 2011, between Synterys, Inc. and VistaGen Therapeutics, Inc.,</w:t>
            </w:r>
          </w:p>
        </w:tc>
      </w:tr>
      <w:tr>
        <w:trPr>
          <w:trHeight w:val="223"/>
        </w:trPr>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incorporated by reference from Exhibit 10.1 to the Company’s Current Report on Form 8-K filed on December 7, 2011.</w:t>
            </w: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10.51</w:t>
            </w:r>
          </w:p>
        </w:tc>
        <w:tc>
          <w:tcPr>
            <w:tcW w:w="160" w:type="dxa"/>
            <w:vAlign w:val="bottom"/>
          </w:tcPr>
          <w:p>
            <w:pPr>
              <w:spacing w:after="0"/>
              <w:rPr>
                <w:sz w:val="17"/>
                <w:szCs w:val="17"/>
                <w:color w:val="auto"/>
              </w:rPr>
            </w:pPr>
          </w:p>
        </w:tc>
        <w:tc>
          <w:tcPr>
            <w:tcW w:w="10140" w:type="dxa"/>
            <w:vAlign w:val="bottom"/>
          </w:tcPr>
          <w:p>
            <w:pPr>
              <w:ind w:left="140"/>
              <w:spacing w:after="0" w:line="198" w:lineRule="exact"/>
              <w:rPr>
                <w:sz w:val="20"/>
                <w:szCs w:val="20"/>
                <w:color w:val="auto"/>
              </w:rPr>
            </w:pPr>
            <w:r>
              <w:rPr>
                <w:rFonts w:ascii="Arial" w:cs="Arial" w:eastAsia="Arial" w:hAnsi="Arial"/>
                <w:sz w:val="18"/>
                <w:szCs w:val="18"/>
                <w:color w:val="auto"/>
                <w:w w:val="94"/>
              </w:rPr>
              <w:t>Common Stock Exchange Agreement, dated as of December 22, 2011 between Platinum Long Term Growth VII, LLC and VistaGen</w:t>
            </w:r>
          </w:p>
        </w:tc>
      </w:tr>
      <w:tr>
        <w:trPr>
          <w:trHeight w:val="223"/>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w w:val="90"/>
              </w:rPr>
              <w:t>Therapeutics, Inc., incorporated by reference from Exhibit 10.1 to the Company’s Current Report on Form 8-K filed on December 23, 2011.</w:t>
            </w:r>
          </w:p>
        </w:tc>
      </w:tr>
      <w:tr>
        <w:trPr>
          <w:trHeight w:val="199"/>
        </w:trPr>
        <w:tc>
          <w:tcPr>
            <w:tcW w:w="1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10.52</w:t>
            </w:r>
          </w:p>
        </w:tc>
        <w:tc>
          <w:tcPr>
            <w:tcW w:w="160" w:type="dxa"/>
            <w:vAlign w:val="bottom"/>
            <w:shd w:val="clear" w:color="auto" w:fill="CCEEFF"/>
          </w:tcPr>
          <w:p>
            <w:pPr>
              <w:spacing w:after="0"/>
              <w:rPr>
                <w:sz w:val="17"/>
                <w:szCs w:val="17"/>
                <w:color w:val="auto"/>
              </w:rPr>
            </w:pPr>
          </w:p>
        </w:tc>
        <w:tc>
          <w:tcPr>
            <w:tcW w:w="1014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w w:val="93"/>
              </w:rPr>
              <w:t>Note and Warrant Exchange Agreement, dated as of December 28, 2011 between Platinum Long Term Growth VII, LLC and VistaGen</w:t>
            </w:r>
          </w:p>
        </w:tc>
      </w:tr>
      <w:tr>
        <w:trPr>
          <w:trHeight w:val="223"/>
        </w:trPr>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Therapeutics, Inc., incorporated by reference from Exhibit 10.1 to the Current Report on Form 8-K filed on January 4, 2012.</w:t>
            </w: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10.55</w:t>
            </w:r>
          </w:p>
        </w:tc>
        <w:tc>
          <w:tcPr>
            <w:tcW w:w="160" w:type="dxa"/>
            <w:vAlign w:val="bottom"/>
          </w:tcPr>
          <w:p>
            <w:pPr>
              <w:spacing w:after="0"/>
              <w:rPr>
                <w:sz w:val="17"/>
                <w:szCs w:val="17"/>
                <w:color w:val="auto"/>
              </w:rPr>
            </w:pPr>
          </w:p>
        </w:tc>
        <w:tc>
          <w:tcPr>
            <w:tcW w:w="10140" w:type="dxa"/>
            <w:vAlign w:val="bottom"/>
          </w:tcPr>
          <w:p>
            <w:pPr>
              <w:ind w:left="140"/>
              <w:spacing w:after="0" w:line="198" w:lineRule="exact"/>
              <w:rPr>
                <w:sz w:val="20"/>
                <w:szCs w:val="20"/>
                <w:color w:val="auto"/>
              </w:rPr>
            </w:pPr>
            <w:r>
              <w:rPr>
                <w:rFonts w:ascii="Arial" w:cs="Arial" w:eastAsia="Arial" w:hAnsi="Arial"/>
                <w:sz w:val="18"/>
                <w:szCs w:val="18"/>
                <w:color w:val="auto"/>
                <w:w w:val="89"/>
              </w:rPr>
              <w:t>Form of Warrant to Purchase Common Stock, dated as of February 28, 2012, incorporated by reference from Exhibit 10.3 to the Company’s</w:t>
            </w:r>
          </w:p>
        </w:tc>
      </w:tr>
      <w:tr>
        <w:trPr>
          <w:trHeight w:val="223"/>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rPr>
              <w:t>Current Report on Form 8-K filed on March 2, 2012.</w:t>
            </w:r>
          </w:p>
        </w:tc>
      </w:tr>
      <w:tr>
        <w:trPr>
          <w:trHeight w:val="199"/>
        </w:trPr>
        <w:tc>
          <w:tcPr>
            <w:tcW w:w="1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10.57</w:t>
            </w:r>
          </w:p>
        </w:tc>
        <w:tc>
          <w:tcPr>
            <w:tcW w:w="160" w:type="dxa"/>
            <w:vAlign w:val="bottom"/>
            <w:shd w:val="clear" w:color="auto" w:fill="CCEEFF"/>
          </w:tcPr>
          <w:p>
            <w:pPr>
              <w:spacing w:after="0"/>
              <w:rPr>
                <w:sz w:val="17"/>
                <w:szCs w:val="17"/>
                <w:color w:val="auto"/>
              </w:rPr>
            </w:pPr>
          </w:p>
        </w:tc>
        <w:tc>
          <w:tcPr>
            <w:tcW w:w="1014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w w:val="89"/>
              </w:rPr>
              <w:t>License Agreement No. 2, dated as of March 19, 2012 between University Health Network and VistaGen Therapeutics, Inc., incorporated by</w:t>
            </w:r>
          </w:p>
        </w:tc>
      </w:tr>
      <w:tr>
        <w:trPr>
          <w:trHeight w:val="223"/>
        </w:trPr>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reference from Exhibit 10.57 to the Company’s Annual Report on Form 10-K filed on July 2, 2012.</w:t>
            </w: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10.58</w:t>
            </w:r>
          </w:p>
        </w:tc>
        <w:tc>
          <w:tcPr>
            <w:tcW w:w="160" w:type="dxa"/>
            <w:vAlign w:val="bottom"/>
          </w:tcPr>
          <w:p>
            <w:pPr>
              <w:spacing w:after="0"/>
              <w:rPr>
                <w:sz w:val="17"/>
                <w:szCs w:val="17"/>
                <w:color w:val="auto"/>
              </w:rPr>
            </w:pPr>
          </w:p>
        </w:tc>
        <w:tc>
          <w:tcPr>
            <w:tcW w:w="10140" w:type="dxa"/>
            <w:vAlign w:val="bottom"/>
          </w:tcPr>
          <w:p>
            <w:pPr>
              <w:ind w:left="140"/>
              <w:spacing w:after="0" w:line="198" w:lineRule="exact"/>
              <w:rPr>
                <w:sz w:val="20"/>
                <w:szCs w:val="20"/>
                <w:color w:val="auto"/>
              </w:rPr>
            </w:pPr>
            <w:r>
              <w:rPr>
                <w:rFonts w:ascii="Arial" w:cs="Arial" w:eastAsia="Arial" w:hAnsi="Arial"/>
                <w:sz w:val="18"/>
                <w:szCs w:val="18"/>
                <w:color w:val="auto"/>
                <w:w w:val="97"/>
              </w:rPr>
              <w:t>Exchange Agreement dated as of June 29, 2012 between Platinum Long Term Growth VII, LLC and VistaGen Therapeutics. Inc.,</w:t>
            </w:r>
          </w:p>
        </w:tc>
      </w:tr>
      <w:tr>
        <w:trPr>
          <w:trHeight w:val="223"/>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rPr>
              <w:t>incorporated by reference from Exhibit 10.58 to the Company’s Annual Report on Form 10-K filed on July 2, 2012.</w:t>
            </w:r>
          </w:p>
        </w:tc>
      </w:tr>
      <w:tr>
        <w:trPr>
          <w:trHeight w:val="199"/>
        </w:trPr>
        <w:tc>
          <w:tcPr>
            <w:tcW w:w="1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10.63</w:t>
            </w:r>
          </w:p>
        </w:tc>
        <w:tc>
          <w:tcPr>
            <w:tcW w:w="160" w:type="dxa"/>
            <w:vAlign w:val="bottom"/>
            <w:shd w:val="clear" w:color="auto" w:fill="CCEEFF"/>
          </w:tcPr>
          <w:p>
            <w:pPr>
              <w:spacing w:after="0"/>
              <w:rPr>
                <w:sz w:val="17"/>
                <w:szCs w:val="17"/>
                <w:color w:val="auto"/>
              </w:rPr>
            </w:pPr>
          </w:p>
        </w:tc>
        <w:tc>
          <w:tcPr>
            <w:tcW w:w="1014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w w:val="89"/>
              </w:rPr>
              <w:t>Unsecured Promissory Note in the face amount of $1,000,000 issued to Morrison &amp; Foerster LLP on August 31, 2012 (Replacement Note A),</w:t>
            </w:r>
          </w:p>
        </w:tc>
      </w:tr>
      <w:tr>
        <w:trPr>
          <w:trHeight w:val="223"/>
        </w:trPr>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incorporated by reference from Exhibit 10.3 to the Company’s Current Report on Form 8-K filed on September 6, 2012.</w:t>
            </w: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10.64</w:t>
            </w:r>
          </w:p>
        </w:tc>
        <w:tc>
          <w:tcPr>
            <w:tcW w:w="160" w:type="dxa"/>
            <w:vAlign w:val="bottom"/>
          </w:tcPr>
          <w:p>
            <w:pPr>
              <w:spacing w:after="0"/>
              <w:rPr>
                <w:sz w:val="17"/>
                <w:szCs w:val="17"/>
                <w:color w:val="auto"/>
              </w:rPr>
            </w:pPr>
          </w:p>
        </w:tc>
        <w:tc>
          <w:tcPr>
            <w:tcW w:w="10140" w:type="dxa"/>
            <w:vAlign w:val="bottom"/>
          </w:tcPr>
          <w:p>
            <w:pPr>
              <w:ind w:left="140"/>
              <w:spacing w:after="0" w:line="198" w:lineRule="exact"/>
              <w:rPr>
                <w:sz w:val="20"/>
                <w:szCs w:val="20"/>
                <w:color w:val="auto"/>
              </w:rPr>
            </w:pPr>
            <w:r>
              <w:rPr>
                <w:rFonts w:ascii="Arial" w:cs="Arial" w:eastAsia="Arial" w:hAnsi="Arial"/>
                <w:sz w:val="18"/>
                <w:szCs w:val="18"/>
                <w:color w:val="auto"/>
                <w:w w:val="89"/>
              </w:rPr>
              <w:t>Unsecured Promissory Note in the face amount of $1,379,376 issued to Morrison &amp; Foerster LLP on August 31, 2012 (Replacement Note B),</w:t>
            </w:r>
          </w:p>
        </w:tc>
      </w:tr>
      <w:tr>
        <w:trPr>
          <w:trHeight w:val="223"/>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rPr>
              <w:t>incorporated by reference from Exhibit 10.4 to the Company’s Current Report on Form 8-K filed on September 6, 2012.</w:t>
            </w:r>
          </w:p>
        </w:tc>
      </w:tr>
      <w:tr>
        <w:trPr>
          <w:trHeight w:val="199"/>
        </w:trPr>
        <w:tc>
          <w:tcPr>
            <w:tcW w:w="1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10.65</w:t>
            </w:r>
          </w:p>
        </w:tc>
        <w:tc>
          <w:tcPr>
            <w:tcW w:w="160" w:type="dxa"/>
            <w:vAlign w:val="bottom"/>
            <w:shd w:val="clear" w:color="auto" w:fill="CCEEFF"/>
          </w:tcPr>
          <w:p>
            <w:pPr>
              <w:spacing w:after="0"/>
              <w:rPr>
                <w:sz w:val="17"/>
                <w:szCs w:val="17"/>
                <w:color w:val="auto"/>
              </w:rPr>
            </w:pPr>
          </w:p>
        </w:tc>
        <w:tc>
          <w:tcPr>
            <w:tcW w:w="1014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w w:val="91"/>
              </w:rPr>
              <w:t>Stock Purchase Warrant issued to Morrison &amp; Foerster LLP on August 31, 2012 to purchase 1,379,376 shares of the Company’s common</w:t>
            </w:r>
          </w:p>
        </w:tc>
      </w:tr>
      <w:tr>
        <w:trPr>
          <w:trHeight w:val="211"/>
        </w:trPr>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stock (New Morrison &amp; Foerster Warrant), incorporated by reference from Exhibit 10.5 to the Company’s Current Report on Form 8-K filed</w:t>
            </w:r>
          </w:p>
        </w:tc>
      </w:tr>
      <w:tr>
        <w:trPr>
          <w:trHeight w:val="223"/>
        </w:trPr>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 September 6, 2012.</w:t>
            </w: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10.66</w:t>
            </w:r>
          </w:p>
        </w:tc>
        <w:tc>
          <w:tcPr>
            <w:tcW w:w="160" w:type="dxa"/>
            <w:vAlign w:val="bottom"/>
          </w:tcPr>
          <w:p>
            <w:pPr>
              <w:spacing w:after="0"/>
              <w:rPr>
                <w:sz w:val="17"/>
                <w:szCs w:val="17"/>
                <w:color w:val="auto"/>
              </w:rPr>
            </w:pPr>
          </w:p>
        </w:tc>
        <w:tc>
          <w:tcPr>
            <w:tcW w:w="10140" w:type="dxa"/>
            <w:vAlign w:val="bottom"/>
          </w:tcPr>
          <w:p>
            <w:pPr>
              <w:ind w:left="140"/>
              <w:spacing w:after="0" w:line="198" w:lineRule="exact"/>
              <w:rPr>
                <w:sz w:val="20"/>
                <w:szCs w:val="20"/>
                <w:color w:val="auto"/>
              </w:rPr>
            </w:pPr>
            <w:r>
              <w:rPr>
                <w:rFonts w:ascii="Arial" w:cs="Arial" w:eastAsia="Arial" w:hAnsi="Arial"/>
                <w:sz w:val="18"/>
                <w:szCs w:val="18"/>
                <w:color w:val="auto"/>
                <w:w w:val="90"/>
              </w:rPr>
              <w:t>Warrant to Purchase Common Stock issued to Morrison &amp; Foerster LLP on August 31, 2012 to purchase 425,000 shares of the Company’s</w:t>
            </w:r>
          </w:p>
        </w:tc>
      </w:tr>
      <w:tr>
        <w:trPr>
          <w:trHeight w:val="211"/>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w w:val="91"/>
              </w:rPr>
              <w:t>common stock (Amended Morrison &amp; Foerster Warrant), incorporated by reference from Exhibit 10.6 to the Company’s Current Report on</w:t>
            </w:r>
          </w:p>
        </w:tc>
      </w:tr>
      <w:tr>
        <w:trPr>
          <w:trHeight w:val="223"/>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rPr>
              <w:t>Form 8-K filed on September 6, 2012.</w:t>
            </w:r>
          </w:p>
        </w:tc>
      </w:tr>
      <w:tr>
        <w:trPr>
          <w:trHeight w:val="199"/>
        </w:trPr>
        <w:tc>
          <w:tcPr>
            <w:tcW w:w="1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10.67</w:t>
            </w:r>
          </w:p>
        </w:tc>
        <w:tc>
          <w:tcPr>
            <w:tcW w:w="160" w:type="dxa"/>
            <w:vAlign w:val="bottom"/>
            <w:shd w:val="clear" w:color="auto" w:fill="CCEEFF"/>
          </w:tcPr>
          <w:p>
            <w:pPr>
              <w:spacing w:after="0"/>
              <w:rPr>
                <w:sz w:val="17"/>
                <w:szCs w:val="17"/>
                <w:color w:val="auto"/>
              </w:rPr>
            </w:pPr>
          </w:p>
        </w:tc>
        <w:tc>
          <w:tcPr>
            <w:tcW w:w="1014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w w:val="88"/>
              </w:rPr>
              <w:t>Note Exchange and Purchase Agreement dated as of October 11, 2012 by and between VistaGen Therapeutics, Inc. and Platinum Long Term</w:t>
            </w:r>
          </w:p>
        </w:tc>
      </w:tr>
      <w:tr>
        <w:trPr>
          <w:trHeight w:val="223"/>
        </w:trPr>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Growth VII, LLP, incorporated by reference from Exhibit 10.1 to the Company’s Current Report on Form 8-K filed on October 16, 2012.</w:t>
            </w: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10.68</w:t>
            </w:r>
          </w:p>
        </w:tc>
        <w:tc>
          <w:tcPr>
            <w:tcW w:w="160" w:type="dxa"/>
            <w:vAlign w:val="bottom"/>
          </w:tcPr>
          <w:p>
            <w:pPr>
              <w:spacing w:after="0"/>
              <w:rPr>
                <w:sz w:val="17"/>
                <w:szCs w:val="17"/>
                <w:color w:val="auto"/>
              </w:rPr>
            </w:pPr>
          </w:p>
        </w:tc>
        <w:tc>
          <w:tcPr>
            <w:tcW w:w="10140" w:type="dxa"/>
            <w:vAlign w:val="bottom"/>
          </w:tcPr>
          <w:p>
            <w:pPr>
              <w:ind w:left="140"/>
              <w:spacing w:after="0" w:line="198" w:lineRule="exact"/>
              <w:rPr>
                <w:sz w:val="20"/>
                <w:szCs w:val="20"/>
                <w:color w:val="auto"/>
              </w:rPr>
            </w:pPr>
            <w:r>
              <w:rPr>
                <w:rFonts w:ascii="Arial" w:cs="Arial" w:eastAsia="Arial" w:hAnsi="Arial"/>
                <w:sz w:val="18"/>
                <w:szCs w:val="18"/>
                <w:color w:val="auto"/>
                <w:w w:val="95"/>
              </w:rPr>
              <w:t>Form of Senior Secured Convertible Promissory Note issued to Platinum Long Term Growth VII, LLP under the Note Exchange and</w:t>
            </w:r>
          </w:p>
        </w:tc>
      </w:tr>
      <w:tr>
        <w:trPr>
          <w:trHeight w:val="223"/>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w w:val="89"/>
              </w:rPr>
              <w:t>Purchase Agreement, incorporated by reference from Exhibit 10.2 to the Company’s Current Report on Form 8-K filed on October 16, 2012.</w:t>
            </w:r>
          </w:p>
        </w:tc>
      </w:tr>
      <w:tr>
        <w:trPr>
          <w:trHeight w:val="199"/>
        </w:trPr>
        <w:tc>
          <w:tcPr>
            <w:tcW w:w="1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10.69</w:t>
            </w:r>
          </w:p>
        </w:tc>
        <w:tc>
          <w:tcPr>
            <w:tcW w:w="160" w:type="dxa"/>
            <w:vAlign w:val="bottom"/>
            <w:shd w:val="clear" w:color="auto" w:fill="CCEEFF"/>
          </w:tcPr>
          <w:p>
            <w:pPr>
              <w:spacing w:after="0"/>
              <w:rPr>
                <w:sz w:val="17"/>
                <w:szCs w:val="17"/>
                <w:color w:val="auto"/>
              </w:rPr>
            </w:pPr>
          </w:p>
        </w:tc>
        <w:tc>
          <w:tcPr>
            <w:tcW w:w="1014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w w:val="93"/>
              </w:rPr>
              <w:t>Form of Warrant to Purchase Shares of Common Stock issued to Platinum Long Term Growth VII, LLP under the Note Exchange and</w:t>
            </w:r>
          </w:p>
        </w:tc>
      </w:tr>
      <w:tr>
        <w:trPr>
          <w:trHeight w:val="223"/>
        </w:trPr>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Purchase Agreement, incorporated by reference from Exhibit 10.3 to the Company’s Current Report on Form 8-K filed on October 16,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2" w:name="page173"/>
    <w:bookmarkEnd w:id="17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84"/>
              </w:rPr>
              <w:t>10.70</w:t>
            </w:r>
          </w:p>
        </w:tc>
        <w:tc>
          <w:tcPr>
            <w:tcW w:w="105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Amended and Restated Security Agreement as of October 11, 2012 between VistaGen Therapeutics, Inc. and Platinum Long Term Growth</w:t>
            </w:r>
          </w:p>
        </w:tc>
      </w:tr>
      <w:tr>
        <w:trPr>
          <w:trHeight w:val="223"/>
        </w:trPr>
        <w:tc>
          <w:tcPr>
            <w:tcW w:w="900" w:type="dxa"/>
            <w:vAlign w:val="bottom"/>
            <w:shd w:val="clear" w:color="auto" w:fill="CCEEFF"/>
          </w:tcPr>
          <w:p>
            <w:pPr>
              <w:spacing w:after="0"/>
              <w:rPr>
                <w:sz w:val="19"/>
                <w:szCs w:val="19"/>
                <w:color w:val="auto"/>
              </w:rPr>
            </w:pPr>
          </w:p>
        </w:tc>
        <w:tc>
          <w:tcPr>
            <w:tcW w:w="105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VII, LLP, incorporated by reference from Exhibit 10.4 to the Company’s Current Report on Form 8-K filed on October 16, 2012.</w:t>
            </w:r>
          </w:p>
        </w:tc>
      </w:tr>
      <w:tr>
        <w:trPr>
          <w:trHeight w:val="198"/>
        </w:trPr>
        <w:tc>
          <w:tcPr>
            <w:tcW w:w="900" w:type="dxa"/>
            <w:vAlign w:val="bottom"/>
          </w:tcPr>
          <w:p>
            <w:pPr>
              <w:jc w:val="right"/>
              <w:ind w:right="412"/>
              <w:spacing w:after="0" w:line="198" w:lineRule="exact"/>
              <w:rPr>
                <w:sz w:val="20"/>
                <w:szCs w:val="20"/>
                <w:color w:val="auto"/>
              </w:rPr>
            </w:pPr>
            <w:r>
              <w:rPr>
                <w:rFonts w:ascii="Arial" w:cs="Arial" w:eastAsia="Arial" w:hAnsi="Arial"/>
                <w:sz w:val="18"/>
                <w:szCs w:val="18"/>
                <w:color w:val="auto"/>
                <w:w w:val="84"/>
              </w:rPr>
              <w:t>10.71</w:t>
            </w:r>
          </w:p>
        </w:tc>
        <w:tc>
          <w:tcPr>
            <w:tcW w:w="10520" w:type="dxa"/>
            <w:vAlign w:val="bottom"/>
          </w:tcPr>
          <w:p>
            <w:pPr>
              <w:ind w:left="520"/>
              <w:spacing w:after="0" w:line="198" w:lineRule="exact"/>
              <w:rPr>
                <w:sz w:val="20"/>
                <w:szCs w:val="20"/>
                <w:color w:val="auto"/>
              </w:rPr>
            </w:pPr>
            <w:r>
              <w:rPr>
                <w:rFonts w:ascii="Arial" w:cs="Arial" w:eastAsia="Arial" w:hAnsi="Arial"/>
                <w:sz w:val="18"/>
                <w:szCs w:val="18"/>
                <w:color w:val="auto"/>
                <w:w w:val="91"/>
              </w:rPr>
              <w:t>Intellectual Property Security and Stock Pledge Agreement as of October 11, 2012 between VistaGen California and Platinum Long Term</w:t>
            </w:r>
          </w:p>
        </w:tc>
      </w:tr>
      <w:tr>
        <w:trPr>
          <w:trHeight w:val="222"/>
        </w:trPr>
        <w:tc>
          <w:tcPr>
            <w:tcW w:w="900" w:type="dxa"/>
            <w:vAlign w:val="bottom"/>
          </w:tcPr>
          <w:p>
            <w:pPr>
              <w:spacing w:after="0"/>
              <w:rPr>
                <w:sz w:val="19"/>
                <w:szCs w:val="19"/>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w w:val="93"/>
              </w:rPr>
              <w:t>Growth VII, LLP, incorporated by reference from Exhibit 10.5 to the Company’s Current Report on Form 8-K filed on October 16, 2012.</w:t>
            </w:r>
          </w:p>
        </w:tc>
      </w:tr>
      <w:tr>
        <w:trPr>
          <w:trHeight w:val="199"/>
        </w:trPr>
        <w:tc>
          <w:tcPr>
            <w:tcW w:w="900" w:type="dxa"/>
            <w:vAlign w:val="bottom"/>
            <w:shd w:val="clear" w:color="auto" w:fill="CCEEFF"/>
          </w:tcPr>
          <w:p>
            <w:pPr>
              <w:jc w:val="right"/>
              <w:ind w:right="412"/>
              <w:spacing w:after="0" w:line="199" w:lineRule="exact"/>
              <w:rPr>
                <w:sz w:val="20"/>
                <w:szCs w:val="20"/>
                <w:color w:val="auto"/>
              </w:rPr>
            </w:pPr>
            <w:r>
              <w:rPr>
                <w:rFonts w:ascii="Arial" w:cs="Arial" w:eastAsia="Arial" w:hAnsi="Arial"/>
                <w:sz w:val="18"/>
                <w:szCs w:val="18"/>
                <w:color w:val="auto"/>
                <w:w w:val="84"/>
              </w:rPr>
              <w:t>10.72</w:t>
            </w:r>
          </w:p>
        </w:tc>
        <w:tc>
          <w:tcPr>
            <w:tcW w:w="10520" w:type="dxa"/>
            <w:vAlign w:val="bottom"/>
            <w:shd w:val="clear" w:color="auto" w:fill="CCEEFF"/>
          </w:tcPr>
          <w:p>
            <w:pPr>
              <w:ind w:left="520"/>
              <w:spacing w:after="0" w:line="199" w:lineRule="exact"/>
              <w:rPr>
                <w:sz w:val="20"/>
                <w:szCs w:val="20"/>
                <w:color w:val="auto"/>
              </w:rPr>
            </w:pPr>
            <w:r>
              <w:rPr>
                <w:rFonts w:ascii="Arial" w:cs="Arial" w:eastAsia="Arial" w:hAnsi="Arial"/>
                <w:sz w:val="18"/>
                <w:szCs w:val="18"/>
                <w:color w:val="auto"/>
                <w:w w:val="90"/>
              </w:rPr>
              <w:t>Negative Covenant Agreement dated October 11, 2012 between VistaGen California, Artemis Neuroscience, Inc. and Platinum Long Term</w:t>
            </w:r>
          </w:p>
        </w:tc>
      </w:tr>
      <w:tr>
        <w:trPr>
          <w:trHeight w:val="223"/>
        </w:trPr>
        <w:tc>
          <w:tcPr>
            <w:tcW w:w="900" w:type="dxa"/>
            <w:vAlign w:val="bottom"/>
            <w:shd w:val="clear" w:color="auto" w:fill="CCEEFF"/>
          </w:tcPr>
          <w:p>
            <w:pPr>
              <w:spacing w:after="0"/>
              <w:rPr>
                <w:sz w:val="19"/>
                <w:szCs w:val="19"/>
                <w:color w:val="auto"/>
              </w:rPr>
            </w:pPr>
          </w:p>
        </w:tc>
        <w:tc>
          <w:tcPr>
            <w:tcW w:w="105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Growth VII, LLP, incorporated by reference from Exhibit 10.6 to the Company’s Current Report on Form 8-K filed on October 16, 2012.</w:t>
            </w:r>
          </w:p>
        </w:tc>
      </w:tr>
      <w:tr>
        <w:trPr>
          <w:trHeight w:val="198"/>
        </w:trPr>
        <w:tc>
          <w:tcPr>
            <w:tcW w:w="900" w:type="dxa"/>
            <w:vAlign w:val="bottom"/>
          </w:tcPr>
          <w:p>
            <w:pPr>
              <w:jc w:val="right"/>
              <w:ind w:right="412"/>
              <w:spacing w:after="0" w:line="198" w:lineRule="exact"/>
              <w:rPr>
                <w:sz w:val="20"/>
                <w:szCs w:val="20"/>
                <w:color w:val="auto"/>
              </w:rPr>
            </w:pPr>
            <w:r>
              <w:rPr>
                <w:rFonts w:ascii="Arial" w:cs="Arial" w:eastAsia="Arial" w:hAnsi="Arial"/>
                <w:sz w:val="18"/>
                <w:szCs w:val="18"/>
                <w:color w:val="auto"/>
                <w:w w:val="84"/>
              </w:rPr>
              <w:t>10.73</w:t>
            </w:r>
          </w:p>
        </w:tc>
        <w:tc>
          <w:tcPr>
            <w:tcW w:w="10520" w:type="dxa"/>
            <w:vAlign w:val="bottom"/>
          </w:tcPr>
          <w:p>
            <w:pPr>
              <w:ind w:left="520"/>
              <w:spacing w:after="0" w:line="198" w:lineRule="exact"/>
              <w:rPr>
                <w:sz w:val="20"/>
                <w:szCs w:val="20"/>
                <w:color w:val="auto"/>
              </w:rPr>
            </w:pPr>
            <w:r>
              <w:rPr>
                <w:rFonts w:ascii="Arial" w:cs="Arial" w:eastAsia="Arial" w:hAnsi="Arial"/>
                <w:sz w:val="18"/>
                <w:szCs w:val="18"/>
                <w:color w:val="auto"/>
                <w:w w:val="89"/>
              </w:rPr>
              <w:t>Amendment to Note Exchange and Purchase Agreement as of November 14, 2012 between VistaGen Therapeutics Inc. and Platinum Long</w:t>
            </w:r>
          </w:p>
        </w:tc>
      </w:tr>
      <w:tr>
        <w:trPr>
          <w:trHeight w:val="211"/>
        </w:trPr>
        <w:tc>
          <w:tcPr>
            <w:tcW w:w="900" w:type="dxa"/>
            <w:vAlign w:val="bottom"/>
          </w:tcPr>
          <w:p>
            <w:pPr>
              <w:spacing w:after="0"/>
              <w:rPr>
                <w:sz w:val="18"/>
                <w:szCs w:val="18"/>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w w:val="92"/>
              </w:rPr>
              <w:t>Term Growth VII, LLP, incorporated by reference from Exhibit 10.1 to the Company’s Current Report on Form 8-K filed on November 20,</w:t>
            </w:r>
          </w:p>
        </w:tc>
      </w:tr>
      <w:tr>
        <w:trPr>
          <w:trHeight w:val="222"/>
        </w:trPr>
        <w:tc>
          <w:tcPr>
            <w:tcW w:w="900" w:type="dxa"/>
            <w:vAlign w:val="bottom"/>
          </w:tcPr>
          <w:p>
            <w:pPr>
              <w:spacing w:after="0"/>
              <w:rPr>
                <w:sz w:val="19"/>
                <w:szCs w:val="19"/>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rPr>
              <w:t>2012.</w:t>
            </w:r>
          </w:p>
        </w:tc>
      </w:tr>
      <w:tr>
        <w:trPr>
          <w:trHeight w:val="199"/>
        </w:trPr>
        <w:tc>
          <w:tcPr>
            <w:tcW w:w="900" w:type="dxa"/>
            <w:vAlign w:val="bottom"/>
            <w:shd w:val="clear" w:color="auto" w:fill="CCEEFF"/>
          </w:tcPr>
          <w:p>
            <w:pPr>
              <w:jc w:val="right"/>
              <w:ind w:right="412"/>
              <w:spacing w:after="0" w:line="199" w:lineRule="exact"/>
              <w:rPr>
                <w:sz w:val="20"/>
                <w:szCs w:val="20"/>
                <w:color w:val="auto"/>
              </w:rPr>
            </w:pPr>
            <w:r>
              <w:rPr>
                <w:rFonts w:ascii="Arial" w:cs="Arial" w:eastAsia="Arial" w:hAnsi="Arial"/>
                <w:sz w:val="18"/>
                <w:szCs w:val="18"/>
                <w:color w:val="auto"/>
                <w:w w:val="84"/>
              </w:rPr>
              <w:t>10.75</w:t>
            </w:r>
          </w:p>
        </w:tc>
        <w:tc>
          <w:tcPr>
            <w:tcW w:w="10520" w:type="dxa"/>
            <w:vAlign w:val="bottom"/>
            <w:shd w:val="clear" w:color="auto" w:fill="CCEEFF"/>
          </w:tcPr>
          <w:p>
            <w:pPr>
              <w:ind w:left="520"/>
              <w:spacing w:after="0" w:line="199" w:lineRule="exact"/>
              <w:rPr>
                <w:sz w:val="20"/>
                <w:szCs w:val="20"/>
                <w:color w:val="auto"/>
              </w:rPr>
            </w:pPr>
            <w:r>
              <w:rPr>
                <w:rFonts w:ascii="Arial" w:cs="Arial" w:eastAsia="Arial" w:hAnsi="Arial"/>
                <w:sz w:val="18"/>
                <w:szCs w:val="18"/>
                <w:color w:val="auto"/>
                <w:w w:val="87"/>
              </w:rPr>
              <w:t>Amendment No. 2 to Note Exchange and Purchase Agreement as of January 31, 2013 between VistaGen Therapeutics Inc. and Platinum Long</w:t>
            </w:r>
          </w:p>
        </w:tc>
      </w:tr>
      <w:tr>
        <w:trPr>
          <w:trHeight w:val="211"/>
        </w:trPr>
        <w:tc>
          <w:tcPr>
            <w:tcW w:w="900" w:type="dxa"/>
            <w:vAlign w:val="bottom"/>
            <w:shd w:val="clear" w:color="auto" w:fill="CCEEFF"/>
          </w:tcPr>
          <w:p>
            <w:pPr>
              <w:spacing w:after="0"/>
              <w:rPr>
                <w:sz w:val="18"/>
                <w:szCs w:val="18"/>
                <w:color w:val="auto"/>
              </w:rPr>
            </w:pPr>
          </w:p>
        </w:tc>
        <w:tc>
          <w:tcPr>
            <w:tcW w:w="105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Term Growth VII, LLP, incorporated by reference from Exhibit 10.1 to the Company’s Quarterly Report on Form 10-Q filed on February 14,</w:t>
            </w:r>
          </w:p>
        </w:tc>
      </w:tr>
      <w:tr>
        <w:trPr>
          <w:trHeight w:val="223"/>
        </w:trPr>
        <w:tc>
          <w:tcPr>
            <w:tcW w:w="900" w:type="dxa"/>
            <w:vAlign w:val="bottom"/>
            <w:shd w:val="clear" w:color="auto" w:fill="CCEEFF"/>
          </w:tcPr>
          <w:p>
            <w:pPr>
              <w:spacing w:after="0"/>
              <w:rPr>
                <w:sz w:val="19"/>
                <w:szCs w:val="19"/>
                <w:color w:val="auto"/>
              </w:rPr>
            </w:pPr>
          </w:p>
        </w:tc>
        <w:tc>
          <w:tcPr>
            <w:tcW w:w="10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2013.</w:t>
            </w:r>
          </w:p>
        </w:tc>
      </w:tr>
      <w:tr>
        <w:trPr>
          <w:trHeight w:val="198"/>
        </w:trPr>
        <w:tc>
          <w:tcPr>
            <w:tcW w:w="900" w:type="dxa"/>
            <w:vAlign w:val="bottom"/>
          </w:tcPr>
          <w:p>
            <w:pPr>
              <w:jc w:val="right"/>
              <w:ind w:right="412"/>
              <w:spacing w:after="0" w:line="198" w:lineRule="exact"/>
              <w:rPr>
                <w:sz w:val="20"/>
                <w:szCs w:val="20"/>
                <w:color w:val="auto"/>
              </w:rPr>
            </w:pPr>
            <w:r>
              <w:rPr>
                <w:rFonts w:ascii="Arial" w:cs="Arial" w:eastAsia="Arial" w:hAnsi="Arial"/>
                <w:sz w:val="18"/>
                <w:szCs w:val="18"/>
                <w:color w:val="auto"/>
                <w:w w:val="84"/>
              </w:rPr>
              <w:t>10.76</w:t>
            </w:r>
          </w:p>
        </w:tc>
        <w:tc>
          <w:tcPr>
            <w:tcW w:w="10520" w:type="dxa"/>
            <w:vAlign w:val="bottom"/>
          </w:tcPr>
          <w:p>
            <w:pPr>
              <w:ind w:left="520"/>
              <w:spacing w:after="0" w:line="198" w:lineRule="exact"/>
              <w:rPr>
                <w:sz w:val="20"/>
                <w:szCs w:val="20"/>
                <w:color w:val="auto"/>
              </w:rPr>
            </w:pPr>
            <w:r>
              <w:rPr>
                <w:rFonts w:ascii="Arial" w:cs="Arial" w:eastAsia="Arial" w:hAnsi="Arial"/>
                <w:sz w:val="18"/>
                <w:szCs w:val="18"/>
                <w:color w:val="auto"/>
                <w:w w:val="90"/>
              </w:rPr>
              <w:t>Amendment No. 3 to Note Exchange and Purchase Agreement as of February 22, 2013 between VistaGen Therapeutics Inc. and Platinum</w:t>
            </w:r>
          </w:p>
        </w:tc>
      </w:tr>
      <w:tr>
        <w:trPr>
          <w:trHeight w:val="211"/>
        </w:trPr>
        <w:tc>
          <w:tcPr>
            <w:tcW w:w="900" w:type="dxa"/>
            <w:vAlign w:val="bottom"/>
          </w:tcPr>
          <w:p>
            <w:pPr>
              <w:spacing w:after="0"/>
              <w:rPr>
                <w:sz w:val="18"/>
                <w:szCs w:val="18"/>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w w:val="91"/>
              </w:rPr>
              <w:t>Long Term Growth VII, LLP, incorporated by reference from Exhibit 10.1 to the Company’s Current Report on Form 8-K filed on February</w:t>
            </w:r>
          </w:p>
        </w:tc>
      </w:tr>
      <w:tr>
        <w:trPr>
          <w:trHeight w:val="222"/>
        </w:trPr>
        <w:tc>
          <w:tcPr>
            <w:tcW w:w="900" w:type="dxa"/>
            <w:vAlign w:val="bottom"/>
          </w:tcPr>
          <w:p>
            <w:pPr>
              <w:spacing w:after="0"/>
              <w:rPr>
                <w:sz w:val="19"/>
                <w:szCs w:val="19"/>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rPr>
              <w:t>28, 2013.</w:t>
            </w:r>
          </w:p>
        </w:tc>
      </w:tr>
      <w:tr>
        <w:trPr>
          <w:trHeight w:val="199"/>
        </w:trPr>
        <w:tc>
          <w:tcPr>
            <w:tcW w:w="900" w:type="dxa"/>
            <w:vAlign w:val="bottom"/>
            <w:shd w:val="clear" w:color="auto" w:fill="CCEEFF"/>
          </w:tcPr>
          <w:p>
            <w:pPr>
              <w:jc w:val="right"/>
              <w:ind w:right="412"/>
              <w:spacing w:after="0" w:line="199" w:lineRule="exact"/>
              <w:rPr>
                <w:sz w:val="20"/>
                <w:szCs w:val="20"/>
                <w:color w:val="auto"/>
              </w:rPr>
            </w:pPr>
            <w:r>
              <w:rPr>
                <w:rFonts w:ascii="Arial" w:cs="Arial" w:eastAsia="Arial" w:hAnsi="Arial"/>
                <w:sz w:val="18"/>
                <w:szCs w:val="18"/>
                <w:color w:val="auto"/>
                <w:w w:val="84"/>
              </w:rPr>
              <w:t>10.77</w:t>
            </w:r>
          </w:p>
        </w:tc>
        <w:tc>
          <w:tcPr>
            <w:tcW w:w="10520" w:type="dxa"/>
            <w:vAlign w:val="bottom"/>
            <w:shd w:val="clear" w:color="auto" w:fill="CCEEFF"/>
          </w:tcPr>
          <w:p>
            <w:pPr>
              <w:ind w:left="520"/>
              <w:spacing w:after="0" w:line="199" w:lineRule="exact"/>
              <w:rPr>
                <w:sz w:val="20"/>
                <w:szCs w:val="20"/>
                <w:color w:val="auto"/>
              </w:rPr>
            </w:pPr>
            <w:r>
              <w:rPr>
                <w:rFonts w:ascii="Arial" w:cs="Arial" w:eastAsia="Arial" w:hAnsi="Arial"/>
                <w:sz w:val="18"/>
                <w:szCs w:val="18"/>
                <w:color w:val="auto"/>
                <w:w w:val="89"/>
              </w:rPr>
              <w:t>Form of Warrant to Purchase Common Stock issued to independent members of the Company’s Board of Directors and its executive officers</w:t>
            </w:r>
          </w:p>
        </w:tc>
      </w:tr>
      <w:tr>
        <w:trPr>
          <w:trHeight w:val="223"/>
        </w:trPr>
        <w:tc>
          <w:tcPr>
            <w:tcW w:w="900" w:type="dxa"/>
            <w:vAlign w:val="bottom"/>
            <w:shd w:val="clear" w:color="auto" w:fill="CCEEFF"/>
          </w:tcPr>
          <w:p>
            <w:pPr>
              <w:spacing w:after="0"/>
              <w:rPr>
                <w:sz w:val="19"/>
                <w:szCs w:val="19"/>
                <w:color w:val="auto"/>
              </w:rPr>
            </w:pPr>
          </w:p>
        </w:tc>
        <w:tc>
          <w:tcPr>
            <w:tcW w:w="105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on March 3, 2013, incorporated by reference from Exhibit 10.1 to the Company’s Current Report on Form 8-K filed on March 6, 2013.</w:t>
            </w:r>
          </w:p>
        </w:tc>
      </w:tr>
      <w:tr>
        <w:trPr>
          <w:trHeight w:val="198"/>
        </w:trPr>
        <w:tc>
          <w:tcPr>
            <w:tcW w:w="900" w:type="dxa"/>
            <w:vAlign w:val="bottom"/>
          </w:tcPr>
          <w:p>
            <w:pPr>
              <w:jc w:val="right"/>
              <w:ind w:right="412"/>
              <w:spacing w:after="0" w:line="198" w:lineRule="exact"/>
              <w:rPr>
                <w:sz w:val="20"/>
                <w:szCs w:val="20"/>
                <w:color w:val="auto"/>
              </w:rPr>
            </w:pPr>
            <w:r>
              <w:rPr>
                <w:rFonts w:ascii="Arial" w:cs="Arial" w:eastAsia="Arial" w:hAnsi="Arial"/>
                <w:sz w:val="18"/>
                <w:szCs w:val="18"/>
                <w:color w:val="auto"/>
                <w:w w:val="84"/>
              </w:rPr>
              <w:t>10.78</w:t>
            </w:r>
          </w:p>
        </w:tc>
        <w:tc>
          <w:tcPr>
            <w:tcW w:w="10520" w:type="dxa"/>
            <w:vAlign w:val="bottom"/>
          </w:tcPr>
          <w:p>
            <w:pPr>
              <w:ind w:left="520"/>
              <w:spacing w:after="0" w:line="198" w:lineRule="exact"/>
              <w:rPr>
                <w:sz w:val="20"/>
                <w:szCs w:val="20"/>
                <w:color w:val="auto"/>
              </w:rPr>
            </w:pPr>
            <w:r>
              <w:rPr>
                <w:rFonts w:ascii="Arial" w:cs="Arial" w:eastAsia="Arial" w:hAnsi="Arial"/>
                <w:sz w:val="18"/>
                <w:szCs w:val="18"/>
                <w:color w:val="auto"/>
                <w:w w:val="90"/>
              </w:rPr>
              <w:t>Securities Purchase Agreement between VistaGen Therapeutics, Inc., and Autilion AG dated April 8, 2013, incorporated by reference from</w:t>
            </w:r>
          </w:p>
        </w:tc>
      </w:tr>
      <w:tr>
        <w:trPr>
          <w:trHeight w:val="222"/>
        </w:trPr>
        <w:tc>
          <w:tcPr>
            <w:tcW w:w="900" w:type="dxa"/>
            <w:vAlign w:val="bottom"/>
          </w:tcPr>
          <w:p>
            <w:pPr>
              <w:spacing w:after="0"/>
              <w:rPr>
                <w:sz w:val="19"/>
                <w:szCs w:val="19"/>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rPr>
              <w:t>Exhibit 10.1 to the Company’s Current Report on Form 8-K filed on April 10, 2013.</w:t>
            </w:r>
          </w:p>
        </w:tc>
      </w:tr>
      <w:tr>
        <w:trPr>
          <w:trHeight w:val="199"/>
        </w:trPr>
        <w:tc>
          <w:tcPr>
            <w:tcW w:w="900" w:type="dxa"/>
            <w:vAlign w:val="bottom"/>
            <w:shd w:val="clear" w:color="auto" w:fill="CCEEFF"/>
          </w:tcPr>
          <w:p>
            <w:pPr>
              <w:jc w:val="right"/>
              <w:ind w:right="412"/>
              <w:spacing w:after="0" w:line="199" w:lineRule="exact"/>
              <w:rPr>
                <w:sz w:val="20"/>
                <w:szCs w:val="20"/>
                <w:color w:val="auto"/>
              </w:rPr>
            </w:pPr>
            <w:r>
              <w:rPr>
                <w:rFonts w:ascii="Arial" w:cs="Arial" w:eastAsia="Arial" w:hAnsi="Arial"/>
                <w:sz w:val="18"/>
                <w:szCs w:val="18"/>
                <w:color w:val="auto"/>
                <w:w w:val="84"/>
              </w:rPr>
              <w:t>10.79</w:t>
            </w:r>
          </w:p>
        </w:tc>
        <w:tc>
          <w:tcPr>
            <w:tcW w:w="10520" w:type="dxa"/>
            <w:vAlign w:val="bottom"/>
            <w:shd w:val="clear" w:color="auto" w:fill="CCEEFF"/>
          </w:tcPr>
          <w:p>
            <w:pPr>
              <w:ind w:left="520"/>
              <w:spacing w:after="0" w:line="199" w:lineRule="exact"/>
              <w:rPr>
                <w:sz w:val="20"/>
                <w:szCs w:val="20"/>
                <w:color w:val="auto"/>
              </w:rPr>
            </w:pPr>
            <w:r>
              <w:rPr>
                <w:rFonts w:ascii="Arial" w:cs="Arial" w:eastAsia="Arial" w:hAnsi="Arial"/>
                <w:sz w:val="18"/>
                <w:szCs w:val="18"/>
                <w:color w:val="auto"/>
                <w:w w:val="89"/>
              </w:rPr>
              <w:t>Voting Agreement between VistaGen Therapeutics, Inc., and Autilion AG dated April 8, 2013, incorporated by reference from Exhibit 10.2 to</w:t>
            </w:r>
          </w:p>
        </w:tc>
      </w:tr>
      <w:tr>
        <w:trPr>
          <w:trHeight w:val="223"/>
        </w:trPr>
        <w:tc>
          <w:tcPr>
            <w:tcW w:w="900" w:type="dxa"/>
            <w:vAlign w:val="bottom"/>
            <w:shd w:val="clear" w:color="auto" w:fill="CCEEFF"/>
          </w:tcPr>
          <w:p>
            <w:pPr>
              <w:spacing w:after="0"/>
              <w:rPr>
                <w:sz w:val="19"/>
                <w:szCs w:val="19"/>
                <w:color w:val="auto"/>
              </w:rPr>
            </w:pPr>
          </w:p>
        </w:tc>
        <w:tc>
          <w:tcPr>
            <w:tcW w:w="10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the Company’s Current Report on Form 8-K filed on April 10, 2013.</w:t>
            </w:r>
          </w:p>
        </w:tc>
      </w:tr>
      <w:tr>
        <w:trPr>
          <w:trHeight w:val="198"/>
        </w:trPr>
        <w:tc>
          <w:tcPr>
            <w:tcW w:w="900" w:type="dxa"/>
            <w:vAlign w:val="bottom"/>
          </w:tcPr>
          <w:p>
            <w:pPr>
              <w:jc w:val="right"/>
              <w:ind w:right="412"/>
              <w:spacing w:after="0" w:line="198" w:lineRule="exact"/>
              <w:rPr>
                <w:sz w:val="20"/>
                <w:szCs w:val="20"/>
                <w:color w:val="auto"/>
              </w:rPr>
            </w:pPr>
            <w:r>
              <w:rPr>
                <w:rFonts w:ascii="Arial" w:cs="Arial" w:eastAsia="Arial" w:hAnsi="Arial"/>
                <w:sz w:val="18"/>
                <w:szCs w:val="18"/>
                <w:color w:val="auto"/>
                <w:w w:val="84"/>
              </w:rPr>
              <w:t>10.80</w:t>
            </w:r>
          </w:p>
        </w:tc>
        <w:tc>
          <w:tcPr>
            <w:tcW w:w="10520" w:type="dxa"/>
            <w:vAlign w:val="bottom"/>
          </w:tcPr>
          <w:p>
            <w:pPr>
              <w:ind w:left="520"/>
              <w:spacing w:after="0" w:line="198" w:lineRule="exact"/>
              <w:rPr>
                <w:sz w:val="20"/>
                <w:szCs w:val="20"/>
                <w:color w:val="auto"/>
              </w:rPr>
            </w:pPr>
            <w:r>
              <w:rPr>
                <w:rFonts w:ascii="Arial" w:cs="Arial" w:eastAsia="Arial" w:hAnsi="Arial"/>
                <w:sz w:val="18"/>
                <w:szCs w:val="18"/>
                <w:color w:val="auto"/>
                <w:w w:val="89"/>
              </w:rPr>
              <w:t>Note Conversion Agreement as of April 4, 2013 between VistaGen Therapeutics Inc. and Platinum Long Term Growth VII, LLP, incorporated</w:t>
            </w:r>
          </w:p>
        </w:tc>
      </w:tr>
      <w:tr>
        <w:trPr>
          <w:trHeight w:val="222"/>
        </w:trPr>
        <w:tc>
          <w:tcPr>
            <w:tcW w:w="900" w:type="dxa"/>
            <w:vAlign w:val="bottom"/>
          </w:tcPr>
          <w:p>
            <w:pPr>
              <w:spacing w:after="0"/>
              <w:rPr>
                <w:sz w:val="19"/>
                <w:szCs w:val="19"/>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rPr>
              <w:t>by reference from Exhibit 10.3 to the Company’s Current Report on Form 8-K filed on April 10, 2013.</w:t>
            </w:r>
          </w:p>
        </w:tc>
      </w:tr>
      <w:tr>
        <w:trPr>
          <w:trHeight w:val="199"/>
        </w:trPr>
        <w:tc>
          <w:tcPr>
            <w:tcW w:w="900" w:type="dxa"/>
            <w:vAlign w:val="bottom"/>
            <w:shd w:val="clear" w:color="auto" w:fill="CCEEFF"/>
          </w:tcPr>
          <w:p>
            <w:pPr>
              <w:jc w:val="right"/>
              <w:ind w:right="412"/>
              <w:spacing w:after="0" w:line="199" w:lineRule="exact"/>
              <w:rPr>
                <w:sz w:val="20"/>
                <w:szCs w:val="20"/>
                <w:color w:val="auto"/>
              </w:rPr>
            </w:pPr>
            <w:r>
              <w:rPr>
                <w:rFonts w:ascii="Arial" w:cs="Arial" w:eastAsia="Arial" w:hAnsi="Arial"/>
                <w:sz w:val="18"/>
                <w:szCs w:val="18"/>
                <w:color w:val="auto"/>
                <w:w w:val="84"/>
              </w:rPr>
              <w:t>10.81</w:t>
            </w:r>
          </w:p>
        </w:tc>
        <w:tc>
          <w:tcPr>
            <w:tcW w:w="10520" w:type="dxa"/>
            <w:vAlign w:val="bottom"/>
            <w:shd w:val="clear" w:color="auto" w:fill="CCEEFF"/>
          </w:tcPr>
          <w:p>
            <w:pPr>
              <w:ind w:left="520"/>
              <w:spacing w:after="0" w:line="199" w:lineRule="exact"/>
              <w:rPr>
                <w:sz w:val="20"/>
                <w:szCs w:val="20"/>
                <w:color w:val="auto"/>
              </w:rPr>
            </w:pPr>
            <w:r>
              <w:rPr>
                <w:rFonts w:ascii="Arial" w:cs="Arial" w:eastAsia="Arial" w:hAnsi="Arial"/>
                <w:sz w:val="18"/>
                <w:szCs w:val="18"/>
                <w:color w:val="auto"/>
                <w:w w:val="90"/>
              </w:rPr>
              <w:t>Assignment and Assumption Agreement between Autilion AG and Bergamo Acquisition Corp. PTE LTD dated April 12, 2013, incorporated</w:t>
            </w:r>
          </w:p>
        </w:tc>
      </w:tr>
      <w:tr>
        <w:trPr>
          <w:trHeight w:val="223"/>
        </w:trPr>
        <w:tc>
          <w:tcPr>
            <w:tcW w:w="900" w:type="dxa"/>
            <w:vAlign w:val="bottom"/>
            <w:shd w:val="clear" w:color="auto" w:fill="CCEEFF"/>
          </w:tcPr>
          <w:p>
            <w:pPr>
              <w:spacing w:after="0"/>
              <w:rPr>
                <w:sz w:val="19"/>
                <w:szCs w:val="19"/>
                <w:color w:val="auto"/>
              </w:rPr>
            </w:pPr>
          </w:p>
        </w:tc>
        <w:tc>
          <w:tcPr>
            <w:tcW w:w="10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by reference from Exhibit 10.81 to the Company’s Annual Report on Form 10-K filed July 18, 2013.</w:t>
            </w:r>
          </w:p>
        </w:tc>
      </w:tr>
      <w:tr>
        <w:trPr>
          <w:trHeight w:val="198"/>
        </w:trPr>
        <w:tc>
          <w:tcPr>
            <w:tcW w:w="900" w:type="dxa"/>
            <w:vAlign w:val="bottom"/>
          </w:tcPr>
          <w:p>
            <w:pPr>
              <w:jc w:val="right"/>
              <w:ind w:right="412"/>
              <w:spacing w:after="0" w:line="198" w:lineRule="exact"/>
              <w:rPr>
                <w:sz w:val="20"/>
                <w:szCs w:val="20"/>
                <w:color w:val="auto"/>
              </w:rPr>
            </w:pPr>
            <w:r>
              <w:rPr>
                <w:rFonts w:ascii="Arial" w:cs="Arial" w:eastAsia="Arial" w:hAnsi="Arial"/>
                <w:sz w:val="18"/>
                <w:szCs w:val="18"/>
                <w:color w:val="auto"/>
                <w:w w:val="84"/>
              </w:rPr>
              <w:t>10.82</w:t>
            </w:r>
          </w:p>
        </w:tc>
        <w:tc>
          <w:tcPr>
            <w:tcW w:w="10520" w:type="dxa"/>
            <w:vAlign w:val="bottom"/>
          </w:tcPr>
          <w:p>
            <w:pPr>
              <w:ind w:left="520"/>
              <w:spacing w:after="0" w:line="198" w:lineRule="exact"/>
              <w:rPr>
                <w:sz w:val="20"/>
                <w:szCs w:val="20"/>
                <w:color w:val="auto"/>
              </w:rPr>
            </w:pPr>
            <w:r>
              <w:rPr>
                <w:rFonts w:ascii="Arial" w:cs="Arial" w:eastAsia="Arial" w:hAnsi="Arial"/>
                <w:sz w:val="18"/>
                <w:szCs w:val="18"/>
                <w:color w:val="auto"/>
                <w:w w:val="91"/>
              </w:rPr>
              <w:t>Amendment No. 1 to Securities Purchase Agreement dated April 30, 2013 between VistaGen Therapeutics, Inc. and Bergamo Acquisition</w:t>
            </w:r>
          </w:p>
        </w:tc>
      </w:tr>
      <w:tr>
        <w:trPr>
          <w:trHeight w:val="222"/>
        </w:trPr>
        <w:tc>
          <w:tcPr>
            <w:tcW w:w="900" w:type="dxa"/>
            <w:vAlign w:val="bottom"/>
          </w:tcPr>
          <w:p>
            <w:pPr>
              <w:spacing w:after="0"/>
              <w:rPr>
                <w:sz w:val="19"/>
                <w:szCs w:val="19"/>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w w:val="97"/>
              </w:rPr>
              <w:t>Corp. PTE LTD, incorporated by reference from Exhibit 10.1 to the Company’s Current Report on Form 8-K filed on May 1, 2013.</w:t>
            </w:r>
          </w:p>
        </w:tc>
      </w:tr>
      <w:tr>
        <w:trPr>
          <w:trHeight w:val="199"/>
        </w:trPr>
        <w:tc>
          <w:tcPr>
            <w:tcW w:w="900" w:type="dxa"/>
            <w:vAlign w:val="bottom"/>
            <w:shd w:val="clear" w:color="auto" w:fill="CCEEFF"/>
          </w:tcPr>
          <w:p>
            <w:pPr>
              <w:jc w:val="right"/>
              <w:ind w:right="412"/>
              <w:spacing w:after="0" w:line="199" w:lineRule="exact"/>
              <w:rPr>
                <w:sz w:val="20"/>
                <w:szCs w:val="20"/>
                <w:color w:val="auto"/>
              </w:rPr>
            </w:pPr>
            <w:r>
              <w:rPr>
                <w:rFonts w:ascii="Arial" w:cs="Arial" w:eastAsia="Arial" w:hAnsi="Arial"/>
                <w:sz w:val="18"/>
                <w:szCs w:val="18"/>
                <w:color w:val="auto"/>
                <w:w w:val="84"/>
              </w:rPr>
              <w:t>10.83</w:t>
            </w:r>
          </w:p>
        </w:tc>
        <w:tc>
          <w:tcPr>
            <w:tcW w:w="10520" w:type="dxa"/>
            <w:vAlign w:val="bottom"/>
            <w:shd w:val="clear" w:color="auto" w:fill="CCEEFF"/>
          </w:tcPr>
          <w:p>
            <w:pPr>
              <w:ind w:left="520"/>
              <w:spacing w:after="0" w:line="199" w:lineRule="exact"/>
              <w:rPr>
                <w:sz w:val="20"/>
                <w:szCs w:val="20"/>
                <w:color w:val="auto"/>
              </w:rPr>
            </w:pPr>
            <w:r>
              <w:rPr>
                <w:rFonts w:ascii="Arial" w:cs="Arial" w:eastAsia="Arial" w:hAnsi="Arial"/>
                <w:sz w:val="18"/>
                <w:szCs w:val="18"/>
                <w:color w:val="auto"/>
                <w:w w:val="88"/>
              </w:rPr>
              <w:t>Lease between Bayside Area Development, LLC and VistaGen Therapeutics, Inc. (California) dated April 24, 2013, incorporated by reference</w:t>
            </w:r>
          </w:p>
        </w:tc>
      </w:tr>
      <w:tr>
        <w:trPr>
          <w:trHeight w:val="223"/>
        </w:trPr>
        <w:tc>
          <w:tcPr>
            <w:tcW w:w="900" w:type="dxa"/>
            <w:vAlign w:val="bottom"/>
            <w:shd w:val="clear" w:color="auto" w:fill="CCEEFF"/>
          </w:tcPr>
          <w:p>
            <w:pPr>
              <w:spacing w:after="0"/>
              <w:rPr>
                <w:sz w:val="19"/>
                <w:szCs w:val="19"/>
                <w:color w:val="auto"/>
              </w:rPr>
            </w:pPr>
          </w:p>
        </w:tc>
        <w:tc>
          <w:tcPr>
            <w:tcW w:w="10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from Exhibit 10.83 to the Company’s Annual Report on Form 10-K filed July 18, 2013.</w:t>
            </w:r>
          </w:p>
        </w:tc>
      </w:tr>
      <w:tr>
        <w:trPr>
          <w:trHeight w:val="198"/>
        </w:trPr>
        <w:tc>
          <w:tcPr>
            <w:tcW w:w="900" w:type="dxa"/>
            <w:vAlign w:val="bottom"/>
          </w:tcPr>
          <w:p>
            <w:pPr>
              <w:jc w:val="right"/>
              <w:ind w:right="412"/>
              <w:spacing w:after="0" w:line="198" w:lineRule="exact"/>
              <w:rPr>
                <w:sz w:val="20"/>
                <w:szCs w:val="20"/>
                <w:color w:val="auto"/>
              </w:rPr>
            </w:pPr>
            <w:r>
              <w:rPr>
                <w:rFonts w:ascii="Arial" w:cs="Arial" w:eastAsia="Arial" w:hAnsi="Arial"/>
                <w:sz w:val="18"/>
                <w:szCs w:val="18"/>
                <w:color w:val="auto"/>
                <w:w w:val="84"/>
              </w:rPr>
              <w:t>10.84</w:t>
            </w:r>
          </w:p>
        </w:tc>
        <w:tc>
          <w:tcPr>
            <w:tcW w:w="10520" w:type="dxa"/>
            <w:vAlign w:val="bottom"/>
          </w:tcPr>
          <w:p>
            <w:pPr>
              <w:ind w:left="520"/>
              <w:spacing w:after="0" w:line="198" w:lineRule="exact"/>
              <w:rPr>
                <w:sz w:val="20"/>
                <w:szCs w:val="20"/>
                <w:color w:val="auto"/>
              </w:rPr>
            </w:pPr>
            <w:r>
              <w:rPr>
                <w:rFonts w:ascii="Arial" w:cs="Arial" w:eastAsia="Arial" w:hAnsi="Arial"/>
                <w:sz w:val="18"/>
                <w:szCs w:val="18"/>
                <w:color w:val="auto"/>
                <w:w w:val="90"/>
              </w:rPr>
              <w:t>Indemnification Agreement effective May 20, 2013 between the Company and Jon S. Saxe, incorporated by reference from Exhibit 10.84 to</w:t>
            </w:r>
          </w:p>
        </w:tc>
      </w:tr>
      <w:tr>
        <w:trPr>
          <w:trHeight w:val="222"/>
        </w:trPr>
        <w:tc>
          <w:tcPr>
            <w:tcW w:w="900" w:type="dxa"/>
            <w:vAlign w:val="bottom"/>
          </w:tcPr>
          <w:p>
            <w:pPr>
              <w:spacing w:after="0"/>
              <w:rPr>
                <w:sz w:val="19"/>
                <w:szCs w:val="19"/>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rPr>
              <w:t>the Company's Annual Report on Form 10-K filed on July 18, 2013.</w:t>
            </w:r>
          </w:p>
        </w:tc>
      </w:tr>
      <w:tr>
        <w:trPr>
          <w:trHeight w:val="199"/>
        </w:trPr>
        <w:tc>
          <w:tcPr>
            <w:tcW w:w="900" w:type="dxa"/>
            <w:vAlign w:val="bottom"/>
            <w:shd w:val="clear" w:color="auto" w:fill="CCEEFF"/>
          </w:tcPr>
          <w:p>
            <w:pPr>
              <w:jc w:val="right"/>
              <w:ind w:right="412"/>
              <w:spacing w:after="0" w:line="199" w:lineRule="exact"/>
              <w:rPr>
                <w:sz w:val="20"/>
                <w:szCs w:val="20"/>
                <w:color w:val="auto"/>
              </w:rPr>
            </w:pPr>
            <w:r>
              <w:rPr>
                <w:rFonts w:ascii="Arial" w:cs="Arial" w:eastAsia="Arial" w:hAnsi="Arial"/>
                <w:sz w:val="18"/>
                <w:szCs w:val="18"/>
                <w:color w:val="auto"/>
                <w:w w:val="84"/>
              </w:rPr>
              <w:t>10.85</w:t>
            </w:r>
          </w:p>
        </w:tc>
        <w:tc>
          <w:tcPr>
            <w:tcW w:w="10520" w:type="dxa"/>
            <w:vAlign w:val="bottom"/>
            <w:shd w:val="clear" w:color="auto" w:fill="CCEEFF"/>
          </w:tcPr>
          <w:p>
            <w:pPr>
              <w:ind w:left="520"/>
              <w:spacing w:after="0" w:line="199" w:lineRule="exact"/>
              <w:rPr>
                <w:sz w:val="20"/>
                <w:szCs w:val="20"/>
                <w:color w:val="auto"/>
              </w:rPr>
            </w:pPr>
            <w:r>
              <w:rPr>
                <w:rFonts w:ascii="Arial" w:cs="Arial" w:eastAsia="Arial" w:hAnsi="Arial"/>
                <w:sz w:val="18"/>
                <w:szCs w:val="18"/>
                <w:color w:val="auto"/>
                <w:w w:val="89"/>
              </w:rPr>
              <w:t>Indemnification Agreement effective May 20, 2013 between the Company and Shawn K. Singh, incorporated by reference from Exhibit 10.85</w:t>
            </w:r>
          </w:p>
        </w:tc>
      </w:tr>
      <w:tr>
        <w:trPr>
          <w:trHeight w:val="223"/>
        </w:trPr>
        <w:tc>
          <w:tcPr>
            <w:tcW w:w="900" w:type="dxa"/>
            <w:vAlign w:val="bottom"/>
            <w:shd w:val="clear" w:color="auto" w:fill="CCEEFF"/>
          </w:tcPr>
          <w:p>
            <w:pPr>
              <w:spacing w:after="0"/>
              <w:rPr>
                <w:sz w:val="19"/>
                <w:szCs w:val="19"/>
                <w:color w:val="auto"/>
              </w:rPr>
            </w:pPr>
          </w:p>
        </w:tc>
        <w:tc>
          <w:tcPr>
            <w:tcW w:w="10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 the Company’s Annual Report on Form 10-K filed on July 18, 2013.</w:t>
            </w:r>
          </w:p>
        </w:tc>
      </w:tr>
      <w:tr>
        <w:trPr>
          <w:trHeight w:val="198"/>
        </w:trPr>
        <w:tc>
          <w:tcPr>
            <w:tcW w:w="900" w:type="dxa"/>
            <w:vAlign w:val="bottom"/>
          </w:tcPr>
          <w:p>
            <w:pPr>
              <w:jc w:val="right"/>
              <w:ind w:right="412"/>
              <w:spacing w:after="0" w:line="198" w:lineRule="exact"/>
              <w:rPr>
                <w:sz w:val="20"/>
                <w:szCs w:val="20"/>
                <w:color w:val="auto"/>
              </w:rPr>
            </w:pPr>
            <w:r>
              <w:rPr>
                <w:rFonts w:ascii="Arial" w:cs="Arial" w:eastAsia="Arial" w:hAnsi="Arial"/>
                <w:sz w:val="18"/>
                <w:szCs w:val="18"/>
                <w:color w:val="auto"/>
                <w:w w:val="84"/>
              </w:rPr>
              <w:t>10.86</w:t>
            </w:r>
          </w:p>
        </w:tc>
        <w:tc>
          <w:tcPr>
            <w:tcW w:w="10520" w:type="dxa"/>
            <w:vAlign w:val="bottom"/>
          </w:tcPr>
          <w:p>
            <w:pPr>
              <w:ind w:left="520"/>
              <w:spacing w:after="0" w:line="198" w:lineRule="exact"/>
              <w:rPr>
                <w:sz w:val="20"/>
                <w:szCs w:val="20"/>
                <w:color w:val="auto"/>
              </w:rPr>
            </w:pPr>
            <w:r>
              <w:rPr>
                <w:rFonts w:ascii="Arial" w:cs="Arial" w:eastAsia="Arial" w:hAnsi="Arial"/>
                <w:sz w:val="18"/>
                <w:szCs w:val="18"/>
                <w:color w:val="auto"/>
                <w:w w:val="90"/>
              </w:rPr>
              <w:t>Indemnification Agreement effective May 20, 2013 between the Company and H. Ralph Snodgrass, incorporated by reference from Exhibit</w:t>
            </w:r>
          </w:p>
        </w:tc>
      </w:tr>
      <w:tr>
        <w:trPr>
          <w:trHeight w:val="222"/>
        </w:trPr>
        <w:tc>
          <w:tcPr>
            <w:tcW w:w="900" w:type="dxa"/>
            <w:vAlign w:val="bottom"/>
          </w:tcPr>
          <w:p>
            <w:pPr>
              <w:spacing w:after="0"/>
              <w:rPr>
                <w:sz w:val="19"/>
                <w:szCs w:val="19"/>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rPr>
              <w:t>10.86 to the Company’s Annual Report on Form 10-K filed on July 18, 2013.</w:t>
            </w:r>
          </w:p>
        </w:tc>
      </w:tr>
      <w:tr>
        <w:trPr>
          <w:trHeight w:val="199"/>
        </w:trPr>
        <w:tc>
          <w:tcPr>
            <w:tcW w:w="900" w:type="dxa"/>
            <w:vAlign w:val="bottom"/>
            <w:shd w:val="clear" w:color="auto" w:fill="CCEEFF"/>
          </w:tcPr>
          <w:p>
            <w:pPr>
              <w:jc w:val="right"/>
              <w:ind w:right="412"/>
              <w:spacing w:after="0" w:line="199" w:lineRule="exact"/>
              <w:rPr>
                <w:sz w:val="20"/>
                <w:szCs w:val="20"/>
                <w:color w:val="auto"/>
              </w:rPr>
            </w:pPr>
            <w:r>
              <w:rPr>
                <w:rFonts w:ascii="Arial" w:cs="Arial" w:eastAsia="Arial" w:hAnsi="Arial"/>
                <w:sz w:val="18"/>
                <w:szCs w:val="18"/>
                <w:color w:val="auto"/>
                <w:w w:val="84"/>
              </w:rPr>
              <w:t>10.87</w:t>
            </w:r>
          </w:p>
        </w:tc>
        <w:tc>
          <w:tcPr>
            <w:tcW w:w="10520" w:type="dxa"/>
            <w:vAlign w:val="bottom"/>
            <w:shd w:val="clear" w:color="auto" w:fill="CCEEFF"/>
          </w:tcPr>
          <w:p>
            <w:pPr>
              <w:ind w:left="520"/>
              <w:spacing w:after="0" w:line="199" w:lineRule="exact"/>
              <w:rPr>
                <w:sz w:val="20"/>
                <w:szCs w:val="20"/>
                <w:color w:val="auto"/>
              </w:rPr>
            </w:pPr>
            <w:r>
              <w:rPr>
                <w:rFonts w:ascii="Arial" w:cs="Arial" w:eastAsia="Arial" w:hAnsi="Arial"/>
                <w:sz w:val="18"/>
                <w:szCs w:val="18"/>
                <w:color w:val="auto"/>
                <w:w w:val="90"/>
              </w:rPr>
              <w:t>Indemnification Agreement effective May 20, 2013 between the Company and Brian J. Underdown, incorporated by reference from Exhibit</w:t>
            </w:r>
          </w:p>
        </w:tc>
      </w:tr>
      <w:tr>
        <w:trPr>
          <w:trHeight w:val="223"/>
        </w:trPr>
        <w:tc>
          <w:tcPr>
            <w:tcW w:w="900" w:type="dxa"/>
            <w:vAlign w:val="bottom"/>
            <w:shd w:val="clear" w:color="auto" w:fill="CCEEFF"/>
          </w:tcPr>
          <w:p>
            <w:pPr>
              <w:spacing w:after="0"/>
              <w:rPr>
                <w:sz w:val="19"/>
                <w:szCs w:val="19"/>
                <w:color w:val="auto"/>
              </w:rPr>
            </w:pPr>
          </w:p>
        </w:tc>
        <w:tc>
          <w:tcPr>
            <w:tcW w:w="10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10.87 to the Company’s Annual Report on Form 10-K filed on July 18, 2013.</w:t>
            </w:r>
          </w:p>
        </w:tc>
      </w:tr>
      <w:tr>
        <w:trPr>
          <w:trHeight w:val="198"/>
        </w:trPr>
        <w:tc>
          <w:tcPr>
            <w:tcW w:w="900" w:type="dxa"/>
            <w:vAlign w:val="bottom"/>
          </w:tcPr>
          <w:p>
            <w:pPr>
              <w:jc w:val="right"/>
              <w:ind w:right="412"/>
              <w:spacing w:after="0" w:line="198" w:lineRule="exact"/>
              <w:rPr>
                <w:sz w:val="20"/>
                <w:szCs w:val="20"/>
                <w:color w:val="auto"/>
              </w:rPr>
            </w:pPr>
            <w:r>
              <w:rPr>
                <w:rFonts w:ascii="Arial" w:cs="Arial" w:eastAsia="Arial" w:hAnsi="Arial"/>
                <w:sz w:val="18"/>
                <w:szCs w:val="18"/>
                <w:color w:val="auto"/>
                <w:w w:val="84"/>
              </w:rPr>
              <w:t>10.88</w:t>
            </w:r>
          </w:p>
        </w:tc>
        <w:tc>
          <w:tcPr>
            <w:tcW w:w="10520" w:type="dxa"/>
            <w:vAlign w:val="bottom"/>
          </w:tcPr>
          <w:p>
            <w:pPr>
              <w:ind w:left="520"/>
              <w:spacing w:after="0" w:line="198" w:lineRule="exact"/>
              <w:rPr>
                <w:sz w:val="20"/>
                <w:szCs w:val="20"/>
                <w:color w:val="auto"/>
              </w:rPr>
            </w:pPr>
            <w:r>
              <w:rPr>
                <w:rFonts w:ascii="Arial" w:cs="Arial" w:eastAsia="Arial" w:hAnsi="Arial"/>
                <w:sz w:val="18"/>
                <w:szCs w:val="18"/>
                <w:color w:val="auto"/>
                <w:w w:val="92"/>
              </w:rPr>
              <w:t>Indemnification Agreement effective May 20, 2013 between the Company and Jerrold D. Dotson, incorporated by reference from Exhibit</w:t>
            </w:r>
          </w:p>
        </w:tc>
      </w:tr>
      <w:tr>
        <w:trPr>
          <w:trHeight w:val="222"/>
        </w:trPr>
        <w:tc>
          <w:tcPr>
            <w:tcW w:w="900" w:type="dxa"/>
            <w:vAlign w:val="bottom"/>
          </w:tcPr>
          <w:p>
            <w:pPr>
              <w:spacing w:after="0"/>
              <w:rPr>
                <w:sz w:val="19"/>
                <w:szCs w:val="19"/>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rPr>
              <w:t>10.88 to the Company’s Annual Report on Form 10-K filed on July 18, 2013.</w:t>
            </w:r>
          </w:p>
        </w:tc>
      </w:tr>
      <w:tr>
        <w:trPr>
          <w:trHeight w:val="199"/>
        </w:trPr>
        <w:tc>
          <w:tcPr>
            <w:tcW w:w="900" w:type="dxa"/>
            <w:vAlign w:val="bottom"/>
            <w:shd w:val="clear" w:color="auto" w:fill="CCEEFF"/>
          </w:tcPr>
          <w:p>
            <w:pPr>
              <w:jc w:val="right"/>
              <w:ind w:right="412"/>
              <w:spacing w:after="0" w:line="199" w:lineRule="exact"/>
              <w:rPr>
                <w:sz w:val="20"/>
                <w:szCs w:val="20"/>
                <w:color w:val="auto"/>
              </w:rPr>
            </w:pPr>
            <w:r>
              <w:rPr>
                <w:rFonts w:ascii="Arial" w:cs="Arial" w:eastAsia="Arial" w:hAnsi="Arial"/>
                <w:sz w:val="18"/>
                <w:szCs w:val="18"/>
                <w:color w:val="auto"/>
                <w:w w:val="84"/>
              </w:rPr>
              <w:t>10.89</w:t>
            </w:r>
          </w:p>
        </w:tc>
        <w:tc>
          <w:tcPr>
            <w:tcW w:w="10520" w:type="dxa"/>
            <w:vAlign w:val="bottom"/>
            <w:shd w:val="clear" w:color="auto" w:fill="CCEEFF"/>
          </w:tcPr>
          <w:p>
            <w:pPr>
              <w:ind w:left="520"/>
              <w:spacing w:after="0" w:line="199" w:lineRule="exact"/>
              <w:rPr>
                <w:sz w:val="20"/>
                <w:szCs w:val="20"/>
                <w:color w:val="auto"/>
              </w:rPr>
            </w:pPr>
            <w:r>
              <w:rPr>
                <w:rFonts w:ascii="Arial" w:cs="Arial" w:eastAsia="Arial" w:hAnsi="Arial"/>
                <w:sz w:val="18"/>
                <w:szCs w:val="18"/>
                <w:color w:val="auto"/>
                <w:w w:val="89"/>
              </w:rPr>
              <w:t>Amendment and Waiver effective May 24, 2013 between the Company and Platinum Long Term Growth VII, LLC, incorporated by reference</w:t>
            </w:r>
          </w:p>
        </w:tc>
      </w:tr>
      <w:tr>
        <w:trPr>
          <w:trHeight w:val="223"/>
        </w:trPr>
        <w:tc>
          <w:tcPr>
            <w:tcW w:w="900" w:type="dxa"/>
            <w:vAlign w:val="bottom"/>
            <w:shd w:val="clear" w:color="auto" w:fill="CCEEFF"/>
          </w:tcPr>
          <w:p>
            <w:pPr>
              <w:spacing w:after="0"/>
              <w:rPr>
                <w:sz w:val="19"/>
                <w:szCs w:val="19"/>
                <w:color w:val="auto"/>
              </w:rPr>
            </w:pPr>
          </w:p>
        </w:tc>
        <w:tc>
          <w:tcPr>
            <w:tcW w:w="10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from Exhibit 10.1 to the Company’s Current Report on Form 8-K filed on June 3, 2013.</w:t>
            </w:r>
          </w:p>
        </w:tc>
      </w:tr>
      <w:tr>
        <w:trPr>
          <w:trHeight w:val="198"/>
        </w:trPr>
        <w:tc>
          <w:tcPr>
            <w:tcW w:w="900" w:type="dxa"/>
            <w:vAlign w:val="bottom"/>
          </w:tcPr>
          <w:p>
            <w:pPr>
              <w:jc w:val="right"/>
              <w:ind w:right="412"/>
              <w:spacing w:after="0" w:line="198" w:lineRule="exact"/>
              <w:rPr>
                <w:sz w:val="20"/>
                <w:szCs w:val="20"/>
                <w:color w:val="auto"/>
              </w:rPr>
            </w:pPr>
            <w:r>
              <w:rPr>
                <w:rFonts w:ascii="Arial" w:cs="Arial" w:eastAsia="Arial" w:hAnsi="Arial"/>
                <w:sz w:val="18"/>
                <w:szCs w:val="18"/>
                <w:color w:val="auto"/>
                <w:w w:val="84"/>
              </w:rPr>
              <w:t>10.90</w:t>
            </w:r>
          </w:p>
        </w:tc>
        <w:tc>
          <w:tcPr>
            <w:tcW w:w="10520" w:type="dxa"/>
            <w:vAlign w:val="bottom"/>
          </w:tcPr>
          <w:p>
            <w:pPr>
              <w:ind w:left="520"/>
              <w:spacing w:after="0" w:line="198" w:lineRule="exact"/>
              <w:rPr>
                <w:sz w:val="20"/>
                <w:szCs w:val="20"/>
                <w:color w:val="auto"/>
              </w:rPr>
            </w:pPr>
            <w:r>
              <w:rPr>
                <w:rFonts w:ascii="Arial" w:cs="Arial" w:eastAsia="Arial" w:hAnsi="Arial"/>
                <w:sz w:val="18"/>
                <w:szCs w:val="18"/>
                <w:color w:val="auto"/>
                <w:w w:val="88"/>
              </w:rPr>
              <w:t>Amendment No 2 to Securities Purchase Agreement dated June 27, 2013 between the Company, Autilion AG and Bergamo Acquisition Corp.</w:t>
            </w:r>
          </w:p>
        </w:tc>
      </w:tr>
      <w:tr>
        <w:trPr>
          <w:trHeight w:val="222"/>
        </w:trPr>
        <w:tc>
          <w:tcPr>
            <w:tcW w:w="900" w:type="dxa"/>
            <w:vAlign w:val="bottom"/>
          </w:tcPr>
          <w:p>
            <w:pPr>
              <w:spacing w:after="0"/>
              <w:rPr>
                <w:sz w:val="19"/>
                <w:szCs w:val="19"/>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rPr>
              <w:t>PTE LTD, incorporated by reference from Exhibit 10.1 to the Company’s Current Report on Form 8-K filed on June 28, 2013.</w:t>
            </w:r>
          </w:p>
        </w:tc>
      </w:tr>
      <w:tr>
        <w:trPr>
          <w:trHeight w:val="199"/>
        </w:trPr>
        <w:tc>
          <w:tcPr>
            <w:tcW w:w="900" w:type="dxa"/>
            <w:vAlign w:val="bottom"/>
            <w:shd w:val="clear" w:color="auto" w:fill="CCEEFF"/>
          </w:tcPr>
          <w:p>
            <w:pPr>
              <w:jc w:val="right"/>
              <w:ind w:right="412"/>
              <w:spacing w:after="0" w:line="199" w:lineRule="exact"/>
              <w:rPr>
                <w:sz w:val="20"/>
                <w:szCs w:val="20"/>
                <w:color w:val="auto"/>
              </w:rPr>
            </w:pPr>
            <w:r>
              <w:rPr>
                <w:rFonts w:ascii="Arial" w:cs="Arial" w:eastAsia="Arial" w:hAnsi="Arial"/>
                <w:sz w:val="18"/>
                <w:szCs w:val="18"/>
                <w:color w:val="auto"/>
                <w:w w:val="84"/>
              </w:rPr>
              <w:t>10.91</w:t>
            </w:r>
          </w:p>
        </w:tc>
        <w:tc>
          <w:tcPr>
            <w:tcW w:w="10520" w:type="dxa"/>
            <w:vAlign w:val="bottom"/>
            <w:shd w:val="clear" w:color="auto" w:fill="CCEEFF"/>
          </w:tcPr>
          <w:p>
            <w:pPr>
              <w:ind w:left="520"/>
              <w:spacing w:after="0" w:line="199" w:lineRule="exact"/>
              <w:rPr>
                <w:sz w:val="20"/>
                <w:szCs w:val="20"/>
                <w:color w:val="auto"/>
              </w:rPr>
            </w:pPr>
            <w:r>
              <w:rPr>
                <w:rFonts w:ascii="Arial" w:cs="Arial" w:eastAsia="Arial" w:hAnsi="Arial"/>
                <w:sz w:val="18"/>
                <w:szCs w:val="18"/>
                <w:color w:val="auto"/>
                <w:w w:val="89"/>
              </w:rPr>
              <w:t>Senior Secured Convertible Promissory Note, dated July 26, 2013 issued to Platinum Long Term Growth VII, LLP, incorporated by reference</w:t>
            </w:r>
          </w:p>
        </w:tc>
      </w:tr>
      <w:tr>
        <w:trPr>
          <w:trHeight w:val="223"/>
        </w:trPr>
        <w:tc>
          <w:tcPr>
            <w:tcW w:w="900" w:type="dxa"/>
            <w:vAlign w:val="bottom"/>
            <w:shd w:val="clear" w:color="auto" w:fill="CCEEFF"/>
          </w:tcPr>
          <w:p>
            <w:pPr>
              <w:spacing w:after="0"/>
              <w:rPr>
                <w:sz w:val="19"/>
                <w:szCs w:val="19"/>
                <w:color w:val="auto"/>
              </w:rPr>
            </w:pPr>
          </w:p>
        </w:tc>
        <w:tc>
          <w:tcPr>
            <w:tcW w:w="10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from Exhibit 10.1 to the Company’s Current Report on Form 8-K filed on August 2, 2013.</w:t>
            </w:r>
          </w:p>
        </w:tc>
      </w:tr>
      <w:tr>
        <w:trPr>
          <w:trHeight w:val="198"/>
        </w:trPr>
        <w:tc>
          <w:tcPr>
            <w:tcW w:w="900" w:type="dxa"/>
            <w:vAlign w:val="bottom"/>
          </w:tcPr>
          <w:p>
            <w:pPr>
              <w:jc w:val="right"/>
              <w:ind w:right="412"/>
              <w:spacing w:after="0" w:line="198" w:lineRule="exact"/>
              <w:rPr>
                <w:sz w:val="20"/>
                <w:szCs w:val="20"/>
                <w:color w:val="auto"/>
              </w:rPr>
            </w:pPr>
            <w:r>
              <w:rPr>
                <w:rFonts w:ascii="Arial" w:cs="Arial" w:eastAsia="Arial" w:hAnsi="Arial"/>
                <w:sz w:val="18"/>
                <w:szCs w:val="18"/>
                <w:color w:val="auto"/>
                <w:w w:val="84"/>
              </w:rPr>
              <w:t>10.92</w:t>
            </w:r>
          </w:p>
        </w:tc>
        <w:tc>
          <w:tcPr>
            <w:tcW w:w="10520" w:type="dxa"/>
            <w:vAlign w:val="bottom"/>
          </w:tcPr>
          <w:p>
            <w:pPr>
              <w:ind w:left="520"/>
              <w:spacing w:after="0" w:line="198" w:lineRule="exact"/>
              <w:rPr>
                <w:sz w:val="20"/>
                <w:szCs w:val="20"/>
                <w:color w:val="auto"/>
              </w:rPr>
            </w:pPr>
            <w:r>
              <w:rPr>
                <w:rFonts w:ascii="Arial" w:cs="Arial" w:eastAsia="Arial" w:hAnsi="Arial"/>
                <w:sz w:val="18"/>
                <w:szCs w:val="18"/>
                <w:color w:val="auto"/>
                <w:w w:val="89"/>
              </w:rPr>
              <w:t>Common Stock Warrant, dated July 26, 2013 issued to Platinum Long Term Growth VII, LLP, incorporated by reference from Exhibit 10.2 to</w:t>
            </w:r>
          </w:p>
        </w:tc>
      </w:tr>
      <w:tr>
        <w:trPr>
          <w:trHeight w:val="222"/>
        </w:trPr>
        <w:tc>
          <w:tcPr>
            <w:tcW w:w="900" w:type="dxa"/>
            <w:vAlign w:val="bottom"/>
          </w:tcPr>
          <w:p>
            <w:pPr>
              <w:spacing w:after="0"/>
              <w:rPr>
                <w:sz w:val="19"/>
                <w:szCs w:val="19"/>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rPr>
              <w:t>the Company’s Current Report on Form 8-K filed on August 2,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3" w:name="page174"/>
    <w:bookmarkEnd w:id="17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10.93</w:t>
            </w: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Form of Subscription Agreement between the Company and investors in the Fall 2013 Unit Private Placement, incorporated by reference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40" w:type="dxa"/>
            <w:vAlign w:val="bottom"/>
            <w:shd w:val="clear" w:color="auto" w:fill="CCEEFF"/>
          </w:tcPr>
          <w:p>
            <w:pPr>
              <w:spacing w:after="0"/>
              <w:rPr>
                <w:sz w:val="19"/>
                <w:szCs w:val="19"/>
                <w:color w:val="auto"/>
              </w:rPr>
            </w:pP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from Exhibit 10.93 to the Company’s Annual Report on Form 10-K filed on June 24, 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line="198" w:lineRule="exact"/>
              <w:rPr>
                <w:sz w:val="20"/>
                <w:szCs w:val="20"/>
                <w:color w:val="auto"/>
              </w:rPr>
            </w:pPr>
            <w:r>
              <w:rPr>
                <w:rFonts w:ascii="Arial" w:cs="Arial" w:eastAsia="Arial" w:hAnsi="Arial"/>
                <w:sz w:val="18"/>
                <w:szCs w:val="18"/>
                <w:color w:val="auto"/>
              </w:rPr>
              <w:t>10.94</w:t>
            </w:r>
          </w:p>
        </w:tc>
        <w:tc>
          <w:tcPr>
            <w:tcW w:w="10380" w:type="dxa"/>
            <w:vAlign w:val="bottom"/>
          </w:tcPr>
          <w:p>
            <w:pPr>
              <w:ind w:left="380"/>
              <w:spacing w:after="0" w:line="198" w:lineRule="exact"/>
              <w:rPr>
                <w:sz w:val="20"/>
                <w:szCs w:val="20"/>
                <w:color w:val="auto"/>
              </w:rPr>
            </w:pPr>
            <w:r>
              <w:rPr>
                <w:rFonts w:ascii="Arial" w:cs="Arial" w:eastAsia="Arial" w:hAnsi="Arial"/>
                <w:sz w:val="18"/>
                <w:szCs w:val="18"/>
                <w:color w:val="auto"/>
                <w:w w:val="88"/>
              </w:rPr>
              <w:t>Form of Convertible Promissory Note between the Company and investors in the Fall 2013 Unit Private Placement, incorporated by reference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0400" w:type="dxa"/>
            <w:vAlign w:val="bottom"/>
            <w:gridSpan w:val="2"/>
          </w:tcPr>
          <w:p>
            <w:pPr>
              <w:ind w:left="380"/>
              <w:spacing w:after="0"/>
              <w:rPr>
                <w:sz w:val="20"/>
                <w:szCs w:val="20"/>
                <w:color w:val="auto"/>
              </w:rPr>
            </w:pPr>
            <w:r>
              <w:rPr>
                <w:rFonts w:ascii="Arial" w:cs="Arial" w:eastAsia="Arial" w:hAnsi="Arial"/>
                <w:sz w:val="18"/>
                <w:szCs w:val="18"/>
                <w:color w:val="auto"/>
              </w:rPr>
              <w:t>from Exhibit 10.94 to the Company’s Annual Report on Form 10-K filed on June 24, 2014.</w:t>
            </w:r>
          </w:p>
        </w:tc>
        <w:tc>
          <w:tcPr>
            <w:tcW w:w="0" w:type="dxa"/>
            <w:vAlign w:val="bottom"/>
          </w:tcPr>
          <w:p>
            <w:pPr>
              <w:spacing w:after="0"/>
              <w:rPr>
                <w:sz w:val="1"/>
                <w:szCs w:val="1"/>
                <w:color w:val="auto"/>
              </w:rPr>
            </w:pPr>
          </w:p>
        </w:tc>
      </w:tr>
      <w:tr>
        <w:trPr>
          <w:trHeight w:val="199"/>
        </w:trPr>
        <w:tc>
          <w:tcPr>
            <w:tcW w:w="1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10.95</w:t>
            </w:r>
          </w:p>
        </w:tc>
        <w:tc>
          <w:tcPr>
            <w:tcW w:w="1038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1"/>
              </w:rPr>
              <w:t>Form of Common Stock Purchase Warrant between the Company and investors in the Fall 2013 Unit Private Placement, incorporated by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40" w:type="dxa"/>
            <w:vAlign w:val="bottom"/>
            <w:shd w:val="clear" w:color="auto" w:fill="CCEEFF"/>
          </w:tcPr>
          <w:p>
            <w:pPr>
              <w:spacing w:after="0"/>
              <w:rPr>
                <w:sz w:val="19"/>
                <w:szCs w:val="19"/>
                <w:color w:val="auto"/>
              </w:rPr>
            </w:pP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reference from Exhibit 10.95 to the Company’s Annual Report on Form 10-K filed on June 24, 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line="198" w:lineRule="exact"/>
              <w:rPr>
                <w:sz w:val="20"/>
                <w:szCs w:val="20"/>
                <w:color w:val="auto"/>
              </w:rPr>
            </w:pPr>
            <w:r>
              <w:rPr>
                <w:rFonts w:ascii="Arial" w:cs="Arial" w:eastAsia="Arial" w:hAnsi="Arial"/>
                <w:sz w:val="18"/>
                <w:szCs w:val="18"/>
                <w:color w:val="auto"/>
              </w:rPr>
              <w:t>10.96</w:t>
            </w:r>
          </w:p>
        </w:tc>
        <w:tc>
          <w:tcPr>
            <w:tcW w:w="10380" w:type="dxa"/>
            <w:vAlign w:val="bottom"/>
          </w:tcPr>
          <w:p>
            <w:pPr>
              <w:ind w:left="380"/>
              <w:spacing w:after="0" w:line="198" w:lineRule="exact"/>
              <w:rPr>
                <w:sz w:val="20"/>
                <w:szCs w:val="20"/>
                <w:color w:val="auto"/>
              </w:rPr>
            </w:pPr>
            <w:r>
              <w:rPr>
                <w:rFonts w:ascii="Arial" w:cs="Arial" w:eastAsia="Arial" w:hAnsi="Arial"/>
                <w:sz w:val="18"/>
                <w:szCs w:val="18"/>
                <w:color w:val="auto"/>
                <w:w w:val="95"/>
              </w:rPr>
              <w:t>Form of Amendment to Convertible Promissory Note and Warrant between the Company and investors in the Fall 2013 Unit Private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4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Arial" w:cs="Arial" w:eastAsia="Arial" w:hAnsi="Arial"/>
                <w:sz w:val="18"/>
                <w:szCs w:val="18"/>
                <w:color w:val="auto"/>
                <w:w w:val="92"/>
              </w:rPr>
              <w:t>Placement, effective May 31, 2014, incorporated by reference from Exhibit 10.96 to the Company’s Annual Report on Form 10-K filed on</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0400" w:type="dxa"/>
            <w:vAlign w:val="bottom"/>
            <w:gridSpan w:val="2"/>
          </w:tcPr>
          <w:p>
            <w:pPr>
              <w:ind w:left="380"/>
              <w:spacing w:after="0"/>
              <w:rPr>
                <w:sz w:val="20"/>
                <w:szCs w:val="20"/>
                <w:color w:val="auto"/>
              </w:rPr>
            </w:pPr>
            <w:r>
              <w:rPr>
                <w:rFonts w:ascii="Arial" w:cs="Arial" w:eastAsia="Arial" w:hAnsi="Arial"/>
                <w:sz w:val="18"/>
                <w:szCs w:val="18"/>
                <w:color w:val="auto"/>
              </w:rPr>
              <w:t>June 24, 2014.</w:t>
            </w:r>
          </w:p>
        </w:tc>
        <w:tc>
          <w:tcPr>
            <w:tcW w:w="0" w:type="dxa"/>
            <w:vAlign w:val="bottom"/>
          </w:tcPr>
          <w:p>
            <w:pPr>
              <w:spacing w:after="0"/>
              <w:rPr>
                <w:sz w:val="1"/>
                <w:szCs w:val="1"/>
                <w:color w:val="auto"/>
              </w:rPr>
            </w:pPr>
          </w:p>
        </w:tc>
      </w:tr>
      <w:tr>
        <w:trPr>
          <w:trHeight w:val="199"/>
        </w:trPr>
        <w:tc>
          <w:tcPr>
            <w:tcW w:w="1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10.97</w:t>
            </w:r>
          </w:p>
        </w:tc>
        <w:tc>
          <w:tcPr>
            <w:tcW w:w="1038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1"/>
              </w:rPr>
              <w:t>Form of Unit Subscription Agreement between the Company and investors in the Spring 2014 Unit Private Placement dated April 1, 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40" w:type="dxa"/>
            <w:vAlign w:val="bottom"/>
            <w:shd w:val="clear" w:color="auto" w:fill="CCEEFF"/>
          </w:tcPr>
          <w:p>
            <w:pPr>
              <w:spacing w:after="0"/>
              <w:rPr>
                <w:sz w:val="19"/>
                <w:szCs w:val="19"/>
                <w:color w:val="auto"/>
              </w:rPr>
            </w:pP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incorporated by reference from Exhibit 10.1 to the Company’s Current Report on Form 8-K filed on April 8, 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line="198" w:lineRule="exact"/>
              <w:rPr>
                <w:sz w:val="20"/>
                <w:szCs w:val="20"/>
                <w:color w:val="auto"/>
              </w:rPr>
            </w:pPr>
            <w:r>
              <w:rPr>
                <w:rFonts w:ascii="Arial" w:cs="Arial" w:eastAsia="Arial" w:hAnsi="Arial"/>
                <w:sz w:val="18"/>
                <w:szCs w:val="18"/>
                <w:color w:val="auto"/>
              </w:rPr>
              <w:t>10.98</w:t>
            </w:r>
          </w:p>
        </w:tc>
        <w:tc>
          <w:tcPr>
            <w:tcW w:w="10380" w:type="dxa"/>
            <w:vAlign w:val="bottom"/>
          </w:tcPr>
          <w:p>
            <w:pPr>
              <w:ind w:left="380"/>
              <w:spacing w:after="0" w:line="198" w:lineRule="exact"/>
              <w:rPr>
                <w:sz w:val="20"/>
                <w:szCs w:val="20"/>
                <w:color w:val="auto"/>
              </w:rPr>
            </w:pPr>
            <w:r>
              <w:rPr>
                <w:rFonts w:ascii="Arial" w:cs="Arial" w:eastAsia="Arial" w:hAnsi="Arial"/>
                <w:sz w:val="18"/>
                <w:szCs w:val="18"/>
                <w:color w:val="auto"/>
                <w:w w:val="88"/>
              </w:rPr>
              <w:t>Form of Subordinate Convertible Promissory Note between the Company and investors in the Spring 2014 Unit Private Placement dated April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0400" w:type="dxa"/>
            <w:vAlign w:val="bottom"/>
            <w:gridSpan w:val="2"/>
          </w:tcPr>
          <w:p>
            <w:pPr>
              <w:ind w:left="380"/>
              <w:spacing w:after="0"/>
              <w:rPr>
                <w:sz w:val="20"/>
                <w:szCs w:val="20"/>
                <w:color w:val="auto"/>
              </w:rPr>
            </w:pPr>
            <w:r>
              <w:rPr>
                <w:rFonts w:ascii="Arial" w:cs="Arial" w:eastAsia="Arial" w:hAnsi="Arial"/>
                <w:sz w:val="18"/>
                <w:szCs w:val="18"/>
                <w:color w:val="auto"/>
              </w:rPr>
              <w:t>1, 2014, incorporated by reference from Exhibit 10.2 to the Company’s Current Report on Form 8-K filed on April 8, 2014.</w:t>
            </w:r>
          </w:p>
        </w:tc>
        <w:tc>
          <w:tcPr>
            <w:tcW w:w="0" w:type="dxa"/>
            <w:vAlign w:val="bottom"/>
          </w:tcPr>
          <w:p>
            <w:pPr>
              <w:spacing w:after="0"/>
              <w:rPr>
                <w:sz w:val="1"/>
                <w:szCs w:val="1"/>
                <w:color w:val="auto"/>
              </w:rPr>
            </w:pPr>
          </w:p>
        </w:tc>
      </w:tr>
      <w:tr>
        <w:trPr>
          <w:trHeight w:val="199"/>
        </w:trPr>
        <w:tc>
          <w:tcPr>
            <w:tcW w:w="1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10.99</w:t>
            </w:r>
          </w:p>
        </w:tc>
        <w:tc>
          <w:tcPr>
            <w:tcW w:w="1038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1"/>
              </w:rPr>
              <w:t>Form of Common Stock Purchase Warrant between the Company and investors in the Spring 2014 Unit Private Placement dated April 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40" w:type="dxa"/>
            <w:vAlign w:val="bottom"/>
            <w:shd w:val="clear" w:color="auto" w:fill="CCEEFF"/>
          </w:tcPr>
          <w:p>
            <w:pPr>
              <w:spacing w:after="0"/>
              <w:rPr>
                <w:sz w:val="19"/>
                <w:szCs w:val="19"/>
                <w:color w:val="auto"/>
              </w:rPr>
            </w:pP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2014, incorporated by reference from Exhibit 10.3 to the Company’s Current Report on Form 8-K filed on April 8, 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line="198" w:lineRule="exact"/>
              <w:rPr>
                <w:sz w:val="20"/>
                <w:szCs w:val="20"/>
                <w:color w:val="auto"/>
              </w:rPr>
            </w:pPr>
            <w:r>
              <w:rPr>
                <w:rFonts w:ascii="Arial" w:cs="Arial" w:eastAsia="Arial" w:hAnsi="Arial"/>
                <w:sz w:val="18"/>
                <w:szCs w:val="18"/>
                <w:color w:val="auto"/>
              </w:rPr>
              <w:t>10.100</w:t>
            </w:r>
          </w:p>
        </w:tc>
        <w:tc>
          <w:tcPr>
            <w:tcW w:w="10380" w:type="dxa"/>
            <w:vAlign w:val="bottom"/>
          </w:tcPr>
          <w:p>
            <w:pPr>
              <w:ind w:left="380"/>
              <w:spacing w:after="0" w:line="198" w:lineRule="exact"/>
              <w:rPr>
                <w:sz w:val="20"/>
                <w:szCs w:val="20"/>
                <w:color w:val="auto"/>
              </w:rPr>
            </w:pPr>
            <w:r>
              <w:rPr>
                <w:rFonts w:ascii="Arial" w:cs="Arial" w:eastAsia="Arial" w:hAnsi="Arial"/>
                <w:sz w:val="18"/>
                <w:szCs w:val="18"/>
                <w:color w:val="auto"/>
                <w:w w:val="91"/>
              </w:rPr>
              <w:t>Common Stock Purchase Warrant between the Company and Platinum Long Term Growth Fund VII dated May 14, 2014, incorporated by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0400" w:type="dxa"/>
            <w:vAlign w:val="bottom"/>
            <w:gridSpan w:val="2"/>
          </w:tcPr>
          <w:p>
            <w:pPr>
              <w:ind w:left="380"/>
              <w:spacing w:after="0"/>
              <w:rPr>
                <w:sz w:val="20"/>
                <w:szCs w:val="20"/>
                <w:color w:val="auto"/>
              </w:rPr>
            </w:pPr>
            <w:r>
              <w:rPr>
                <w:rFonts w:ascii="Arial" w:cs="Arial" w:eastAsia="Arial" w:hAnsi="Arial"/>
                <w:sz w:val="18"/>
                <w:szCs w:val="18"/>
                <w:color w:val="auto"/>
              </w:rPr>
              <w:t>reference from Exhibit 10.1 to the Company’s Current Report on Form 8-K filed on May 19, 2014.</w:t>
            </w:r>
          </w:p>
        </w:tc>
        <w:tc>
          <w:tcPr>
            <w:tcW w:w="0" w:type="dxa"/>
            <w:vAlign w:val="bottom"/>
          </w:tcPr>
          <w:p>
            <w:pPr>
              <w:spacing w:after="0"/>
              <w:rPr>
                <w:sz w:val="1"/>
                <w:szCs w:val="1"/>
                <w:color w:val="auto"/>
              </w:rPr>
            </w:pPr>
          </w:p>
        </w:tc>
      </w:tr>
      <w:tr>
        <w:trPr>
          <w:trHeight w:val="199"/>
        </w:trPr>
        <w:tc>
          <w:tcPr>
            <w:tcW w:w="1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10.101</w:t>
            </w:r>
          </w:p>
        </w:tc>
        <w:tc>
          <w:tcPr>
            <w:tcW w:w="1038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7"/>
              </w:rPr>
              <w:t>Subordinate Convertible Promissory Note between the Company and Platinum Long Term Growth Fund VII dated May 14, 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40" w:type="dxa"/>
            <w:vAlign w:val="bottom"/>
            <w:shd w:val="clear" w:color="auto" w:fill="CCEEFF"/>
          </w:tcPr>
          <w:p>
            <w:pPr>
              <w:spacing w:after="0"/>
              <w:rPr>
                <w:sz w:val="19"/>
                <w:szCs w:val="19"/>
                <w:color w:val="auto"/>
              </w:rPr>
            </w:pP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incorporated by reference from Exhibit 10.2 to the Company’s Current Report on Form 8-K filed on May 19, 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line="198" w:lineRule="exact"/>
              <w:rPr>
                <w:sz w:val="20"/>
                <w:szCs w:val="20"/>
                <w:color w:val="auto"/>
              </w:rPr>
            </w:pPr>
            <w:r>
              <w:rPr>
                <w:rFonts w:ascii="Arial" w:cs="Arial" w:eastAsia="Arial" w:hAnsi="Arial"/>
                <w:sz w:val="18"/>
                <w:szCs w:val="18"/>
                <w:color w:val="auto"/>
              </w:rPr>
              <w:t>10.102</w:t>
            </w:r>
          </w:p>
        </w:tc>
        <w:tc>
          <w:tcPr>
            <w:tcW w:w="10380" w:type="dxa"/>
            <w:vAlign w:val="bottom"/>
          </w:tcPr>
          <w:p>
            <w:pPr>
              <w:ind w:left="380"/>
              <w:spacing w:after="0" w:line="198" w:lineRule="exact"/>
              <w:rPr>
                <w:sz w:val="20"/>
                <w:szCs w:val="20"/>
                <w:color w:val="auto"/>
              </w:rPr>
            </w:pPr>
            <w:r>
              <w:rPr>
                <w:rFonts w:ascii="Arial" w:cs="Arial" w:eastAsia="Arial" w:hAnsi="Arial"/>
                <w:sz w:val="18"/>
                <w:szCs w:val="18"/>
                <w:color w:val="auto"/>
                <w:w w:val="89"/>
              </w:rPr>
              <w:t>Form of Promissory Note and Form of Warrant issued by the Company to Icahn School of Business at Mount Sinai effective April 10, 2014 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4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Arial" w:cs="Arial" w:eastAsia="Arial" w:hAnsi="Arial"/>
                <w:sz w:val="18"/>
                <w:szCs w:val="18"/>
                <w:color w:val="auto"/>
                <w:w w:val="92"/>
              </w:rPr>
              <w:t>satisfaction of technology license maintenance fees and reimbursable patent costs, incorporated by reference from Exhibit 10.102 to the</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0400" w:type="dxa"/>
            <w:vAlign w:val="bottom"/>
            <w:gridSpan w:val="2"/>
          </w:tcPr>
          <w:p>
            <w:pPr>
              <w:ind w:left="380"/>
              <w:spacing w:after="0"/>
              <w:rPr>
                <w:sz w:val="20"/>
                <w:szCs w:val="20"/>
                <w:color w:val="auto"/>
              </w:rPr>
            </w:pPr>
            <w:r>
              <w:rPr>
                <w:rFonts w:ascii="Arial" w:cs="Arial" w:eastAsia="Arial" w:hAnsi="Arial"/>
                <w:sz w:val="18"/>
                <w:szCs w:val="18"/>
                <w:color w:val="auto"/>
              </w:rPr>
              <w:t>Company’s Annual Report on Form 10-K filed on June 24, 2014.</w:t>
            </w:r>
          </w:p>
        </w:tc>
        <w:tc>
          <w:tcPr>
            <w:tcW w:w="0" w:type="dxa"/>
            <w:vAlign w:val="bottom"/>
          </w:tcPr>
          <w:p>
            <w:pPr>
              <w:spacing w:after="0"/>
              <w:rPr>
                <w:sz w:val="1"/>
                <w:szCs w:val="1"/>
                <w:color w:val="auto"/>
              </w:rPr>
            </w:pPr>
          </w:p>
        </w:tc>
      </w:tr>
      <w:tr>
        <w:trPr>
          <w:trHeight w:val="199"/>
        </w:trPr>
        <w:tc>
          <w:tcPr>
            <w:tcW w:w="1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10.103</w:t>
            </w:r>
          </w:p>
        </w:tc>
        <w:tc>
          <w:tcPr>
            <w:tcW w:w="1038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0"/>
              </w:rPr>
              <w:t>Amendment No. 3 to Sponsored Research Collaboration Agreement, dated April 25, 2011, by and between VistaGen and University Health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40" w:type="dxa"/>
            <w:vAlign w:val="bottom"/>
            <w:shd w:val="clear" w:color="auto" w:fill="CCEEFF"/>
          </w:tcPr>
          <w:p>
            <w:pPr>
              <w:spacing w:after="0"/>
              <w:rPr>
                <w:sz w:val="19"/>
                <w:szCs w:val="19"/>
                <w:color w:val="auto"/>
              </w:rPr>
            </w:pP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Network, incorporated by reference from Exhibit 10.103 to the Company’s Annual Report on Form 10-K filed on June 24, 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line="198" w:lineRule="exact"/>
              <w:rPr>
                <w:sz w:val="20"/>
                <w:szCs w:val="20"/>
                <w:color w:val="auto"/>
              </w:rPr>
            </w:pPr>
            <w:r>
              <w:rPr>
                <w:rFonts w:ascii="Arial" w:cs="Arial" w:eastAsia="Arial" w:hAnsi="Arial"/>
                <w:sz w:val="18"/>
                <w:szCs w:val="18"/>
                <w:color w:val="auto"/>
              </w:rPr>
              <w:t>10.104</w:t>
            </w:r>
          </w:p>
        </w:tc>
        <w:tc>
          <w:tcPr>
            <w:tcW w:w="10380" w:type="dxa"/>
            <w:vAlign w:val="bottom"/>
          </w:tcPr>
          <w:p>
            <w:pPr>
              <w:ind w:left="380"/>
              <w:spacing w:after="0" w:line="198" w:lineRule="exact"/>
              <w:rPr>
                <w:sz w:val="20"/>
                <w:szCs w:val="20"/>
                <w:color w:val="auto"/>
              </w:rPr>
            </w:pPr>
            <w:r>
              <w:rPr>
                <w:rFonts w:ascii="Arial" w:cs="Arial" w:eastAsia="Arial" w:hAnsi="Arial"/>
                <w:sz w:val="18"/>
                <w:szCs w:val="18"/>
                <w:color w:val="auto"/>
                <w:w w:val="87"/>
              </w:rPr>
              <w:t>Amendment No. 5 to Sponsored Research Collaboration Agreement, dated October 10, 2012, by and between VistaGen and University Health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0400" w:type="dxa"/>
            <w:vAlign w:val="bottom"/>
            <w:gridSpan w:val="2"/>
          </w:tcPr>
          <w:p>
            <w:pPr>
              <w:ind w:left="380"/>
              <w:spacing w:after="0"/>
              <w:rPr>
                <w:sz w:val="20"/>
                <w:szCs w:val="20"/>
                <w:color w:val="auto"/>
              </w:rPr>
            </w:pPr>
            <w:r>
              <w:rPr>
                <w:rFonts w:ascii="Arial" w:cs="Arial" w:eastAsia="Arial" w:hAnsi="Arial"/>
                <w:sz w:val="18"/>
                <w:szCs w:val="18"/>
                <w:color w:val="auto"/>
                <w:w w:val="99"/>
              </w:rPr>
              <w:t>Network, incorporated by reference from Exhibit 10.104 to the Company’s Annual Report on Form 10-K filed on June 24, 2014.</w:t>
            </w:r>
          </w:p>
        </w:tc>
        <w:tc>
          <w:tcPr>
            <w:tcW w:w="0" w:type="dxa"/>
            <w:vAlign w:val="bottom"/>
          </w:tcPr>
          <w:p>
            <w:pPr>
              <w:spacing w:after="0"/>
              <w:rPr>
                <w:sz w:val="1"/>
                <w:szCs w:val="1"/>
                <w:color w:val="auto"/>
              </w:rPr>
            </w:pPr>
          </w:p>
        </w:tc>
      </w:tr>
      <w:tr>
        <w:trPr>
          <w:trHeight w:val="199"/>
        </w:trPr>
        <w:tc>
          <w:tcPr>
            <w:tcW w:w="1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10.105</w:t>
            </w:r>
          </w:p>
        </w:tc>
        <w:tc>
          <w:tcPr>
            <w:tcW w:w="1038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0"/>
              </w:rPr>
              <w:t>Amended and Restated Note Conversion Agreement and Warrant Amendment, by and between VistaGen Therapeutics, Inc. and Platinum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40" w:type="dxa"/>
            <w:vAlign w:val="bottom"/>
            <w:shd w:val="clear" w:color="auto" w:fill="CCEEFF"/>
          </w:tcPr>
          <w:p>
            <w:pPr>
              <w:spacing w:after="0"/>
              <w:rPr>
                <w:sz w:val="18"/>
                <w:szCs w:val="18"/>
                <w:color w:val="auto"/>
              </w:rPr>
            </w:pP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Long Term Growth VII, LLC, dated July 18, 2014, incorporated by reference from Exhibit 10.1 to the Company’s Current Report on Form 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shd w:val="clear" w:color="auto" w:fill="CCEEFF"/>
          </w:tcPr>
          <w:p>
            <w:pPr>
              <w:spacing w:after="0"/>
              <w:rPr>
                <w:sz w:val="19"/>
                <w:szCs w:val="19"/>
                <w:color w:val="auto"/>
              </w:rPr>
            </w:pP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K filed on July 22, 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line="198" w:lineRule="exact"/>
              <w:rPr>
                <w:sz w:val="20"/>
                <w:szCs w:val="20"/>
                <w:color w:val="auto"/>
              </w:rPr>
            </w:pPr>
            <w:r>
              <w:rPr>
                <w:rFonts w:ascii="Arial" w:cs="Arial" w:eastAsia="Arial" w:hAnsi="Arial"/>
                <w:sz w:val="18"/>
                <w:szCs w:val="18"/>
                <w:color w:val="auto"/>
              </w:rPr>
              <w:t>10.106</w:t>
            </w:r>
          </w:p>
        </w:tc>
        <w:tc>
          <w:tcPr>
            <w:tcW w:w="10380" w:type="dxa"/>
            <w:vAlign w:val="bottom"/>
          </w:tcPr>
          <w:p>
            <w:pPr>
              <w:ind w:left="380"/>
              <w:spacing w:after="0" w:line="198" w:lineRule="exact"/>
              <w:rPr>
                <w:sz w:val="20"/>
                <w:szCs w:val="20"/>
                <w:color w:val="auto"/>
              </w:rPr>
            </w:pPr>
            <w:r>
              <w:rPr>
                <w:rFonts w:ascii="Arial" w:cs="Arial" w:eastAsia="Arial" w:hAnsi="Arial"/>
                <w:sz w:val="18"/>
                <w:szCs w:val="18"/>
                <w:color w:val="auto"/>
                <w:w w:val="88"/>
              </w:rPr>
              <w:t>Amendment No. 1 to Amended and Restated Note Conversion Agreement and Warrant Amendment, by and between VistaGen Therapeutics,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4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Arial" w:cs="Arial" w:eastAsia="Arial" w:hAnsi="Arial"/>
                <w:sz w:val="18"/>
                <w:szCs w:val="18"/>
                <w:color w:val="auto"/>
                <w:w w:val="92"/>
              </w:rPr>
              <w:t>Inc. and Platinum Long Term Growth VII, LLC, dated September 2, 2014, incorporated by reference from Exhibit 10.1 to the Company’s</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0400" w:type="dxa"/>
            <w:vAlign w:val="bottom"/>
            <w:gridSpan w:val="2"/>
          </w:tcPr>
          <w:p>
            <w:pPr>
              <w:ind w:left="380"/>
              <w:spacing w:after="0"/>
              <w:rPr>
                <w:sz w:val="20"/>
                <w:szCs w:val="20"/>
                <w:color w:val="auto"/>
              </w:rPr>
            </w:pPr>
            <w:r>
              <w:rPr>
                <w:rFonts w:ascii="Arial" w:cs="Arial" w:eastAsia="Arial" w:hAnsi="Arial"/>
                <w:sz w:val="18"/>
                <w:szCs w:val="18"/>
                <w:color w:val="auto"/>
              </w:rPr>
              <w:t>Current Report on Form 8-K filed on September 4, 2014.</w:t>
            </w:r>
          </w:p>
        </w:tc>
        <w:tc>
          <w:tcPr>
            <w:tcW w:w="0" w:type="dxa"/>
            <w:vAlign w:val="bottom"/>
          </w:tcPr>
          <w:p>
            <w:pPr>
              <w:spacing w:after="0"/>
              <w:rPr>
                <w:sz w:val="1"/>
                <w:szCs w:val="1"/>
                <w:color w:val="auto"/>
              </w:rPr>
            </w:pPr>
          </w:p>
        </w:tc>
      </w:tr>
      <w:tr>
        <w:trPr>
          <w:trHeight w:val="199"/>
        </w:trPr>
        <w:tc>
          <w:tcPr>
            <w:tcW w:w="1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10.107</w:t>
            </w:r>
          </w:p>
        </w:tc>
        <w:tc>
          <w:tcPr>
            <w:tcW w:w="1038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88"/>
              </w:rPr>
              <w:t>Amendment No. 2 to Amended and Restated Note Conversion Agreement and Warrant Amendment, by and between VistaGen Therapeutics,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40" w:type="dxa"/>
            <w:vAlign w:val="bottom"/>
            <w:shd w:val="clear" w:color="auto" w:fill="CCEEFF"/>
          </w:tcPr>
          <w:p>
            <w:pPr>
              <w:spacing w:after="0"/>
              <w:rPr>
                <w:sz w:val="18"/>
                <w:szCs w:val="18"/>
                <w:color w:val="auto"/>
              </w:rPr>
            </w:pP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Inc. and Platinum Long Term Growth VII, LLC, dated September 30, 2014, incorporated by reference from Exhibit 10.1 to the Company’s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shd w:val="clear" w:color="auto" w:fill="CCEEFF"/>
          </w:tcPr>
          <w:p>
            <w:pPr>
              <w:spacing w:after="0"/>
              <w:rPr>
                <w:sz w:val="19"/>
                <w:szCs w:val="19"/>
                <w:color w:val="auto"/>
              </w:rPr>
            </w:pP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Report on Form 8-K filed on October 3, 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04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line="198" w:lineRule="exact"/>
              <w:rPr>
                <w:sz w:val="20"/>
                <w:szCs w:val="20"/>
                <w:color w:val="auto"/>
              </w:rPr>
            </w:pPr>
            <w:r>
              <w:rPr>
                <w:rFonts w:ascii="Arial" w:cs="Arial" w:eastAsia="Arial" w:hAnsi="Arial"/>
                <w:sz w:val="18"/>
                <w:szCs w:val="18"/>
                <w:color w:val="auto"/>
              </w:rPr>
              <w:t>10.108</w:t>
            </w:r>
          </w:p>
        </w:tc>
        <w:tc>
          <w:tcPr>
            <w:tcW w:w="10380" w:type="dxa"/>
            <w:vAlign w:val="bottom"/>
          </w:tcPr>
          <w:p>
            <w:pPr>
              <w:ind w:left="380"/>
              <w:spacing w:after="0" w:line="198" w:lineRule="exact"/>
              <w:rPr>
                <w:sz w:val="20"/>
                <w:szCs w:val="20"/>
                <w:color w:val="auto"/>
              </w:rPr>
            </w:pPr>
            <w:r>
              <w:rPr>
                <w:rFonts w:ascii="Arial" w:cs="Arial" w:eastAsia="Arial" w:hAnsi="Arial"/>
                <w:sz w:val="18"/>
                <w:szCs w:val="18"/>
                <w:color w:val="auto"/>
                <w:w w:val="92"/>
              </w:rPr>
              <w:t>Agreement, by and between VistaGen Therapeutics, Inc. and Platinum Long Term Growth VII, LLC, dated May 5, 2015, incorporated by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0400" w:type="dxa"/>
            <w:vAlign w:val="bottom"/>
            <w:gridSpan w:val="2"/>
          </w:tcPr>
          <w:p>
            <w:pPr>
              <w:ind w:left="380"/>
              <w:spacing w:after="0"/>
              <w:rPr>
                <w:sz w:val="20"/>
                <w:szCs w:val="20"/>
                <w:color w:val="auto"/>
              </w:rPr>
            </w:pPr>
            <w:r>
              <w:rPr>
                <w:rFonts w:ascii="Arial" w:cs="Arial" w:eastAsia="Arial" w:hAnsi="Arial"/>
                <w:sz w:val="18"/>
                <w:szCs w:val="18"/>
                <w:color w:val="auto"/>
              </w:rPr>
              <w:t>reference from Exhibit 10.1 to the Company’s Current Report on Form 8-K filed on May 13, 2015.</w:t>
            </w:r>
          </w:p>
        </w:tc>
        <w:tc>
          <w:tcPr>
            <w:tcW w:w="0" w:type="dxa"/>
            <w:vAlign w:val="bottom"/>
          </w:tcPr>
          <w:p>
            <w:pPr>
              <w:spacing w:after="0"/>
              <w:rPr>
                <w:sz w:val="1"/>
                <w:szCs w:val="1"/>
                <w:color w:val="auto"/>
              </w:rPr>
            </w:pPr>
          </w:p>
        </w:tc>
      </w:tr>
      <w:tr>
        <w:trPr>
          <w:trHeight w:val="199"/>
        </w:trPr>
        <w:tc>
          <w:tcPr>
            <w:tcW w:w="1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10.109</w:t>
            </w:r>
          </w:p>
        </w:tc>
        <w:tc>
          <w:tcPr>
            <w:tcW w:w="1038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0"/>
              </w:rPr>
              <w:t>Acknowledgement and Agreement, by and between VistaGen Therapeutics, Inc. and Platinum Long Term Growth VII, LLC, dated May 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shd w:val="clear" w:color="auto" w:fill="CCEEFF"/>
          </w:tcPr>
          <w:p>
            <w:pPr>
              <w:spacing w:after="0"/>
              <w:rPr>
                <w:sz w:val="19"/>
                <w:szCs w:val="19"/>
                <w:color w:val="auto"/>
              </w:rPr>
            </w:pP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2015, incorporated by reference from Exhibit 10.2 to the Company’s Current Report on Form 8-K filed on May 13, 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04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line="198" w:lineRule="exact"/>
              <w:rPr>
                <w:sz w:val="20"/>
                <w:szCs w:val="20"/>
                <w:color w:val="auto"/>
              </w:rPr>
            </w:pPr>
            <w:r>
              <w:rPr>
                <w:rFonts w:ascii="Arial" w:cs="Arial" w:eastAsia="Arial" w:hAnsi="Arial"/>
                <w:sz w:val="18"/>
                <w:szCs w:val="18"/>
                <w:color w:val="auto"/>
              </w:rPr>
              <w:t>10.110</w:t>
            </w:r>
          </w:p>
        </w:tc>
        <w:tc>
          <w:tcPr>
            <w:tcW w:w="10380" w:type="dxa"/>
            <w:vAlign w:val="bottom"/>
          </w:tcPr>
          <w:p>
            <w:pPr>
              <w:ind w:left="380"/>
              <w:spacing w:after="0" w:line="198" w:lineRule="exact"/>
              <w:rPr>
                <w:sz w:val="20"/>
                <w:szCs w:val="20"/>
                <w:color w:val="auto"/>
              </w:rPr>
            </w:pPr>
            <w:r>
              <w:rPr>
                <w:rFonts w:ascii="Arial" w:cs="Arial" w:eastAsia="Arial" w:hAnsi="Arial"/>
                <w:sz w:val="18"/>
                <w:szCs w:val="18"/>
                <w:color w:val="auto"/>
                <w:w w:val="90"/>
              </w:rPr>
              <w:t>Form of Securities Purchase Agreement by and between VistaGen Therapeutics, Inc. and Platinum Long Term Growth VII, LLC, dated May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0400" w:type="dxa"/>
            <w:vAlign w:val="bottom"/>
            <w:gridSpan w:val="2"/>
          </w:tcPr>
          <w:p>
            <w:pPr>
              <w:ind w:left="380"/>
              <w:spacing w:after="0"/>
              <w:rPr>
                <w:sz w:val="20"/>
                <w:szCs w:val="20"/>
                <w:color w:val="auto"/>
              </w:rPr>
            </w:pPr>
            <w:r>
              <w:rPr>
                <w:rFonts w:ascii="Arial" w:cs="Arial" w:eastAsia="Arial" w:hAnsi="Arial"/>
                <w:sz w:val="18"/>
                <w:szCs w:val="18"/>
                <w:color w:val="auto"/>
              </w:rPr>
              <w:t>12, 2015, incorporated by reference from Exhibit 10.3 to the Company’s Current Report on Form 8-K filed on May 13, 2015.</w:t>
            </w:r>
          </w:p>
        </w:tc>
        <w:tc>
          <w:tcPr>
            <w:tcW w:w="0" w:type="dxa"/>
            <w:vAlign w:val="bottom"/>
          </w:tcPr>
          <w:p>
            <w:pPr>
              <w:spacing w:after="0"/>
              <w:rPr>
                <w:sz w:val="1"/>
                <w:szCs w:val="1"/>
                <w:color w:val="auto"/>
              </w:rPr>
            </w:pPr>
          </w:p>
        </w:tc>
      </w:tr>
      <w:tr>
        <w:trPr>
          <w:trHeight w:val="211"/>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List of Subsidiaries.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10380" w:type="dxa"/>
            <w:vAlign w:val="bottom"/>
          </w:tcPr>
          <w:p>
            <w:pPr>
              <w:ind w:left="380"/>
              <w:spacing w:after="0"/>
              <w:rPr>
                <w:sz w:val="20"/>
                <w:szCs w:val="20"/>
                <w:color w:val="auto"/>
              </w:rPr>
            </w:pPr>
            <w:r>
              <w:rPr>
                <w:rFonts w:ascii="Arial" w:cs="Arial" w:eastAsia="Arial" w:hAnsi="Arial"/>
                <w:sz w:val="18"/>
                <w:szCs w:val="18"/>
                <w:color w:val="auto"/>
              </w:rPr>
              <w:t>Power of Attorney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38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32.1</w:t>
            </w:r>
          </w:p>
        </w:tc>
        <w:tc>
          <w:tcPr>
            <w:tcW w:w="10380" w:type="dxa"/>
            <w:vAlign w:val="bottom"/>
            <w:shd w:val="clear" w:color="auto" w:fill="CCEEFF"/>
          </w:tcPr>
          <w:p>
            <w:pPr>
              <w:ind w:left="380"/>
              <w:spacing w:after="0" w:line="198" w:lineRule="exact"/>
              <w:rPr>
                <w:sz w:val="20"/>
                <w:szCs w:val="20"/>
                <w:color w:val="auto"/>
              </w:rPr>
            </w:pPr>
            <w:r>
              <w:rPr>
                <w:rFonts w:ascii="Arial" w:cs="Arial" w:eastAsia="Arial" w:hAnsi="Arial"/>
                <w:sz w:val="18"/>
                <w:szCs w:val="18"/>
                <w:color w:val="auto"/>
                <w:w w:val="92"/>
              </w:rPr>
              <w:t>Certification of the Company’s Chief Executive Officer and Chief Financial Officer pursuant to Section 906 of the Sarbanes-Oxley Act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40" w:type="dxa"/>
            <w:vAlign w:val="bottom"/>
            <w:shd w:val="clear" w:color="auto" w:fill="CCEEFF"/>
          </w:tcPr>
          <w:p>
            <w:pPr>
              <w:spacing w:after="0"/>
              <w:rPr>
                <w:sz w:val="19"/>
                <w:szCs w:val="19"/>
                <w:color w:val="auto"/>
              </w:rPr>
            </w:pP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380"/>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XBRL Taxonomy Schema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380"/>
              <w:spacing w:after="0"/>
              <w:rPr>
                <w:sz w:val="20"/>
                <w:szCs w:val="20"/>
                <w:color w:val="auto"/>
              </w:rPr>
            </w:pPr>
            <w:r>
              <w:rPr>
                <w:rFonts w:ascii="Arial" w:cs="Arial" w:eastAsia="Arial" w:hAnsi="Arial"/>
                <w:sz w:val="18"/>
                <w:szCs w:val="18"/>
                <w:color w:val="auto"/>
              </w:rPr>
              <w:t>XBRL Taxonomy Extension Calculation Linkbase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XBRL Taxonomy Extension Definition Linkbase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80" w:hanging="175"/>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Incorporated by reference from the like-numbered exhibit filed with our Current Report on Form 8-K on May 16, 2011.</w:t>
      </w:r>
    </w:p>
    <w:p>
      <w:pPr>
        <w:spacing w:after="0" w:line="200" w:lineRule="exact"/>
        <w:rPr>
          <w:rFonts w:ascii="Arial" w:cs="Arial" w:eastAsia="Arial" w:hAnsi="Arial"/>
          <w:sz w:val="18"/>
          <w:szCs w:val="18"/>
          <w:color w:val="auto"/>
        </w:rPr>
      </w:pPr>
    </w:p>
    <w:p>
      <w:pPr>
        <w:spacing w:after="0" w:line="396"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4" w:name="page175"/>
    <w:bookmarkEnd w:id="17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jc w:val="both"/>
        <w:ind w:firstLine="474"/>
        <w:spacing w:after="0" w:line="32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South San Francisco, State of California, on the 29th day of June, 2015.</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220" w:lineRule="exact"/>
        <w:rPr>
          <w:sz w:val="20"/>
          <w:szCs w:val="20"/>
          <w:color w:val="auto"/>
        </w:rPr>
      </w:pPr>
    </w:p>
    <w:p>
      <w:pPr>
        <w:spacing w:after="0"/>
        <w:tabs>
          <w:tab w:leader="none" w:pos="5580" w:val="left"/>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i w:val="1"/>
          <w:iCs w:val="1"/>
          <w:color w:val="auto"/>
        </w:rPr>
        <w:t>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10160</wp:posOffset>
            </wp:positionV>
            <wp:extent cx="631317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313170" cy="16510"/>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Shawn K. Singh, J.D.</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1" w:lineRule="exact"/>
        <w:rPr>
          <w:sz w:val="20"/>
          <w:szCs w:val="20"/>
          <w:color w:val="auto"/>
        </w:rPr>
      </w:pPr>
    </w:p>
    <w:p>
      <w:pPr>
        <w:jc w:val="both"/>
        <w:ind w:firstLine="474"/>
        <w:spacing w:after="0" w:line="286"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each of Shawn K. Singh,</w:t>
      </w:r>
      <w:r>
        <w:rPr>
          <w:rFonts w:ascii="Arial" w:cs="Arial" w:eastAsia="Arial" w:hAnsi="Arial"/>
          <w:sz w:val="16"/>
          <w:szCs w:val="16"/>
          <w:b w:val="1"/>
          <w:bCs w:val="1"/>
          <w:color w:val="auto"/>
        </w:rPr>
        <w:t xml:space="preserve"> </w:t>
      </w:r>
      <w:r>
        <w:rPr>
          <w:rFonts w:ascii="Arial" w:cs="Arial" w:eastAsia="Arial" w:hAnsi="Arial"/>
          <w:sz w:val="16"/>
          <w:szCs w:val="16"/>
          <w:color w:val="auto"/>
        </w:rPr>
        <w:t>J.D. and Jerrold D. Dotson his true and lawful attorney-in-fact and agent, with 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 opposite his name.</w:t>
      </w:r>
    </w:p>
    <w:p>
      <w:pPr>
        <w:spacing w:after="0" w:line="241" w:lineRule="exact"/>
        <w:rPr>
          <w:sz w:val="20"/>
          <w:szCs w:val="20"/>
          <w:color w:val="auto"/>
        </w:rPr>
      </w:pPr>
    </w:p>
    <w:p>
      <w:pPr>
        <w:jc w:val="both"/>
        <w:ind w:firstLine="474"/>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center"/>
              <w:ind w:right="1760"/>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20"/>
                <w:szCs w:val="20"/>
                <w:color w:val="auto"/>
              </w:rPr>
            </w:pPr>
          </w:p>
        </w:tc>
        <w:tc>
          <w:tcPr>
            <w:tcW w:w="386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82"/>
        </w:trPr>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90"/>
              </w:rPr>
              <w:t>Shawn K. Singh</w:t>
            </w:r>
          </w:p>
        </w:tc>
        <w:tc>
          <w:tcPr>
            <w:tcW w:w="1680" w:type="dxa"/>
            <w:vAlign w:val="bottom"/>
            <w:gridSpan w:val="2"/>
          </w:tcPr>
          <w:p>
            <w:pPr>
              <w:spacing w:after="0"/>
              <w:rPr>
                <w:sz w:val="24"/>
                <w:szCs w:val="24"/>
                <w:color w:val="auto"/>
              </w:rPr>
            </w:pPr>
          </w:p>
        </w:tc>
        <w:tc>
          <w:tcPr>
            <w:tcW w:w="4100" w:type="dxa"/>
            <w:vAlign w:val="bottom"/>
            <w:gridSpan w:val="2"/>
          </w:tcPr>
          <w:p>
            <w:pPr>
              <w:ind w:left="240"/>
              <w:spacing w:after="0"/>
              <w:rPr>
                <w:sz w:val="20"/>
                <w:szCs w:val="20"/>
                <w:color w:val="auto"/>
              </w:rPr>
            </w:pPr>
            <w:r>
              <w:rPr>
                <w:rFonts w:ascii="Arial" w:cs="Arial" w:eastAsia="Arial" w:hAnsi="Arial"/>
                <w:sz w:val="18"/>
                <w:szCs w:val="18"/>
                <w:color w:val="auto"/>
              </w:rPr>
              <w:t>Chief Executive Officer, and Director</w:t>
            </w:r>
          </w:p>
        </w:tc>
        <w:tc>
          <w:tcPr>
            <w:tcW w:w="2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5"/>
              </w:rPr>
              <w:t>June 29, 2015</w:t>
            </w:r>
          </w:p>
        </w:tc>
      </w:tr>
      <w:tr>
        <w:trPr>
          <w:trHeight w:val="230"/>
        </w:trPr>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40" w:type="dxa"/>
            <w:vAlign w:val="bottom"/>
            <w:gridSpan w:val="6"/>
          </w:tcPr>
          <w:p>
            <w:pPr>
              <w:jc w:val="center"/>
              <w:ind w:right="1600"/>
              <w:spacing w:after="0"/>
              <w:rPr>
                <w:sz w:val="20"/>
                <w:szCs w:val="20"/>
                <w:color w:val="auto"/>
              </w:rPr>
            </w:pPr>
            <w:r>
              <w:rPr>
                <w:rFonts w:ascii="Arial" w:cs="Arial" w:eastAsia="Arial" w:hAnsi="Arial"/>
                <w:sz w:val="18"/>
                <w:szCs w:val="18"/>
                <w:b w:val="1"/>
                <w:bCs w:val="1"/>
                <w:color w:val="auto"/>
                <w:w w:val="89"/>
              </w:rPr>
              <w:t>Shawn K. Singh, JD</w:t>
            </w:r>
          </w:p>
        </w:tc>
        <w:tc>
          <w:tcPr>
            <w:tcW w:w="4100" w:type="dxa"/>
            <w:vAlign w:val="bottom"/>
            <w:gridSpan w:val="2"/>
          </w:tcPr>
          <w:p>
            <w:pPr>
              <w:ind w:left="240"/>
              <w:spacing w:after="0"/>
              <w:rPr>
                <w:sz w:val="20"/>
                <w:szCs w:val="20"/>
                <w:color w:val="auto"/>
              </w:rPr>
            </w:pPr>
            <w:r>
              <w:rPr>
                <w:rFonts w:ascii="Arial" w:cs="Arial" w:eastAsia="Arial" w:hAnsi="Arial"/>
                <w:sz w:val="18"/>
                <w:szCs w:val="18"/>
                <w:i w:val="1"/>
                <w:iCs w:val="1"/>
                <w:color w:val="auto"/>
              </w:rPr>
              <w:t>(Principal Executive Officer)</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83"/>
        </w:trPr>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Jerrold D. Dotson</w:t>
            </w:r>
          </w:p>
        </w:tc>
        <w:tc>
          <w:tcPr>
            <w:tcW w:w="1840" w:type="dxa"/>
            <w:vAlign w:val="bottom"/>
            <w:gridSpan w:val="4"/>
          </w:tcPr>
          <w:p>
            <w:pPr>
              <w:spacing w:after="0"/>
              <w:rPr>
                <w:sz w:val="24"/>
                <w:szCs w:val="24"/>
                <w:color w:val="auto"/>
              </w:rPr>
            </w:pPr>
          </w:p>
        </w:tc>
        <w:tc>
          <w:tcPr>
            <w:tcW w:w="4100" w:type="dxa"/>
            <w:vAlign w:val="bottom"/>
            <w:gridSpan w:val="2"/>
          </w:tcPr>
          <w:p>
            <w:pPr>
              <w:ind w:left="240"/>
              <w:spacing w:after="0"/>
              <w:rPr>
                <w:sz w:val="20"/>
                <w:szCs w:val="20"/>
                <w:color w:val="auto"/>
              </w:rPr>
            </w:pPr>
            <w:r>
              <w:rPr>
                <w:rFonts w:ascii="Arial" w:cs="Arial" w:eastAsia="Arial" w:hAnsi="Arial"/>
                <w:sz w:val="18"/>
                <w:szCs w:val="18"/>
                <w:color w:val="auto"/>
              </w:rPr>
              <w:t>Vice President and Chief Financial Officer</w:t>
            </w:r>
          </w:p>
        </w:tc>
        <w:tc>
          <w:tcPr>
            <w:tcW w:w="2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5"/>
              </w:rPr>
              <w:t>June 29, 2015</w:t>
            </w:r>
          </w:p>
        </w:tc>
      </w:tr>
      <w:tr>
        <w:trPr>
          <w:trHeight w:val="230"/>
        </w:trPr>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60" w:type="dxa"/>
            <w:vAlign w:val="bottom"/>
            <w:gridSpan w:val="5"/>
          </w:tcPr>
          <w:p>
            <w:pPr>
              <w:jc w:val="center"/>
              <w:ind w:right="1780"/>
              <w:spacing w:after="0"/>
              <w:rPr>
                <w:sz w:val="20"/>
                <w:szCs w:val="20"/>
                <w:color w:val="auto"/>
              </w:rPr>
            </w:pPr>
            <w:r>
              <w:rPr>
                <w:rFonts w:ascii="Arial" w:cs="Arial" w:eastAsia="Arial" w:hAnsi="Arial"/>
                <w:sz w:val="18"/>
                <w:szCs w:val="18"/>
                <w:b w:val="1"/>
                <w:bCs w:val="1"/>
                <w:color w:val="auto"/>
                <w:w w:val="87"/>
              </w:rPr>
              <w:t>Jerrold D. Dotson</w:t>
            </w:r>
          </w:p>
        </w:tc>
        <w:tc>
          <w:tcPr>
            <w:tcW w:w="4100" w:type="dxa"/>
            <w:vAlign w:val="bottom"/>
            <w:gridSpan w:val="2"/>
          </w:tcPr>
          <w:p>
            <w:pPr>
              <w:ind w:left="240"/>
              <w:spacing w:after="0"/>
              <w:rPr>
                <w:sz w:val="20"/>
                <w:szCs w:val="20"/>
                <w:color w:val="auto"/>
              </w:rPr>
            </w:pPr>
            <w:r>
              <w:rPr>
                <w:rFonts w:ascii="Arial" w:cs="Arial" w:eastAsia="Arial" w:hAnsi="Arial"/>
                <w:sz w:val="18"/>
                <w:szCs w:val="18"/>
                <w:i w:val="1"/>
                <w:iCs w:val="1"/>
                <w:color w:val="auto"/>
              </w:rPr>
              <w:t>(Principal Financial and Accounting Officer)</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83"/>
        </w:trPr>
        <w:tc>
          <w:tcPr>
            <w:tcW w:w="1480" w:type="dxa"/>
            <w:vAlign w:val="bottom"/>
          </w:tcPr>
          <w:p>
            <w:pPr>
              <w:spacing w:after="0"/>
              <w:rPr>
                <w:sz w:val="24"/>
                <w:szCs w:val="24"/>
                <w:color w:val="auto"/>
              </w:rPr>
            </w:pPr>
          </w:p>
        </w:tc>
        <w:tc>
          <w:tcPr>
            <w:tcW w:w="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8"/>
                <w:szCs w:val="18"/>
                <w:color w:val="auto"/>
                <w:w w:val="86"/>
              </w:rPr>
              <w:t>H. Ralph Snodgrass</w:t>
            </w:r>
          </w:p>
        </w:tc>
        <w:tc>
          <w:tcPr>
            <w:tcW w:w="1460" w:type="dxa"/>
            <w:vAlign w:val="bottom"/>
          </w:tcPr>
          <w:p>
            <w:pPr>
              <w:spacing w:after="0"/>
              <w:rPr>
                <w:sz w:val="24"/>
                <w:szCs w:val="24"/>
                <w:color w:val="auto"/>
              </w:rPr>
            </w:pPr>
          </w:p>
        </w:tc>
        <w:tc>
          <w:tcPr>
            <w:tcW w:w="4100" w:type="dxa"/>
            <w:vAlign w:val="bottom"/>
            <w:gridSpan w:val="2"/>
          </w:tcPr>
          <w:p>
            <w:pPr>
              <w:ind w:left="240"/>
              <w:spacing w:after="0"/>
              <w:rPr>
                <w:sz w:val="20"/>
                <w:szCs w:val="20"/>
                <w:color w:val="auto"/>
              </w:rPr>
            </w:pPr>
            <w:r>
              <w:rPr>
                <w:rFonts w:ascii="Arial" w:cs="Arial" w:eastAsia="Arial" w:hAnsi="Arial"/>
                <w:sz w:val="18"/>
                <w:szCs w:val="18"/>
                <w:color w:val="auto"/>
              </w:rPr>
              <w:t>President, Chief Scientific Officer and Director</w:t>
            </w:r>
          </w:p>
        </w:tc>
        <w:tc>
          <w:tcPr>
            <w:tcW w:w="2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5"/>
              </w:rPr>
              <w:t>June 29, 2015</w:t>
            </w:r>
          </w:p>
        </w:tc>
      </w:tr>
      <w:tr>
        <w:trPr>
          <w:trHeight w:val="230"/>
        </w:trPr>
        <w:tc>
          <w:tcPr>
            <w:tcW w:w="1480" w:type="dxa"/>
            <w:vAlign w:val="bottom"/>
          </w:tcPr>
          <w:p>
            <w:pPr>
              <w:spacing w:after="0"/>
              <w:rPr>
                <w:sz w:val="19"/>
                <w:szCs w:val="19"/>
                <w:color w:val="auto"/>
              </w:rPr>
            </w:pPr>
          </w:p>
        </w:tc>
        <w:tc>
          <w:tcPr>
            <w:tcW w:w="3560" w:type="dxa"/>
            <w:vAlign w:val="bottom"/>
            <w:gridSpan w:val="8"/>
          </w:tcPr>
          <w:p>
            <w:pPr>
              <w:jc w:val="center"/>
              <w:ind w:right="1480"/>
              <w:spacing w:after="0"/>
              <w:rPr>
                <w:sz w:val="20"/>
                <w:szCs w:val="20"/>
                <w:color w:val="auto"/>
              </w:rPr>
            </w:pPr>
            <w:r>
              <w:rPr>
                <w:rFonts w:ascii="Arial" w:cs="Arial" w:eastAsia="Arial" w:hAnsi="Arial"/>
                <w:sz w:val="18"/>
                <w:szCs w:val="18"/>
                <w:b w:val="1"/>
                <w:bCs w:val="1"/>
                <w:color w:val="auto"/>
                <w:w w:val="88"/>
              </w:rPr>
              <w:t>H. Ralph Snodgrass, Ph.D</w:t>
            </w:r>
          </w:p>
        </w:tc>
        <w:tc>
          <w:tcPr>
            <w:tcW w:w="2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83"/>
        </w:trPr>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 S. Saxe</w:t>
            </w:r>
          </w:p>
        </w:tc>
        <w:tc>
          <w:tcPr>
            <w:tcW w:w="1760" w:type="dxa"/>
            <w:vAlign w:val="bottom"/>
            <w:gridSpan w:val="3"/>
          </w:tcPr>
          <w:p>
            <w:pPr>
              <w:spacing w:after="0"/>
              <w:rPr>
                <w:sz w:val="24"/>
                <w:szCs w:val="24"/>
                <w:color w:val="auto"/>
              </w:rPr>
            </w:pPr>
          </w:p>
        </w:tc>
        <w:tc>
          <w:tcPr>
            <w:tcW w:w="4100" w:type="dxa"/>
            <w:vAlign w:val="bottom"/>
            <w:gridSpan w:val="2"/>
          </w:tcPr>
          <w:p>
            <w:pPr>
              <w:ind w:left="240"/>
              <w:spacing w:after="0"/>
              <w:rPr>
                <w:sz w:val="20"/>
                <w:szCs w:val="20"/>
                <w:color w:val="auto"/>
              </w:rPr>
            </w:pPr>
            <w:r>
              <w:rPr>
                <w:rFonts w:ascii="Arial" w:cs="Arial" w:eastAsia="Arial" w:hAnsi="Arial"/>
                <w:sz w:val="18"/>
                <w:szCs w:val="18"/>
                <w:color w:val="auto"/>
              </w:rPr>
              <w:t>Chairman of the Board of Directors</w:t>
            </w:r>
          </w:p>
        </w:tc>
        <w:tc>
          <w:tcPr>
            <w:tcW w:w="2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5"/>
              </w:rPr>
              <w:t>June 29, 2015</w:t>
            </w:r>
          </w:p>
        </w:tc>
      </w:tr>
      <w:tr>
        <w:trPr>
          <w:trHeight w:val="230"/>
        </w:trPr>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60" w:type="dxa"/>
            <w:vAlign w:val="bottom"/>
            <w:gridSpan w:val="5"/>
          </w:tcPr>
          <w:p>
            <w:pPr>
              <w:jc w:val="center"/>
              <w:ind w:right="1780"/>
              <w:spacing w:after="0"/>
              <w:rPr>
                <w:sz w:val="20"/>
                <w:szCs w:val="20"/>
                <w:color w:val="auto"/>
              </w:rPr>
            </w:pPr>
            <w:r>
              <w:rPr>
                <w:rFonts w:ascii="Arial" w:cs="Arial" w:eastAsia="Arial" w:hAnsi="Arial"/>
                <w:sz w:val="18"/>
                <w:szCs w:val="18"/>
                <w:b w:val="1"/>
                <w:bCs w:val="1"/>
                <w:color w:val="auto"/>
                <w:w w:val="83"/>
              </w:rPr>
              <w:t>Jon S. Saxe</w:t>
            </w:r>
          </w:p>
        </w:tc>
        <w:tc>
          <w:tcPr>
            <w:tcW w:w="2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83"/>
        </w:trPr>
        <w:tc>
          <w:tcPr>
            <w:tcW w:w="1780" w:type="dxa"/>
            <w:vAlign w:val="bottom"/>
            <w:gridSpan w:val="4"/>
          </w:tcPr>
          <w:p>
            <w:pPr>
              <w:ind w:left="1480"/>
              <w:spacing w:after="0"/>
              <w:rPr>
                <w:sz w:val="20"/>
                <w:szCs w:val="20"/>
                <w:color w:val="auto"/>
              </w:rPr>
            </w:pPr>
            <w:r>
              <w:rPr>
                <w:rFonts w:ascii="Arial" w:cs="Arial" w:eastAsia="Arial" w:hAnsi="Arial"/>
                <w:sz w:val="18"/>
                <w:szCs w:val="18"/>
                <w:color w:val="auto"/>
              </w:rPr>
              <w:t>/s/</w:t>
            </w:r>
          </w:p>
        </w:tc>
        <w:tc>
          <w:tcPr>
            <w:tcW w:w="3260" w:type="dxa"/>
            <w:vAlign w:val="bottom"/>
            <w:gridSpan w:val="5"/>
          </w:tcPr>
          <w:p>
            <w:pPr>
              <w:jc w:val="center"/>
              <w:ind w:right="1760"/>
              <w:spacing w:after="0"/>
              <w:rPr>
                <w:sz w:val="20"/>
                <w:szCs w:val="20"/>
                <w:color w:val="auto"/>
              </w:rPr>
            </w:pPr>
            <w:r>
              <w:rPr>
                <w:rFonts w:ascii="Arial" w:cs="Arial" w:eastAsia="Arial" w:hAnsi="Arial"/>
                <w:sz w:val="18"/>
                <w:szCs w:val="18"/>
                <w:color w:val="auto"/>
                <w:w w:val="89"/>
              </w:rPr>
              <w:t>Brian J. Underdown</w:t>
            </w:r>
          </w:p>
        </w:tc>
        <w:tc>
          <w:tcPr>
            <w:tcW w:w="41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June 29 2015</w:t>
            </w:r>
          </w:p>
        </w:tc>
      </w:tr>
      <w:tr>
        <w:trPr>
          <w:trHeight w:val="20"/>
        </w:trPr>
        <w:tc>
          <w:tcPr>
            <w:tcW w:w="1480" w:type="dxa"/>
            <w:vAlign w:val="bottom"/>
          </w:tcPr>
          <w:p>
            <w:pPr>
              <w:spacing w:after="0" w:line="20" w:lineRule="exact"/>
              <w:rPr>
                <w:sz w:val="1"/>
                <w:szCs w:val="1"/>
                <w:color w:val="auto"/>
              </w:rPr>
            </w:pPr>
          </w:p>
        </w:tc>
        <w:tc>
          <w:tcPr>
            <w:tcW w:w="1880" w:type="dxa"/>
            <w:vAlign w:val="bottom"/>
            <w:gridSpan w:val="6"/>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30"/>
        </w:trPr>
        <w:tc>
          <w:tcPr>
            <w:tcW w:w="1480" w:type="dxa"/>
            <w:vAlign w:val="bottom"/>
          </w:tcPr>
          <w:p>
            <w:pPr>
              <w:spacing w:after="0"/>
              <w:rPr>
                <w:sz w:val="19"/>
                <w:szCs w:val="19"/>
                <w:color w:val="auto"/>
              </w:rPr>
            </w:pPr>
          </w:p>
        </w:tc>
        <w:tc>
          <w:tcPr>
            <w:tcW w:w="3560" w:type="dxa"/>
            <w:vAlign w:val="bottom"/>
            <w:gridSpan w:val="8"/>
          </w:tcPr>
          <w:p>
            <w:pPr>
              <w:jc w:val="center"/>
              <w:ind w:right="1480"/>
              <w:spacing w:after="0"/>
              <w:rPr>
                <w:sz w:val="20"/>
                <w:szCs w:val="20"/>
                <w:color w:val="auto"/>
              </w:rPr>
            </w:pPr>
            <w:r>
              <w:rPr>
                <w:rFonts w:ascii="Arial" w:cs="Arial" w:eastAsia="Arial" w:hAnsi="Arial"/>
                <w:sz w:val="18"/>
                <w:szCs w:val="18"/>
                <w:b w:val="1"/>
                <w:bCs w:val="1"/>
                <w:color w:val="auto"/>
                <w:w w:val="90"/>
              </w:rPr>
              <w:t>Brian J. Underdown, Ph. D</w:t>
            </w:r>
          </w:p>
        </w:tc>
        <w:tc>
          <w:tcPr>
            <w:tcW w:w="2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41" w:lineRule="exact"/>
        <w:rPr>
          <w:sz w:val="20"/>
          <w:szCs w:val="20"/>
          <w:color w:val="auto"/>
        </w:rPr>
      </w:pPr>
    </w:p>
    <w:p>
      <w:pPr>
        <w:ind w:left="620" w:hanging="615"/>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VistaGen Therapeutics, Inc., a Nevada corporation;</w:t>
      </w:r>
    </w:p>
    <w:p>
      <w:pPr>
        <w:spacing w:after="0" w:line="240" w:lineRule="exact"/>
        <w:rPr>
          <w:rFonts w:ascii="Arial" w:cs="Arial" w:eastAsia="Arial" w:hAnsi="Arial"/>
          <w:sz w:val="18"/>
          <w:szCs w:val="18"/>
          <w:color w:val="auto"/>
        </w:rPr>
      </w:pPr>
    </w:p>
    <w:p>
      <w:pPr>
        <w:ind w:firstLine="5"/>
        <w:spacing w:after="0" w:line="324" w:lineRule="auto"/>
        <w:tabs>
          <w:tab w:leader="none" w:pos="771"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61" w:lineRule="exact"/>
        <w:rPr>
          <w:rFonts w:ascii="Arial" w:cs="Arial" w:eastAsia="Arial" w:hAnsi="Arial"/>
          <w:sz w:val="16"/>
          <w:szCs w:val="16"/>
          <w:color w:val="auto"/>
        </w:rPr>
      </w:pPr>
    </w:p>
    <w:p>
      <w:pPr>
        <w:ind w:firstLine="5"/>
        <w:spacing w:after="0" w:line="262" w:lineRule="auto"/>
        <w:tabs>
          <w:tab w:leader="none" w:pos="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18"/>
          <w:szCs w:val="18"/>
          <w:color w:val="auto"/>
        </w:rPr>
      </w:pPr>
    </w:p>
    <w:p>
      <w:pPr>
        <w:jc w:val="both"/>
        <w:ind w:firstLine="5"/>
        <w:spacing w:after="0" w:line="253" w:lineRule="auto"/>
        <w:tabs>
          <w:tab w:leader="none" w:pos="8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jc w:val="both"/>
        <w:ind w:firstLine="321"/>
        <w:spacing w:after="0" w:line="253" w:lineRule="auto"/>
        <w:tabs>
          <w:tab w:leader="none" w:pos="935"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firstLine="321"/>
        <w:spacing w:after="0" w:line="253" w:lineRule="auto"/>
        <w:tabs>
          <w:tab w:leader="none" w:pos="126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firstLine="321"/>
        <w:spacing w:after="0" w:line="324" w:lineRule="auto"/>
        <w:tabs>
          <w:tab w:leader="none" w:pos="95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6"/>
          <w:szCs w:val="16"/>
          <w:color w:val="auto"/>
        </w:rPr>
      </w:pPr>
    </w:p>
    <w:p>
      <w:pPr>
        <w:jc w:val="both"/>
        <w:ind w:firstLine="321"/>
        <w:spacing w:after="0" w:line="253" w:lineRule="auto"/>
        <w:tabs>
          <w:tab w:leader="none" w:pos="96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firstLine="5"/>
        <w:spacing w:after="0" w:line="324" w:lineRule="auto"/>
        <w:tabs>
          <w:tab w:leader="none" w:pos="703"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6"/>
          <w:szCs w:val="16"/>
          <w:color w:val="auto"/>
        </w:rPr>
      </w:pPr>
    </w:p>
    <w:p>
      <w:pPr>
        <w:ind w:firstLine="321"/>
        <w:spacing w:after="0" w:line="262" w:lineRule="auto"/>
        <w:tabs>
          <w:tab w:leader="none" w:pos="10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6" w:lineRule="exact"/>
        <w:rPr>
          <w:rFonts w:ascii="Arial" w:cs="Arial" w:eastAsia="Arial" w:hAnsi="Arial"/>
          <w:sz w:val="18"/>
          <w:szCs w:val="18"/>
          <w:color w:val="auto"/>
        </w:rPr>
      </w:pPr>
    </w:p>
    <w:p>
      <w:pPr>
        <w:ind w:firstLine="321"/>
        <w:spacing w:after="0" w:line="262" w:lineRule="auto"/>
        <w:tabs>
          <w:tab w:leader="none" w:pos="9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June 29, 2015</w:t>
            </w:r>
          </w:p>
        </w:tc>
        <w:tc>
          <w:tcPr>
            <w:tcW w:w="1920" w:type="dxa"/>
            <w:vAlign w:val="bottom"/>
            <w:gridSpan w:val="2"/>
          </w:tcPr>
          <w:p>
            <w:pPr>
              <w:spacing w:after="0"/>
              <w:rPr>
                <w:sz w:val="20"/>
                <w:szCs w:val="20"/>
                <w:color w:val="auto"/>
              </w:rPr>
            </w:pPr>
            <w:r>
              <w:rPr>
                <w:rFonts w:ascii="Arial" w:cs="Arial" w:eastAsia="Arial" w:hAnsi="Arial"/>
                <w:sz w:val="18"/>
                <w:szCs w:val="18"/>
                <w:color w:val="auto"/>
              </w:rPr>
              <w:t>/s/ Shawn K. Singh</w:t>
            </w:r>
          </w:p>
        </w:tc>
      </w:tr>
      <w:tr>
        <w:trPr>
          <w:trHeight w:val="20"/>
        </w:trPr>
        <w:tc>
          <w:tcPr>
            <w:tcW w:w="57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8"/>
        </w:trPr>
        <w:tc>
          <w:tcPr>
            <w:tcW w:w="57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Shawn K. Singh, JD</w:t>
            </w:r>
          </w:p>
        </w:tc>
      </w:tr>
      <w:tr>
        <w:trPr>
          <w:trHeight w:val="222"/>
        </w:trPr>
        <w:tc>
          <w:tcPr>
            <w:tcW w:w="570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w w:val="90"/>
              </w:rPr>
              <w:t>Principal Executive Officer</w:t>
            </w:r>
          </w:p>
        </w:tc>
      </w:tr>
    </w:tbl>
    <w:p>
      <w:pPr>
        <w:sectPr>
          <w:pgSz w:w="11900" w:h="16838" w:orient="portrait"/>
          <w:cols w:equalWidth="0" w:num="1">
            <w:col w:w="11400"/>
          </w:cols>
          <w:pgMar w:left="240" w:top="121" w:right="25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41" w:lineRule="exact"/>
        <w:rPr>
          <w:sz w:val="20"/>
          <w:szCs w:val="20"/>
          <w:color w:val="auto"/>
        </w:rPr>
      </w:pPr>
    </w:p>
    <w:p>
      <w:pPr>
        <w:ind w:left="620" w:hanging="615"/>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VistaGen Therapeutics, Inc., a Nevada corporation;</w:t>
      </w:r>
    </w:p>
    <w:p>
      <w:pPr>
        <w:spacing w:after="0" w:line="240" w:lineRule="exact"/>
        <w:rPr>
          <w:rFonts w:ascii="Arial" w:cs="Arial" w:eastAsia="Arial" w:hAnsi="Arial"/>
          <w:sz w:val="18"/>
          <w:szCs w:val="18"/>
          <w:color w:val="auto"/>
        </w:rPr>
      </w:pPr>
    </w:p>
    <w:p>
      <w:pPr>
        <w:ind w:firstLine="5"/>
        <w:spacing w:after="0" w:line="324" w:lineRule="auto"/>
        <w:tabs>
          <w:tab w:leader="none" w:pos="775"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61" w:lineRule="exact"/>
        <w:rPr>
          <w:rFonts w:ascii="Arial" w:cs="Arial" w:eastAsia="Arial" w:hAnsi="Arial"/>
          <w:sz w:val="16"/>
          <w:szCs w:val="16"/>
          <w:color w:val="auto"/>
        </w:rPr>
      </w:pPr>
    </w:p>
    <w:p>
      <w:pPr>
        <w:ind w:firstLine="5"/>
        <w:spacing w:after="0" w:line="262" w:lineRule="auto"/>
        <w:tabs>
          <w:tab w:leader="none" w:pos="804"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18"/>
          <w:szCs w:val="18"/>
          <w:color w:val="auto"/>
        </w:rPr>
      </w:pPr>
    </w:p>
    <w:p>
      <w:pPr>
        <w:jc w:val="both"/>
        <w:ind w:firstLine="5"/>
        <w:spacing w:after="0" w:line="253" w:lineRule="auto"/>
        <w:tabs>
          <w:tab w:leader="none" w:pos="8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jc w:val="both"/>
        <w:ind w:firstLine="321"/>
        <w:spacing w:after="0" w:line="253" w:lineRule="auto"/>
        <w:tabs>
          <w:tab w:leader="none" w:pos="9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firstLine="321"/>
        <w:spacing w:after="0" w:line="253" w:lineRule="auto"/>
        <w:tabs>
          <w:tab w:leader="none" w:pos="945"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firstLine="321"/>
        <w:spacing w:after="0" w:line="324" w:lineRule="auto"/>
        <w:tabs>
          <w:tab w:leader="none" w:pos="954"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6"/>
          <w:szCs w:val="16"/>
          <w:color w:val="auto"/>
        </w:rPr>
      </w:pPr>
    </w:p>
    <w:p>
      <w:pPr>
        <w:jc w:val="both"/>
        <w:ind w:firstLine="321"/>
        <w:spacing w:after="0" w:line="253" w:lineRule="auto"/>
        <w:tabs>
          <w:tab w:leader="none" w:pos="972"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firstLine="5"/>
        <w:spacing w:after="0" w:line="324" w:lineRule="auto"/>
        <w:tabs>
          <w:tab w:leader="none" w:pos="708"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6"/>
          <w:szCs w:val="16"/>
          <w:color w:val="auto"/>
        </w:rPr>
      </w:pPr>
    </w:p>
    <w:p>
      <w:pPr>
        <w:ind w:firstLine="321"/>
        <w:spacing w:after="0" w:line="262" w:lineRule="auto"/>
        <w:tabs>
          <w:tab w:leader="none" w:pos="1085"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6" w:lineRule="exact"/>
        <w:rPr>
          <w:rFonts w:ascii="Arial" w:cs="Arial" w:eastAsia="Arial" w:hAnsi="Arial"/>
          <w:sz w:val="18"/>
          <w:szCs w:val="18"/>
          <w:color w:val="auto"/>
        </w:rPr>
      </w:pPr>
    </w:p>
    <w:p>
      <w:pPr>
        <w:ind w:firstLine="321"/>
        <w:spacing w:after="0" w:line="262" w:lineRule="auto"/>
        <w:tabs>
          <w:tab w:leader="none" w:pos="944"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June 29, 2015</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Jerrold D. Dotson</w:t>
            </w:r>
          </w:p>
        </w:tc>
        <w:tc>
          <w:tcPr>
            <w:tcW w:w="420" w:type="dxa"/>
            <w:vAlign w:val="bottom"/>
          </w:tcPr>
          <w:p>
            <w:pPr>
              <w:spacing w:after="0"/>
              <w:rPr>
                <w:sz w:val="18"/>
                <w:szCs w:val="18"/>
                <w:color w:val="auto"/>
              </w:rPr>
            </w:pPr>
          </w:p>
        </w:tc>
      </w:tr>
      <w:tr>
        <w:trPr>
          <w:trHeight w:val="218"/>
        </w:trPr>
        <w:tc>
          <w:tcPr>
            <w:tcW w:w="570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Jerrold D. Dotson</w:t>
            </w:r>
          </w:p>
        </w:tc>
      </w:tr>
      <w:tr>
        <w:trPr>
          <w:trHeight w:val="222"/>
        </w:trPr>
        <w:tc>
          <w:tcPr>
            <w:tcW w:w="570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w w:val="91"/>
              </w:rPr>
              <w:t>Principal Financial Officer</w:t>
            </w:r>
          </w:p>
        </w:tc>
      </w:tr>
    </w:tbl>
    <w:p>
      <w:pPr>
        <w:sectPr>
          <w:pgSz w:w="11900" w:h="16838" w:orient="portrait"/>
          <w:cols w:equalWidth="0" w:num="1">
            <w:col w:w="11420"/>
          </w:cols>
          <w:pgMar w:left="240" w:top="12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VistaGen Therapeutics, Inc. (the “</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 hereby certifies, to such officer’s knowledge, that:</w:t>
      </w:r>
    </w:p>
    <w:p>
      <w:pPr>
        <w:spacing w:after="0" w:line="229" w:lineRule="exact"/>
        <w:rPr>
          <w:sz w:val="20"/>
          <w:szCs w:val="20"/>
          <w:color w:val="auto"/>
        </w:rPr>
      </w:pPr>
    </w:p>
    <w:p>
      <w:pPr>
        <w:ind w:left="480" w:firstLine="473"/>
        <w:spacing w:after="0" w:line="324" w:lineRule="auto"/>
        <w:tabs>
          <w:tab w:leader="none" w:pos="1177"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the accompanying Annual Report on Form 10-K of the Company for the annual period ended March 31, 2015 (the “ </w:t>
      </w:r>
      <w:r>
        <w:rPr>
          <w:rFonts w:ascii="Arial" w:cs="Arial" w:eastAsia="Arial" w:hAnsi="Arial"/>
          <w:sz w:val="16"/>
          <w:szCs w:val="16"/>
          <w:i w:val="1"/>
          <w:iCs w:val="1"/>
          <w:color w:val="auto"/>
        </w:rPr>
        <w:t>Report</w:t>
      </w:r>
      <w:r>
        <w:rPr>
          <w:rFonts w:ascii="Arial" w:cs="Arial" w:eastAsia="Arial" w:hAnsi="Arial"/>
          <w:sz w:val="16"/>
          <w:szCs w:val="16"/>
          <w:color w:val="auto"/>
        </w:rPr>
        <w:t xml:space="preserve"> ”) fully complies with the requirements of Section 13(a) or Section 15(d), as applicable, of the Securities Exchange Act of 1934, as amended; and</w:t>
      </w:r>
    </w:p>
    <w:p>
      <w:pPr>
        <w:spacing w:after="0" w:line="161" w:lineRule="exact"/>
        <w:rPr>
          <w:rFonts w:ascii="Arial" w:cs="Arial" w:eastAsia="Arial" w:hAnsi="Arial"/>
          <w:sz w:val="16"/>
          <w:szCs w:val="16"/>
          <w:color w:val="auto"/>
        </w:rPr>
      </w:pPr>
    </w:p>
    <w:p>
      <w:pPr>
        <w:ind w:left="1220" w:hanging="267"/>
        <w:spacing w:after="0"/>
        <w:tabs>
          <w:tab w:leader="none" w:pos="12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June 29, 2015</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 JD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x"/>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lvl w:ilvl="1">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1."/>
      <w:numFmt w:val="decimal"/>
      <w:start w:val="1"/>
    </w:lvl>
  </w:abstractNum>
  <w:abstractNum w:abstractNumId="9">
    <w:nsid w:val="3DC240FB"/>
    <w:multiLevelType w:val="hybridMultilevel"/>
    <w:lvl w:ilvl="0">
      <w:lvlJc w:val="left"/>
      <w:lvlText w:val="%1."/>
      <w:numFmt w:val="decimal"/>
      <w:start w:val="1"/>
    </w:lvl>
  </w:abstractNum>
  <w:abstractNum w:abstractNumId="10">
    <w:nsid w:val="1BA026FA"/>
    <w:multiLevelType w:val="hybridMultilevel"/>
    <w:lvl w:ilvl="0">
      <w:lvlJc w:val="left"/>
      <w:lvlText w:val="%1."/>
      <w:numFmt w:val="decimal"/>
      <w:start w:val="1"/>
    </w:lvl>
  </w:abstractNum>
  <w:abstractNum w:abstractNumId="11">
    <w:nsid w:val="79A1DEAA"/>
    <w:multiLevelType w:val="hybridMultilevel"/>
    <w:lvl w:ilvl="0">
      <w:lvlJc w:val="left"/>
      <w:lvlText w:val="%1."/>
      <w:numFmt w:val="decimal"/>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1."/>
      <w:numFmt w:val="decimal"/>
      <w:start w:val="1"/>
    </w:lvl>
  </w:abstractNum>
  <w:abstractNum w:abstractNumId="14">
    <w:nsid w:val="70C6A529"/>
    <w:multiLevelType w:val="hybridMultilevel"/>
    <w:lvl w:ilvl="0">
      <w:lvlJc w:val="left"/>
      <w:lvlText w:val="%1."/>
      <w:numFmt w:val="decimal"/>
      <w:start w:val="4"/>
    </w:lvl>
  </w:abstractNum>
  <w:abstractNum w:abstractNumId="15">
    <w:nsid w:val="520EEDD1"/>
    <w:multiLevelType w:val="hybridMultilevel"/>
    <w:lvl w:ilvl="0">
      <w:lvlJc w:val="left"/>
      <w:lvlText w:val="%1."/>
      <w:numFmt w:val="decimal"/>
      <w:start w:val="6"/>
    </w:lvl>
  </w:abstractNum>
  <w:abstractNum w:abstractNumId="16">
    <w:nsid w:val="374A3FE6"/>
    <w:multiLevelType w:val="hybridMultilevel"/>
    <w:lvl w:ilvl="0">
      <w:lvlJc w:val="left"/>
      <w:lvlText w:val="%1."/>
      <w:numFmt w:val="decimal"/>
      <w:start w:val="1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lvl w:ilvl="1">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lvl w:ilvl="1">
      <w:lvlJc w:val="left"/>
      <w:lvlText w:val="o"/>
      <w:numFmt w:val="bullet"/>
      <w:start w:val="1"/>
    </w:lvl>
  </w:abstractNum>
  <w:abstractNum w:abstractNumId="50">
    <w:nsid w:val="799D0247"/>
    <w:multiLevelType w:val="hybridMultilevel"/>
    <w:lvl w:ilvl="0">
      <w:lvlJc w:val="left"/>
      <w:lvlText w:val="(%1)"/>
      <w:numFmt w:val="lowerRoman"/>
      <w:start w:val="2"/>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1)"/>
      <w:numFmt w:val="decimal"/>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lvl w:ilvl="1">
      <w:lvlJc w:val="left"/>
      <w:lvlText w:val="o"/>
      <w:numFmt w:val="bullet"/>
      <w:start w:val="1"/>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1)"/>
      <w:numFmt w:val="lowerLetter"/>
      <w:start w:val="1"/>
    </w:lvl>
  </w:abstractNum>
  <w:abstractNum w:abstractNumId="67">
    <w:nsid w:val="3B0FD379"/>
    <w:multiLevelType w:val="hybridMultilevel"/>
    <w:lvl w:ilvl="0">
      <w:lvlJc w:val="left"/>
      <w:lvlText w:val="·"/>
      <w:numFmt w:val="bullet"/>
      <w:start w:val="1"/>
    </w:lvl>
    <w:lvl w:ilvl="1">
      <w:lvlJc w:val="left"/>
      <w:lvlText w:val="(%2)"/>
      <w:numFmt w:val="lowerLetter"/>
      <w:start w:val="3"/>
    </w:lvl>
  </w:abstractNum>
  <w:abstractNum w:abstractNumId="68">
    <w:nsid w:val="68EB2F63"/>
    <w:multiLevelType w:val="hybridMultilevel"/>
    <w:lvl w:ilvl="0">
      <w:lvlJc w:val="left"/>
      <w:lvlText w:val="·"/>
      <w:numFmt w:val="bullet"/>
      <w:start w:val="1"/>
    </w:lvl>
    <w:lvl w:ilvl="1">
      <w:lvlJc w:val="left"/>
      <w:lvlText w:val="(%2)"/>
      <w:numFmt w:val="lowerLetter"/>
      <w:start w:val="6"/>
    </w:lvl>
  </w:abstractNum>
  <w:abstractNum w:abstractNumId="69">
    <w:nsid w:val="4962813B"/>
    <w:multiLevelType w:val="hybridMultilevel"/>
    <w:lvl w:ilvl="0">
      <w:lvlJc w:val="left"/>
      <w:lvlText w:val="(%1)"/>
      <w:numFmt w:val="decimal"/>
      <w:start w:val="1"/>
    </w:lvl>
  </w:abstractNum>
  <w:abstractNum w:abstractNumId="70">
    <w:nsid w:val="60B6DF70"/>
    <w:multiLevelType w:val="hybridMultilevel"/>
    <w:lvl w:ilvl="0">
      <w:lvlJc w:val="left"/>
      <w:lvlText w:val="(%1)"/>
      <w:numFmt w:val="decimal"/>
      <w:start w:val="4"/>
    </w:lvl>
  </w:abstractNum>
  <w:abstractNum w:abstractNumId="71">
    <w:nsid w:val="6A5EE64"/>
    <w:multiLevelType w:val="hybridMultilevel"/>
    <w:lvl w:ilvl="0">
      <w:lvlJc w:val="left"/>
      <w:lvlText w:val="(%1)"/>
      <w:numFmt w:val="decimal"/>
      <w:start w:val="12"/>
    </w:lvl>
  </w:abstractNum>
  <w:abstractNum w:abstractNumId="72">
    <w:nsid w:val="14330624"/>
    <w:multiLevelType w:val="hybridMultilevel"/>
    <w:lvl w:ilvl="0">
      <w:lvlJc w:val="left"/>
      <w:lvlText w:val="(%1)"/>
      <w:numFmt w:val="lowerLetter"/>
      <w:start w:val="1"/>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decimal"/>
      <w:start w:val="1"/>
    </w:lvl>
    <w:lvl w:ilvl="1">
      <w:lvlJc w:val="left"/>
      <w:lvlText w:val="(%2)"/>
      <w:numFmt w:val="decimal"/>
      <w:start w:val="2"/>
    </w:lvl>
  </w:abstractNum>
  <w:abstractNum w:abstractNumId="75">
    <w:nsid w:val="71EA1109"/>
    <w:multiLevelType w:val="hybridMultilevel"/>
    <w:lvl w:ilvl="0">
      <w:lvlJc w:val="left"/>
      <w:lvlText w:val="(%1)"/>
      <w:numFmt w:val="decimal"/>
      <w:start w:val="3"/>
    </w:lvl>
    <w:lvl w:ilvl="1">
      <w:lvlJc w:val="left"/>
      <w:lvlText w:val="%2"/>
      <w:numFmt w:val="decimal"/>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decimal"/>
      <w:start w:val="2"/>
    </w:lvl>
  </w:abstractNum>
  <w:abstractNum w:abstractNumId="83">
    <w:nsid w:val="4C04A8AF"/>
    <w:multiLevelType w:val="hybridMultilevel"/>
    <w:lvl w:ilvl="0">
      <w:lvlJc w:val="left"/>
      <w:lvlText w:val="(%1)"/>
      <w:numFmt w:val="decimal"/>
      <w:start w:val="9"/>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2020-01-23T21:24:06Z</dcterms:created>
  <dcterms:modified xsi:type="dcterms:W3CDTF">2020-01-23T21:24:06Z</dcterms:modified>
</cp:coreProperties>
</file>